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839D7" w14:textId="77777777" w:rsidR="006E7CF8" w:rsidRPr="006E7CF8" w:rsidRDefault="006E7CF8" w:rsidP="006E7CF8">
      <w:pPr>
        <w:spacing w:line="276" w:lineRule="auto"/>
        <w:ind w:right="531"/>
        <w:rPr>
          <w:rFonts w:ascii="Arial" w:eastAsia="Times New Roman" w:hAnsi="Arial" w:cs="Arial"/>
          <w:lang w:eastAsia="en-GB"/>
        </w:rPr>
      </w:pPr>
      <w:r w:rsidRPr="006E7CF8">
        <w:rPr>
          <w:rFonts w:ascii="Arial" w:eastAsia="Times New Roman" w:hAnsi="Arial" w:cs="Arial"/>
          <w:u w:val="single"/>
          <w:lang w:eastAsia="en-GB"/>
        </w:rPr>
        <w:t>Examine</w:t>
      </w:r>
      <w:r w:rsidRPr="006E7CF8">
        <w:rPr>
          <w:rFonts w:ascii="Arial" w:eastAsia="Times New Roman" w:hAnsi="Arial" w:cs="Arial"/>
          <w:lang w:eastAsia="en-GB"/>
        </w:rPr>
        <w:t xml:space="preserve"> the potential impact of bias on police </w:t>
      </w:r>
      <w:proofErr w:type="gramStart"/>
      <w:r w:rsidRPr="006E7CF8">
        <w:rPr>
          <w:rFonts w:ascii="Arial" w:eastAsia="Times New Roman" w:hAnsi="Arial" w:cs="Arial"/>
          <w:lang w:eastAsia="en-GB"/>
        </w:rPr>
        <w:t>investigations, and</w:t>
      </w:r>
      <w:proofErr w:type="gramEnd"/>
      <w:r w:rsidRPr="006E7CF8">
        <w:rPr>
          <w:rFonts w:ascii="Arial" w:eastAsia="Times New Roman" w:hAnsi="Arial" w:cs="Arial"/>
          <w:lang w:eastAsia="en-GB"/>
        </w:rPr>
        <w:t xml:space="preserve"> </w:t>
      </w:r>
      <w:r w:rsidRPr="006E7CF8">
        <w:rPr>
          <w:rFonts w:ascii="Arial" w:eastAsia="Times New Roman" w:hAnsi="Arial" w:cs="Arial"/>
          <w:u w:val="single"/>
          <w:lang w:eastAsia="en-GB"/>
        </w:rPr>
        <w:t>outline</w:t>
      </w:r>
      <w:r w:rsidRPr="006E7CF8">
        <w:rPr>
          <w:rFonts w:ascii="Arial" w:eastAsia="Times New Roman" w:hAnsi="Arial" w:cs="Arial"/>
          <w:lang w:eastAsia="en-GB"/>
        </w:rPr>
        <w:t xml:space="preserve"> how this can affect the willingness of communities to engage with police. Your answer must be based on academic research rather than personal experience, but you may </w:t>
      </w:r>
      <w:proofErr w:type="gramStart"/>
      <w:r w:rsidRPr="006E7CF8">
        <w:rPr>
          <w:rFonts w:ascii="Arial" w:eastAsia="Times New Roman" w:hAnsi="Arial" w:cs="Arial"/>
          <w:lang w:eastAsia="en-GB"/>
        </w:rPr>
        <w:t>make reference</w:t>
      </w:r>
      <w:proofErr w:type="gramEnd"/>
      <w:r w:rsidRPr="006E7CF8">
        <w:rPr>
          <w:rFonts w:ascii="Arial" w:eastAsia="Times New Roman" w:hAnsi="Arial" w:cs="Arial"/>
          <w:lang w:eastAsia="en-GB"/>
        </w:rPr>
        <w:t xml:space="preserve"> to relevant case studies.</w:t>
      </w:r>
    </w:p>
    <w:p w14:paraId="0B0FCF91" w14:textId="77777777" w:rsidR="006E7CF8" w:rsidRDefault="006E7CF8" w:rsidP="006E7CF8"/>
    <w:p w14:paraId="789A94B6" w14:textId="77777777" w:rsidR="006E7CF8" w:rsidRDefault="006E7CF8" w:rsidP="006E7CF8">
      <w:pPr>
        <w:spacing w:line="360" w:lineRule="auto"/>
      </w:pPr>
      <w:r>
        <w:t xml:space="preserve">The professional codes of practice state that a police force should conduct investigations from a position of impartiality, be professionally unbiased and treat everyone with fairness (College of Policing, 2014). However, there are still some elements of bias that are present in the police that impact investigations negatively and have a detrimental effect on the willingness of the communities to engage positively with the police. </w:t>
      </w:r>
      <w:r w:rsidRPr="002C571C">
        <w:t>This ultimately makes the objectives of reducing and preventing crime, and ensuring people feel safe within their homes and communities more challenging for the police to achieve (Home Office 2021).</w:t>
      </w:r>
      <w:r>
        <w:t xml:space="preserve"> Bias within the police has been widely documented – for example, </w:t>
      </w:r>
      <w:proofErr w:type="spellStart"/>
      <w:r>
        <w:t>Fridell</w:t>
      </w:r>
      <w:proofErr w:type="spellEnd"/>
      <w:r>
        <w:t xml:space="preserve"> (2016) states that intervention from police is disproportionate with certain groups, such as with ethnic and racial minorities and women. I will be examining the impact bias has on police investigations and how this bias can impact and affect a particular community from engaging with police. </w:t>
      </w:r>
    </w:p>
    <w:p w14:paraId="5D47FC4E" w14:textId="77777777" w:rsidR="006E7CF8" w:rsidRDefault="006E7CF8" w:rsidP="006E7CF8">
      <w:pPr>
        <w:spacing w:line="360" w:lineRule="auto"/>
      </w:pPr>
    </w:p>
    <w:p w14:paraId="2DA735A5" w14:textId="77777777" w:rsidR="006E7CF8" w:rsidRDefault="006E7CF8" w:rsidP="006E7CF8">
      <w:pPr>
        <w:spacing w:line="360" w:lineRule="auto"/>
      </w:pPr>
      <w:r>
        <w:t>As defined by the Collins English Dictionary (2023), bias is a tendency to prefer one person or thing to another, and to favour that person or thing. It is further broken down into unconscious/implicit bias and conscious/explicit bias. Unconscious/implicit bias, as described by the Imperial College London (</w:t>
      </w:r>
      <w:proofErr w:type="spellStart"/>
      <w:r>
        <w:t>n.d</w:t>
      </w:r>
      <w:proofErr w:type="spellEnd"/>
      <w:r>
        <w:t xml:space="preserve">), is the associations people hold, outside of their conscious awareness. It is triggered by their brain automatically making quick judgements and assessments. They are influenced by personal experiences, stereotypes, and cultural context within communities. It can include gender, ethnicity, height, body weight as examples.  </w:t>
      </w:r>
    </w:p>
    <w:p w14:paraId="02C1D7B5" w14:textId="77777777" w:rsidR="006E7CF8" w:rsidRDefault="006E7CF8" w:rsidP="006E7CF8">
      <w:pPr>
        <w:spacing w:line="360" w:lineRule="auto"/>
      </w:pPr>
    </w:p>
    <w:p w14:paraId="617CE948" w14:textId="77777777" w:rsidR="006E7CF8" w:rsidRDefault="006E7CF8" w:rsidP="006E7CF8">
      <w:pPr>
        <w:spacing w:line="360" w:lineRule="auto"/>
      </w:pPr>
      <w:r>
        <w:t xml:space="preserve">Bias can impact the course of a police investigation, resulting in incorrect charging and treatment of suspects. Research has found that investigators with prior information of a crime has influenced what police seize at crime scenes, regardless </w:t>
      </w:r>
      <w:proofErr w:type="spellStart"/>
      <w:r>
        <w:t>on</w:t>
      </w:r>
      <w:proofErr w:type="spellEnd"/>
      <w:r>
        <w:t xml:space="preserve"> whether it holds any evidential value when it comes to prosecution (van den </w:t>
      </w:r>
      <w:proofErr w:type="spellStart"/>
      <w:r>
        <w:t>Eeden</w:t>
      </w:r>
      <w:proofErr w:type="spellEnd"/>
      <w:r>
        <w:t xml:space="preserve">, de Poot &amp; van </w:t>
      </w:r>
      <w:proofErr w:type="spellStart"/>
      <w:r>
        <w:t>Koppen</w:t>
      </w:r>
      <w:proofErr w:type="spellEnd"/>
      <w:r>
        <w:t>, 2016). This leads to incorrect investigative enquiries, resulting in a loss of time and resources and no evidential benefit to the investigation. During interviewing, it has been stated that investigators that are already biased towards the suspect being guilty, use presumptive question styles and techniques (</w:t>
      </w:r>
      <w:proofErr w:type="spellStart"/>
      <w:r>
        <w:t>Kassin</w:t>
      </w:r>
      <w:proofErr w:type="spellEnd"/>
      <w:r>
        <w:t xml:space="preserve">, Goldstein and </w:t>
      </w:r>
      <w:proofErr w:type="spellStart"/>
      <w:r>
        <w:t>Savitsky</w:t>
      </w:r>
      <w:proofErr w:type="spellEnd"/>
      <w:r>
        <w:t xml:space="preserve"> 2003). This ended up with interviews being targeted at eliciting confessions, particularly when interviewing innocent persons. </w:t>
      </w:r>
      <w:r w:rsidRPr="002C571C">
        <w:t xml:space="preserve">It has also </w:t>
      </w:r>
      <w:proofErr w:type="gramStart"/>
      <w:r w:rsidRPr="002C571C">
        <w:t>be</w:t>
      </w:r>
      <w:proofErr w:type="gramEnd"/>
      <w:r w:rsidRPr="002C571C">
        <w:t xml:space="preserve"> stated that when investigators start assuming guilt, it also increases the risk of manipulative interviewing on the part of the police which has been associated with false confessions as evidenced by a study by Leo and </w:t>
      </w:r>
      <w:proofErr w:type="spellStart"/>
      <w:r w:rsidRPr="002C571C">
        <w:t>Drizin</w:t>
      </w:r>
      <w:proofErr w:type="spellEnd"/>
      <w:r w:rsidRPr="002C571C">
        <w:t xml:space="preserve"> (2010).</w:t>
      </w:r>
      <w:r>
        <w:t xml:space="preserve"> This leads to </w:t>
      </w:r>
      <w:r>
        <w:lastRenderedPageBreak/>
        <w:t xml:space="preserve">misdirected prosecution of suspects, some of whom are innocent and have been led to a guilty plea or giving defensive answers because of leading questions being put to them (Hill, Memon and McGeorge 2008). </w:t>
      </w:r>
    </w:p>
    <w:p w14:paraId="100E67A6" w14:textId="77777777" w:rsidR="006E7CF8" w:rsidRDefault="006E7CF8" w:rsidP="006E7CF8">
      <w:pPr>
        <w:spacing w:line="360" w:lineRule="auto"/>
      </w:pPr>
    </w:p>
    <w:p w14:paraId="13AAF26C" w14:textId="77777777" w:rsidR="006E7CF8" w:rsidRDefault="006E7CF8" w:rsidP="006E7CF8">
      <w:pPr>
        <w:spacing w:line="360" w:lineRule="auto"/>
      </w:pPr>
      <w:r>
        <w:t xml:space="preserve">One group that feels considerable bias against them is ethnic minorities. It has been well documented that the Black and mixed ethnicity communities in both the United Kingdom (UK) and the United States of America (USA) feel they are targeted and discriminated against by police forces. A report conducted by Lawrence (2021) that reviews the recommendations made by the Stephen Lawrence Inquiry (Macpherson 1999) has found a persistent confidence gap between Black and White adults in the fairness of policing that </w:t>
      </w:r>
      <w:r w:rsidRPr="002C571C">
        <w:t>has widened. This</w:t>
      </w:r>
      <w:r>
        <w:t xml:space="preserve"> was a damning verdict on a report that established development goals to reduce the unjust persecution the Black community felt, not just from general society but from the police. This has resulted in further caution from the Black community when it comes to interactions with the police, whether it is engaging with them as a suspect, or as a victim. The Lawrence report (2021) also states that the objective of increasing trust and confidence between the minority communities and police has not been met and should become a priority for the police forces and Home Office. This naturally hinders and slows the progress being made towards the </w:t>
      </w:r>
      <w:proofErr w:type="gramStart"/>
      <w:r>
        <w:t>Home</w:t>
      </w:r>
      <w:proofErr w:type="gramEnd"/>
      <w:r>
        <w:t xml:space="preserve"> Office objective of increasing public confidence within local police forces, and further alienates minority communities from engaging with the police in a positive light. A major issue in combating bias towards minority communities is that of the current social state of the communities themselves. According to the Home Affairs Committee (2021), racial hatred remains a prevalent problem in society, with 75,000 race related incidents both online and physical were reported to police in England and Wales in 2019/2020. The report also raised concerns from Black men and women that they were not always being treated as victims of these incidents but as suspects and stated that the police are falling further behind in combatting racist crimes, particularly those that are cyber enabled. The latter statement shows the polices inability and failure to ‘keep up’ when targeting online racist crimes in an ever more cyber enabled society. This going to impact the police efforts in increasing the Black communities’ trust.</w:t>
      </w:r>
      <w:r>
        <w:br/>
      </w:r>
      <w:r>
        <w:br/>
        <w:t xml:space="preserve">Bias towards minority communities is also observed by the police when utilising </w:t>
      </w:r>
      <w:proofErr w:type="gramStart"/>
      <w:r>
        <w:t>stop</w:t>
      </w:r>
      <w:proofErr w:type="gramEnd"/>
      <w:r>
        <w:t xml:space="preserve"> and search powers. In year ending March 2021, there were 52.6 stop searches for every 1,000 Black people, compared to 7.5 stop and searches for every </w:t>
      </w:r>
      <w:proofErr w:type="gramStart"/>
      <w:r>
        <w:t>1,000 white</w:t>
      </w:r>
      <w:proofErr w:type="gramEnd"/>
      <w:r>
        <w:t xml:space="preserve"> people (Home Office, 2022).  It is not just stop and search powers that are out of proportion compared to other ethnicities, but the use of force by UK police forces also shows a pattern of use that appears to be more prevalent amongst Black communities. A report published by the Home Office in 2021 shows that a higher rate of force </w:t>
      </w:r>
      <w:r>
        <w:lastRenderedPageBreak/>
        <w:t xml:space="preserve">was used in incidents with Black or minority persons (17 incidents per 1,000 people) and is over double that of use of forces against white persons, which was only at 8 incidents per 1,000 people (Bradley 2021). Despite social campaigns such as Black Lives Matters (BLM) striving for greater equality and fairness from the police and society, these statistics suggests that there is still institutional racism within the police forces of the UK, despite the recommendations made by the Macpherson Report (1999) made over 20 years ago. </w:t>
      </w:r>
    </w:p>
    <w:p w14:paraId="2022C5AB" w14:textId="77777777" w:rsidR="006E7CF8" w:rsidRDefault="006E7CF8" w:rsidP="006E7CF8">
      <w:pPr>
        <w:spacing w:line="360" w:lineRule="auto"/>
      </w:pPr>
    </w:p>
    <w:p w14:paraId="7105FFF1" w14:textId="77777777" w:rsidR="006E7CF8" w:rsidRDefault="006E7CF8" w:rsidP="006E7CF8">
      <w:pPr>
        <w:spacing w:line="360" w:lineRule="auto"/>
      </w:pPr>
      <w:r>
        <w:t xml:space="preserve">The recent and well publicised use of force against Black persons in the USA has also impacted the police forces within the UK. Despite operating as two separate entities, the public tends to generalise and associates law enforcement in the USA and UK as one. The statistics regarding use of force (Bradley 2021) and stop search powers (Home Office, 2022) by UK police on Black minorities strengthens the argument that BLM are raising, in that racism and bias are still present in the UK police forces and should not be categorised as just a ‘USA’ policing issue. </w:t>
      </w:r>
      <w:r w:rsidRPr="002C571C">
        <w:t>This has led to a general increase of anti-police sentiment within the UK as stated in a YouGov survey (2020).</w:t>
      </w:r>
      <w:r>
        <w:t xml:space="preserve"> The report states that 47% of all respondents, and 74% from all ethnic minorities, including Black, have a positive and supportive view on the Black Lives Matter movement. More damningly for the police, there is a general shared a view from these groups that the bias that is observed towards Black and other ethnic minorities from the police is a key factor in overcoming national and institutional racism within the United Kingdom. (YouGov 2021). </w:t>
      </w:r>
    </w:p>
    <w:p w14:paraId="0E38C40E" w14:textId="77777777" w:rsidR="006E7CF8" w:rsidRDefault="006E7CF8" w:rsidP="006E7CF8">
      <w:pPr>
        <w:spacing w:line="360" w:lineRule="auto"/>
      </w:pPr>
    </w:p>
    <w:p w14:paraId="32C5F82C" w14:textId="77777777" w:rsidR="006E7CF8" w:rsidRDefault="006E7CF8" w:rsidP="006E7CF8">
      <w:pPr>
        <w:spacing w:line="360" w:lineRule="auto"/>
      </w:pPr>
      <w:r>
        <w:t xml:space="preserve">Socio-economic factors also have a part to play in the community’s willingness to engage with police. There is a general belief among criminologists that there will be a higher frequency of crime in the poorer socio-economic communities and districts of a city (Newburn 2016). A report released in 2023, conducted by London’s Poverty Profile, found that 52% more crimes were recorded in the more income deprived areas than in any other area in 2022 (London’s Poverty Profile, 2023). There is a chance of this being interpreted to reflect a bias from police towards the poorer, more deprived communities. A poll conducted on voters in the general election in 2021 showed that 53% of 18–24-year-olds thought the police have a problem with classism, specifically around the average household income in any area (Mahmood, 2021).  This is further backed by a comment made by the Director for the Centre of Labour and Social Studies following on from the poll, where she states, Across the socioeconomic spectrum, working class communities are policed disproportionately, with those who are working class being identified as potentially criminal far more often that their middle-class counterparts (O’Hagan, 2021). O’Hagan also suggests that this shows that the public have a genuine concern regarding police bias. Specifically, it further strengthens the argument that </w:t>
      </w:r>
      <w:r>
        <w:lastRenderedPageBreak/>
        <w:t xml:space="preserve">communities in the ‘poorer’ areas would be less willing to engage with police, due to the suggestion that police will treat them more as criminals, even if they are the victims of crime. </w:t>
      </w:r>
    </w:p>
    <w:p w14:paraId="6FCE7477" w14:textId="77777777" w:rsidR="006E7CF8" w:rsidRDefault="006E7CF8" w:rsidP="006E7CF8">
      <w:pPr>
        <w:spacing w:line="360" w:lineRule="auto"/>
      </w:pPr>
    </w:p>
    <w:p w14:paraId="5E56FA2E" w14:textId="77777777" w:rsidR="006E7CF8" w:rsidRDefault="006E7CF8" w:rsidP="006E7CF8">
      <w:pPr>
        <w:spacing w:line="360" w:lineRule="auto"/>
      </w:pPr>
      <w:r>
        <w:t xml:space="preserve">One demographic within the UK’s communities that are feeling a decreasing confidence and willingness in approaching the police are women. A nationwide survey conducted in 2021 in partnership between the government affiliate YouGov and the End Violence Against Women Coalition shows that 47% of women responded to the survey by saying that there is a declining trust in the police, especially since the rape and murder of Sarah Everard by a servicing Metropolitan Police Officer (YouGov 2021). Statistics from the YouGov (2021) show that one in ten women would be less likely to report sexual assault to the police. Again, the overarching cause being a direct result of the loss of trust and confidence following on from Sarah Everard’s murder. This shows a clear lack of willingness from women to approach and engage with police, especially when 10% of women would not come forward as a victim of rape. This is because a populous that is lacking confidence and trust with their local police force, results in them being more reluctant to engage with police. </w:t>
      </w:r>
    </w:p>
    <w:p w14:paraId="49C8A7C7" w14:textId="77777777" w:rsidR="006E7CF8" w:rsidRDefault="006E7CF8" w:rsidP="006E7CF8">
      <w:pPr>
        <w:spacing w:line="360" w:lineRule="auto"/>
      </w:pPr>
    </w:p>
    <w:p w14:paraId="31D95ACE" w14:textId="77777777" w:rsidR="006E7CF8" w:rsidRDefault="006E7CF8" w:rsidP="006E7CF8">
      <w:pPr>
        <w:spacing w:line="360" w:lineRule="auto"/>
      </w:pPr>
      <w:r>
        <w:t xml:space="preserve">The bias women feel from the police isn’t exclusive to the victims and members of the public. Bias </w:t>
      </w:r>
      <w:r w:rsidRPr="00963BD9">
        <w:rPr>
          <w:rFonts w:asciiTheme="minorHAnsi" w:hAnsiTheme="minorHAnsi" w:cstheme="minorHAnsi"/>
        </w:rPr>
        <w:t xml:space="preserve">against women is also documented within the police forces itself. In a report completed by </w:t>
      </w:r>
      <w:r w:rsidRPr="00963BD9">
        <w:rPr>
          <w:rFonts w:asciiTheme="minorHAnsi" w:hAnsiTheme="minorHAnsi" w:cstheme="minorHAnsi"/>
          <w:color w:val="282828"/>
        </w:rPr>
        <w:t>His Majesty’s Inspectorate of Constabulary and Fire &amp; Rescue Services (HMICFRS</w:t>
      </w:r>
      <w:r>
        <w:rPr>
          <w:rFonts w:asciiTheme="minorHAnsi" w:hAnsiTheme="minorHAnsi" w:cstheme="minorHAnsi"/>
          <w:color w:val="282828"/>
        </w:rPr>
        <w:t xml:space="preserve"> 2022</w:t>
      </w:r>
      <w:r w:rsidRPr="00963BD9">
        <w:rPr>
          <w:rFonts w:asciiTheme="minorHAnsi" w:hAnsiTheme="minorHAnsi" w:cstheme="minorHAnsi"/>
          <w:color w:val="282828"/>
        </w:rPr>
        <w:t>)</w:t>
      </w:r>
      <w:r>
        <w:rPr>
          <w:rFonts w:asciiTheme="minorHAnsi" w:hAnsiTheme="minorHAnsi" w:cstheme="minorHAnsi"/>
          <w:color w:val="282828"/>
        </w:rPr>
        <w:t xml:space="preserve">, they reported that ‘many’ officers they interviewed – particularly those who were more experienced or in senior positions – stated that misogynistic and predatory behaviour towards women had reduced over the past five years, but still was present in most police forces. This shows that there is still misogyny within modern UK police forces. With these findings being made public, it is going to alienate women further and widen the confidence and trust gap that has been building between women and police. Since the very institution that is there to protect and serve them, has internal issues regarding bias against women. This ultimately leads to an increased unwillingness from women when it comes to engaging with police and a further lack of confidence and trust. </w:t>
      </w:r>
    </w:p>
    <w:p w14:paraId="7A7D5EAF" w14:textId="77777777" w:rsidR="006E7CF8" w:rsidRDefault="006E7CF8" w:rsidP="006E7CF8">
      <w:pPr>
        <w:spacing w:line="360" w:lineRule="auto"/>
      </w:pPr>
    </w:p>
    <w:p w14:paraId="36A65536" w14:textId="77777777" w:rsidR="006E7CF8" w:rsidRDefault="006E7CF8" w:rsidP="006E7CF8">
      <w:pPr>
        <w:spacing w:line="360" w:lineRule="auto"/>
      </w:pPr>
      <w:r>
        <w:t xml:space="preserve">Bias internally and externally has always existed, but a spotlight has been shone on it in recent years. It has been researched widely that police bias can impact the course of investigations, predominantly in a negative light. </w:t>
      </w:r>
      <w:r w:rsidRPr="002C571C">
        <w:t xml:space="preserve">Leo and </w:t>
      </w:r>
      <w:proofErr w:type="spellStart"/>
      <w:r w:rsidRPr="002C571C">
        <w:t>Drizin</w:t>
      </w:r>
      <w:proofErr w:type="spellEnd"/>
      <w:r>
        <w:t xml:space="preserve"> (2010) state that investigators that already have a bias towards a person, will result in leading questions being put towards the suspect, irrespective of guilt or innocence and has led to false confessions from persons who were interviewed under such circumstances. The bias from police is felt across all parts of the communities in which they operate. Black and ethnic minorities have been documented as being subject to police bias. An example of </w:t>
      </w:r>
      <w:r>
        <w:lastRenderedPageBreak/>
        <w:t xml:space="preserve">this is the police utilising stop and search powers against Black persons. at a much higher rate than those of white persons. 52.6 stop searches for every 1,000 Black people, 7.5 stop and searches for every </w:t>
      </w:r>
      <w:proofErr w:type="gramStart"/>
      <w:r>
        <w:t>1,000 white</w:t>
      </w:r>
      <w:proofErr w:type="gramEnd"/>
      <w:r>
        <w:t xml:space="preserve"> people (Home Office, 2022). Women were also documented to be victims of police bias, both externally and internally within the police. </w:t>
      </w:r>
      <w:r w:rsidRPr="00963BD9">
        <w:rPr>
          <w:rFonts w:asciiTheme="minorHAnsi" w:hAnsiTheme="minorHAnsi" w:cstheme="minorHAnsi"/>
          <w:color w:val="282828"/>
        </w:rPr>
        <w:t>HMICFRS</w:t>
      </w:r>
      <w:r>
        <w:rPr>
          <w:rFonts w:asciiTheme="minorHAnsi" w:hAnsiTheme="minorHAnsi" w:cstheme="minorHAnsi"/>
          <w:color w:val="282828"/>
        </w:rPr>
        <w:t xml:space="preserve"> report stated that misogyny was still prevalent within modern UK police forces (2022</w:t>
      </w:r>
      <w:r w:rsidRPr="00963BD9">
        <w:rPr>
          <w:rFonts w:asciiTheme="minorHAnsi" w:hAnsiTheme="minorHAnsi" w:cstheme="minorHAnsi"/>
          <w:color w:val="282828"/>
        </w:rPr>
        <w:t>)</w:t>
      </w:r>
      <w:r>
        <w:rPr>
          <w:rFonts w:asciiTheme="minorHAnsi" w:hAnsiTheme="minorHAnsi" w:cstheme="minorHAnsi"/>
          <w:color w:val="282828"/>
        </w:rPr>
        <w:t xml:space="preserve">. Furthermore, surveys conducted by </w:t>
      </w:r>
      <w:r>
        <w:t xml:space="preserve">YouGov (2021) show that 47% of women are losing trust and confidence in the police. The above leads to a reluctance to engage with the police, all due to the lack or loss of trust and confidence. With a good portion being attributed to the bias these sections of our </w:t>
      </w:r>
      <w:proofErr w:type="gramStart"/>
      <w:r>
        <w:t>communities</w:t>
      </w:r>
      <w:proofErr w:type="gramEnd"/>
      <w:r>
        <w:t xml:space="preserve"> face from the police. </w:t>
      </w:r>
    </w:p>
    <w:p w14:paraId="261FD95A" w14:textId="77777777" w:rsidR="006E7CF8" w:rsidRDefault="006E7CF8" w:rsidP="006E7CF8"/>
    <w:p w14:paraId="2EE21847" w14:textId="77777777" w:rsidR="006E7CF8" w:rsidRDefault="006E7CF8" w:rsidP="006E7CF8">
      <w:r>
        <w:t>(2011 words)</w:t>
      </w:r>
    </w:p>
    <w:p w14:paraId="32CA39AE" w14:textId="77777777" w:rsidR="006E7CF8" w:rsidRDefault="006E7CF8" w:rsidP="006E7CF8"/>
    <w:p w14:paraId="1313928B" w14:textId="77777777" w:rsidR="006E7CF8" w:rsidRDefault="006E7CF8" w:rsidP="006E7CF8"/>
    <w:p w14:paraId="70E9992A" w14:textId="77777777" w:rsidR="006E7CF8" w:rsidRPr="00D30259" w:rsidRDefault="006E7CF8" w:rsidP="006E7CF8">
      <w:pPr>
        <w:rPr>
          <w:rFonts w:asciiTheme="minorHAnsi" w:hAnsiTheme="minorHAnsi" w:cstheme="minorHAnsi"/>
          <w:shd w:val="clear" w:color="auto" w:fill="FFFFFF"/>
        </w:rPr>
      </w:pPr>
    </w:p>
    <w:p w14:paraId="4CA5C2B7" w14:textId="77777777" w:rsidR="006E7CF8" w:rsidRPr="00D30259" w:rsidRDefault="006E7CF8" w:rsidP="006E7CF8">
      <w:pPr>
        <w:rPr>
          <w:rFonts w:asciiTheme="minorHAnsi" w:hAnsiTheme="minorHAnsi" w:cstheme="minorHAnsi"/>
        </w:rPr>
      </w:pPr>
    </w:p>
    <w:p w14:paraId="0E2BB409" w14:textId="77777777" w:rsidR="006E7CF8" w:rsidRPr="00BB4113" w:rsidRDefault="006E7CF8" w:rsidP="006E7CF8">
      <w:pPr>
        <w:rPr>
          <w:rFonts w:asciiTheme="minorHAnsi" w:hAnsiTheme="minorHAnsi" w:cstheme="minorHAnsi"/>
          <w:b/>
          <w:bCs/>
          <w:u w:val="single"/>
        </w:rPr>
      </w:pPr>
      <w:r w:rsidRPr="00BB4113">
        <w:rPr>
          <w:rFonts w:asciiTheme="minorHAnsi" w:hAnsiTheme="minorHAnsi" w:cstheme="minorHAnsi"/>
          <w:b/>
          <w:bCs/>
          <w:u w:val="single"/>
        </w:rPr>
        <w:t xml:space="preserve">References </w:t>
      </w:r>
    </w:p>
    <w:p w14:paraId="3DA670AC" w14:textId="77777777" w:rsidR="006E7CF8" w:rsidRPr="00384D77"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384D77">
        <w:rPr>
          <w:rFonts w:asciiTheme="minorHAnsi" w:eastAsia="Times New Roman" w:hAnsiTheme="minorHAnsi" w:cstheme="minorHAnsi"/>
          <w:lang w:eastAsia="en-GB"/>
        </w:rPr>
        <w:t xml:space="preserve">Bradley, J. (2021) </w:t>
      </w:r>
      <w:r w:rsidRPr="00384D77">
        <w:rPr>
          <w:rFonts w:asciiTheme="minorHAnsi" w:eastAsia="Times New Roman" w:hAnsiTheme="minorHAnsi" w:cstheme="minorHAnsi"/>
          <w:i/>
          <w:iCs/>
          <w:lang w:eastAsia="en-GB"/>
        </w:rPr>
        <w:t xml:space="preserve">Police use of force statistics, </w:t>
      </w:r>
      <w:proofErr w:type="gramStart"/>
      <w:r w:rsidRPr="00384D77">
        <w:rPr>
          <w:rFonts w:asciiTheme="minorHAnsi" w:eastAsia="Times New Roman" w:hAnsiTheme="minorHAnsi" w:cstheme="minorHAnsi"/>
          <w:i/>
          <w:iCs/>
          <w:lang w:eastAsia="en-GB"/>
        </w:rPr>
        <w:t>England</w:t>
      </w:r>
      <w:proofErr w:type="gramEnd"/>
      <w:r w:rsidRPr="00384D77">
        <w:rPr>
          <w:rFonts w:asciiTheme="minorHAnsi" w:eastAsia="Times New Roman" w:hAnsiTheme="minorHAnsi" w:cstheme="minorHAnsi"/>
          <w:i/>
          <w:iCs/>
          <w:lang w:eastAsia="en-GB"/>
        </w:rPr>
        <w:t xml:space="preserve"> and Wales: April 2020 to March 2021</w:t>
      </w:r>
      <w:r w:rsidRPr="00384D77">
        <w:rPr>
          <w:rFonts w:asciiTheme="minorHAnsi" w:eastAsia="Times New Roman" w:hAnsiTheme="minorHAnsi" w:cstheme="minorHAnsi"/>
          <w:lang w:eastAsia="en-GB"/>
        </w:rPr>
        <w:t xml:space="preserve">, </w:t>
      </w:r>
      <w:r w:rsidRPr="00384D77">
        <w:rPr>
          <w:rFonts w:asciiTheme="minorHAnsi" w:eastAsia="Times New Roman" w:hAnsiTheme="minorHAnsi" w:cstheme="minorHAnsi"/>
          <w:i/>
          <w:iCs/>
          <w:lang w:eastAsia="en-GB"/>
        </w:rPr>
        <w:t>GOV.UK</w:t>
      </w:r>
      <w:r w:rsidRPr="00384D77">
        <w:rPr>
          <w:rFonts w:asciiTheme="minorHAnsi" w:eastAsia="Times New Roman" w:hAnsiTheme="minorHAnsi" w:cstheme="minorHAnsi"/>
          <w:lang w:eastAsia="en-GB"/>
        </w:rPr>
        <w:t xml:space="preserve">. Home Office. Available at: https://www.gov.uk/government/statistics/police-use-of-force-statistics-england-and-wales-april-2020-to-march-2021/police-use-of-force-statistics-england-and-wales-april-2020-to-march-2021 (Accessed: April 10, 2023). </w:t>
      </w:r>
    </w:p>
    <w:p w14:paraId="353D4130" w14:textId="77777777" w:rsidR="006E7CF8" w:rsidRPr="00D30259" w:rsidRDefault="006E7CF8" w:rsidP="006E7CF8">
      <w:pPr>
        <w:rPr>
          <w:rFonts w:asciiTheme="minorHAnsi" w:hAnsiTheme="minorHAnsi" w:cstheme="minorHAnsi"/>
          <w:shd w:val="clear" w:color="auto" w:fill="FFFFFF"/>
        </w:rPr>
      </w:pPr>
      <w:r w:rsidRPr="00D30259">
        <w:rPr>
          <w:rFonts w:asciiTheme="minorHAnsi" w:hAnsiTheme="minorHAnsi" w:cstheme="minorHAnsi"/>
          <w:shd w:val="clear" w:color="auto" w:fill="FFFFFF"/>
        </w:rPr>
        <w:t>College of Policing 2014, Code of Ethics: A Code of Practice for the Principles and Standards of Professional Behaviour for the Policing Profession of England and Wales. Accessed: 08/04/23</w:t>
      </w:r>
    </w:p>
    <w:p w14:paraId="09FAABF4" w14:textId="77777777" w:rsidR="006E7CF8" w:rsidRPr="00D30259"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D30259">
        <w:rPr>
          <w:rFonts w:asciiTheme="minorHAnsi" w:eastAsia="Times New Roman" w:hAnsiTheme="minorHAnsi" w:cstheme="minorHAnsi"/>
          <w:lang w:eastAsia="en-GB"/>
        </w:rPr>
        <w:t>Collins English Dictionary</w:t>
      </w:r>
      <w:r w:rsidRPr="00EA08E0">
        <w:rPr>
          <w:rFonts w:asciiTheme="minorHAnsi" w:eastAsia="Times New Roman" w:hAnsiTheme="minorHAnsi" w:cstheme="minorHAnsi"/>
          <w:lang w:eastAsia="en-GB"/>
        </w:rPr>
        <w:t xml:space="preserve"> (2023) </w:t>
      </w:r>
      <w:r w:rsidRPr="00EA08E0">
        <w:rPr>
          <w:rFonts w:asciiTheme="minorHAnsi" w:eastAsia="Times New Roman" w:hAnsiTheme="minorHAnsi" w:cstheme="minorHAnsi"/>
          <w:i/>
          <w:iCs/>
          <w:lang w:eastAsia="en-GB"/>
        </w:rPr>
        <w:t>Bias definition and meaning: Collins English dictionary</w:t>
      </w:r>
      <w:r w:rsidRPr="00EA08E0">
        <w:rPr>
          <w:rFonts w:asciiTheme="minorHAnsi" w:eastAsia="Times New Roman" w:hAnsiTheme="minorHAnsi" w:cstheme="minorHAnsi"/>
          <w:lang w:eastAsia="en-GB"/>
        </w:rPr>
        <w:t xml:space="preserve">, </w:t>
      </w:r>
      <w:r w:rsidRPr="00EA08E0">
        <w:rPr>
          <w:rFonts w:asciiTheme="minorHAnsi" w:eastAsia="Times New Roman" w:hAnsiTheme="minorHAnsi" w:cstheme="minorHAnsi"/>
          <w:i/>
          <w:iCs/>
          <w:lang w:eastAsia="en-GB"/>
        </w:rPr>
        <w:t>Bias definition and meaning | Collins English Dictionary</w:t>
      </w:r>
      <w:r w:rsidRPr="00EA08E0">
        <w:rPr>
          <w:rFonts w:asciiTheme="minorHAnsi" w:eastAsia="Times New Roman" w:hAnsiTheme="minorHAnsi" w:cstheme="minorHAnsi"/>
          <w:lang w:eastAsia="en-GB"/>
        </w:rPr>
        <w:t xml:space="preserve">. HarperCollins Publishers Ltd. Available at: https://www.collinsdictionary.com/dictionary/english/bias (Accessed: April 8, 2023). </w:t>
      </w:r>
    </w:p>
    <w:p w14:paraId="70A35720" w14:textId="77777777" w:rsidR="006E7CF8" w:rsidRDefault="006E7CF8" w:rsidP="006E7CF8">
      <w:pPr>
        <w:rPr>
          <w:rFonts w:asciiTheme="minorHAnsi" w:hAnsiTheme="minorHAnsi" w:cstheme="minorHAnsi"/>
          <w:shd w:val="clear" w:color="auto" w:fill="FFFFFF"/>
        </w:rPr>
      </w:pPr>
      <w:proofErr w:type="spellStart"/>
      <w:r w:rsidRPr="00D30259">
        <w:rPr>
          <w:rFonts w:asciiTheme="minorHAnsi" w:hAnsiTheme="minorHAnsi" w:cstheme="minorHAnsi"/>
          <w:shd w:val="clear" w:color="auto" w:fill="FFFFFF"/>
        </w:rPr>
        <w:t>Fridell</w:t>
      </w:r>
      <w:proofErr w:type="spellEnd"/>
      <w:r w:rsidRPr="00D30259">
        <w:rPr>
          <w:rFonts w:asciiTheme="minorHAnsi" w:hAnsiTheme="minorHAnsi" w:cstheme="minorHAnsi"/>
          <w:shd w:val="clear" w:color="auto" w:fill="FFFFFF"/>
        </w:rPr>
        <w:t xml:space="preserve">, LA 2016, Producing Bias-Free Policing: A Science-Based Approach, Springer International Publishing AG, Cham. Available from: ProQuest </w:t>
      </w:r>
      <w:proofErr w:type="spellStart"/>
      <w:r w:rsidRPr="00D30259">
        <w:rPr>
          <w:rFonts w:asciiTheme="minorHAnsi" w:hAnsiTheme="minorHAnsi" w:cstheme="minorHAnsi"/>
          <w:shd w:val="clear" w:color="auto" w:fill="FFFFFF"/>
        </w:rPr>
        <w:t>Ebook</w:t>
      </w:r>
      <w:proofErr w:type="spellEnd"/>
      <w:r w:rsidRPr="00D30259">
        <w:rPr>
          <w:rFonts w:asciiTheme="minorHAnsi" w:hAnsiTheme="minorHAnsi" w:cstheme="minorHAnsi"/>
          <w:shd w:val="clear" w:color="auto" w:fill="FFFFFF"/>
        </w:rPr>
        <w:t xml:space="preserve"> Central. [8 April 2023].</w:t>
      </w:r>
    </w:p>
    <w:p w14:paraId="45525C43" w14:textId="77777777" w:rsidR="006E7CF8" w:rsidRPr="00D30259" w:rsidRDefault="006E7CF8" w:rsidP="006E7CF8">
      <w:pPr>
        <w:rPr>
          <w:rFonts w:asciiTheme="minorHAnsi" w:hAnsiTheme="minorHAnsi" w:cstheme="minorHAnsi"/>
          <w:shd w:val="clear" w:color="auto" w:fill="FFFFFF"/>
        </w:rPr>
      </w:pPr>
    </w:p>
    <w:p w14:paraId="03AA5714" w14:textId="77777777" w:rsidR="006E7CF8" w:rsidRPr="00D30259" w:rsidRDefault="006E7CF8" w:rsidP="006E7CF8">
      <w:pPr>
        <w:rPr>
          <w:rFonts w:asciiTheme="minorHAnsi" w:hAnsiTheme="minorHAnsi" w:cstheme="minorHAnsi"/>
        </w:rPr>
      </w:pPr>
      <w:r w:rsidRPr="00D30259">
        <w:rPr>
          <w:rFonts w:asciiTheme="minorHAnsi" w:hAnsiTheme="minorHAnsi" w:cstheme="minorHAnsi"/>
        </w:rPr>
        <w:t xml:space="preserve">Hill, C., Memon, A., &amp; McGeorge, P. (2008). The role of confirmation bias in suspect interviews: A systematic evaluation. Legal and Criminological Psychology, 13, 357–371. </w:t>
      </w:r>
      <w:hyperlink r:id="rId7" w:history="1">
        <w:r w:rsidRPr="00D30259">
          <w:rPr>
            <w:rStyle w:val="Hyperlink"/>
            <w:rFonts w:asciiTheme="minorHAnsi" w:hAnsiTheme="minorHAnsi" w:cstheme="minorHAnsi"/>
            <w:color w:val="auto"/>
          </w:rPr>
          <w:t>http://dx.doi.org/10.1348/135532507X238682</w:t>
        </w:r>
      </w:hyperlink>
    </w:p>
    <w:p w14:paraId="38DB3A7C" w14:textId="77777777" w:rsidR="006E7CF8" w:rsidRPr="00963BD9"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963BD9">
        <w:rPr>
          <w:rFonts w:asciiTheme="minorHAnsi" w:eastAsia="Times New Roman" w:hAnsiTheme="minorHAnsi" w:cstheme="minorHAnsi"/>
          <w:lang w:eastAsia="en-GB"/>
        </w:rPr>
        <w:t xml:space="preserve">HMICFRS (2022) </w:t>
      </w:r>
      <w:r w:rsidRPr="00963BD9">
        <w:rPr>
          <w:rFonts w:asciiTheme="minorHAnsi" w:eastAsia="Times New Roman" w:hAnsiTheme="minorHAnsi" w:cstheme="minorHAnsi"/>
          <w:i/>
          <w:iCs/>
          <w:lang w:eastAsia="en-GB"/>
        </w:rPr>
        <w:t>An inspection of vetting, misconduct, and misogyny in the Police Service</w:t>
      </w:r>
      <w:r w:rsidRPr="00963BD9">
        <w:rPr>
          <w:rFonts w:asciiTheme="minorHAnsi" w:eastAsia="Times New Roman" w:hAnsiTheme="minorHAnsi" w:cstheme="minorHAnsi"/>
          <w:lang w:eastAsia="en-GB"/>
        </w:rPr>
        <w:t xml:space="preserve">, </w:t>
      </w:r>
      <w:r w:rsidRPr="00963BD9">
        <w:rPr>
          <w:rFonts w:asciiTheme="minorHAnsi" w:eastAsia="Times New Roman" w:hAnsiTheme="minorHAnsi" w:cstheme="minorHAnsi"/>
          <w:i/>
          <w:iCs/>
          <w:lang w:eastAsia="en-GB"/>
        </w:rPr>
        <w:t>His Majesty's Inspectorate of Constabulary and Fire &amp; Rescue Services (HMICFRS) – Home</w:t>
      </w:r>
      <w:r w:rsidRPr="00963BD9">
        <w:rPr>
          <w:rFonts w:asciiTheme="minorHAnsi" w:eastAsia="Times New Roman" w:hAnsiTheme="minorHAnsi" w:cstheme="minorHAnsi"/>
          <w:lang w:eastAsia="en-GB"/>
        </w:rPr>
        <w:t xml:space="preserve">. Justice </w:t>
      </w:r>
      <w:proofErr w:type="gramStart"/>
      <w:r w:rsidRPr="00963BD9">
        <w:rPr>
          <w:rFonts w:asciiTheme="minorHAnsi" w:eastAsia="Times New Roman" w:hAnsiTheme="minorHAnsi" w:cstheme="minorHAnsi"/>
          <w:lang w:eastAsia="en-GB"/>
        </w:rPr>
        <w:t>Inspectorates .</w:t>
      </w:r>
      <w:proofErr w:type="gramEnd"/>
      <w:r w:rsidRPr="00963BD9">
        <w:rPr>
          <w:rFonts w:asciiTheme="minorHAnsi" w:eastAsia="Times New Roman" w:hAnsiTheme="minorHAnsi" w:cstheme="minorHAnsi"/>
          <w:lang w:eastAsia="en-GB"/>
        </w:rPr>
        <w:t xml:space="preserve"> Available at: https://www.justiceinspectorates.gov.uk/hmicfrs/publication-html/an-inspection-of-vetting-misconduct-and-misogyny-in-the-police-service/ (Accessed: April 10, 2023). </w:t>
      </w:r>
    </w:p>
    <w:p w14:paraId="4D5F84EE" w14:textId="77777777" w:rsidR="006E7CF8" w:rsidRPr="00DF3162"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DF3162">
        <w:rPr>
          <w:rFonts w:asciiTheme="minorHAnsi" w:eastAsia="Times New Roman" w:hAnsiTheme="minorHAnsi" w:cstheme="minorHAnsi"/>
          <w:lang w:eastAsia="en-GB"/>
        </w:rPr>
        <w:t xml:space="preserve">Home Affairs Committee (2021) </w:t>
      </w:r>
      <w:r w:rsidRPr="00DF3162">
        <w:rPr>
          <w:rFonts w:asciiTheme="minorHAnsi" w:eastAsia="Times New Roman" w:hAnsiTheme="minorHAnsi" w:cstheme="minorHAnsi"/>
          <w:i/>
          <w:iCs/>
          <w:lang w:eastAsia="en-GB"/>
        </w:rPr>
        <w:t>The Macpherson Report: Twenty-two years on - committees - UK parliament</w:t>
      </w:r>
      <w:r w:rsidRPr="00DF3162">
        <w:rPr>
          <w:rFonts w:asciiTheme="minorHAnsi" w:eastAsia="Times New Roman" w:hAnsiTheme="minorHAnsi" w:cstheme="minorHAnsi"/>
          <w:lang w:eastAsia="en-GB"/>
        </w:rPr>
        <w:t xml:space="preserve">, </w:t>
      </w:r>
      <w:r w:rsidRPr="00DF3162">
        <w:rPr>
          <w:rFonts w:asciiTheme="minorHAnsi" w:eastAsia="Times New Roman" w:hAnsiTheme="minorHAnsi" w:cstheme="minorHAnsi"/>
          <w:i/>
          <w:iCs/>
          <w:lang w:eastAsia="en-GB"/>
        </w:rPr>
        <w:t>UK Parliament</w:t>
      </w:r>
      <w:r w:rsidRPr="00DF3162">
        <w:rPr>
          <w:rFonts w:asciiTheme="minorHAnsi" w:eastAsia="Times New Roman" w:hAnsiTheme="minorHAnsi" w:cstheme="minorHAnsi"/>
          <w:lang w:eastAsia="en-GB"/>
        </w:rPr>
        <w:t xml:space="preserve">. Available at: https://committees.parliament.uk/work/347/the-macpherson-report-twentyone-years-on/ (Accessed: April 9, 2023). </w:t>
      </w:r>
    </w:p>
    <w:p w14:paraId="647B8F27" w14:textId="77777777" w:rsidR="006E7CF8" w:rsidRPr="002C571C"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2C571C">
        <w:rPr>
          <w:rFonts w:asciiTheme="minorHAnsi" w:eastAsia="Times New Roman" w:hAnsiTheme="minorHAnsi" w:cstheme="minorHAnsi"/>
          <w:lang w:eastAsia="en-GB"/>
        </w:rPr>
        <w:lastRenderedPageBreak/>
        <w:t xml:space="preserve">Home Office (2021) </w:t>
      </w:r>
      <w:r w:rsidRPr="002C571C">
        <w:rPr>
          <w:rFonts w:asciiTheme="minorHAnsi" w:eastAsia="Times New Roman" w:hAnsiTheme="minorHAnsi" w:cstheme="minorHAnsi"/>
          <w:i/>
          <w:iCs/>
          <w:lang w:eastAsia="en-GB"/>
        </w:rPr>
        <w:t>About Us</w:t>
      </w:r>
      <w:r w:rsidRPr="002C571C">
        <w:rPr>
          <w:rFonts w:asciiTheme="minorHAnsi" w:eastAsia="Times New Roman" w:hAnsiTheme="minorHAnsi" w:cstheme="minorHAnsi"/>
          <w:lang w:eastAsia="en-GB"/>
        </w:rPr>
        <w:t xml:space="preserve">, </w:t>
      </w:r>
      <w:r w:rsidRPr="002C571C">
        <w:rPr>
          <w:rFonts w:asciiTheme="minorHAnsi" w:eastAsia="Times New Roman" w:hAnsiTheme="minorHAnsi" w:cstheme="minorHAnsi"/>
          <w:i/>
          <w:iCs/>
          <w:lang w:eastAsia="en-GB"/>
        </w:rPr>
        <w:t>GOV.UK</w:t>
      </w:r>
      <w:r w:rsidRPr="002C571C">
        <w:rPr>
          <w:rFonts w:asciiTheme="minorHAnsi" w:eastAsia="Times New Roman" w:hAnsiTheme="minorHAnsi" w:cstheme="minorHAnsi"/>
          <w:lang w:eastAsia="en-GB"/>
        </w:rPr>
        <w:t xml:space="preserve">. GOV.UK. Available at: https://www.gov.uk/government/organisations/home-office/about#:~:text=keeping%20the%20United%20Kingdom%20safe,and%20stay%20in%20the%20UK (Accessed: April 10, 2023). </w:t>
      </w:r>
    </w:p>
    <w:p w14:paraId="732FAC33" w14:textId="77777777" w:rsidR="006E7CF8" w:rsidRPr="00FB6F54"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FB6F54">
        <w:rPr>
          <w:rFonts w:asciiTheme="minorHAnsi" w:eastAsia="Times New Roman" w:hAnsiTheme="minorHAnsi" w:cstheme="minorHAnsi"/>
          <w:lang w:eastAsia="en-GB"/>
        </w:rPr>
        <w:t xml:space="preserve">Home Office (2022) </w:t>
      </w:r>
      <w:r w:rsidRPr="00FB6F54">
        <w:rPr>
          <w:rFonts w:asciiTheme="minorHAnsi" w:eastAsia="Times New Roman" w:hAnsiTheme="minorHAnsi" w:cstheme="minorHAnsi"/>
          <w:i/>
          <w:iCs/>
          <w:lang w:eastAsia="en-GB"/>
        </w:rPr>
        <w:t>Stop and search</w:t>
      </w:r>
      <w:r w:rsidRPr="00FB6F54">
        <w:rPr>
          <w:rFonts w:asciiTheme="minorHAnsi" w:eastAsia="Times New Roman" w:hAnsiTheme="minorHAnsi" w:cstheme="minorHAnsi"/>
          <w:lang w:eastAsia="en-GB"/>
        </w:rPr>
        <w:t xml:space="preserve">, </w:t>
      </w:r>
      <w:r w:rsidRPr="00FB6F54">
        <w:rPr>
          <w:rFonts w:asciiTheme="minorHAnsi" w:eastAsia="Times New Roman" w:hAnsiTheme="minorHAnsi" w:cstheme="minorHAnsi"/>
          <w:i/>
          <w:iCs/>
          <w:lang w:eastAsia="en-GB"/>
        </w:rPr>
        <w:t>GOV.UK Ethnicity facts and figures</w:t>
      </w:r>
      <w:r w:rsidRPr="00FB6F54">
        <w:rPr>
          <w:rFonts w:asciiTheme="minorHAnsi" w:eastAsia="Times New Roman" w:hAnsiTheme="minorHAnsi" w:cstheme="minorHAnsi"/>
          <w:lang w:eastAsia="en-GB"/>
        </w:rPr>
        <w:t xml:space="preserve">. Home Office. Available at: https://www.ethnicity-facts-figures.service.gov.uk/crime-justice-and-the-law/policing/stop-and-search/latest (Accessed: April 9, 2023). </w:t>
      </w:r>
    </w:p>
    <w:p w14:paraId="06EE02FD" w14:textId="77777777" w:rsidR="006E7CF8" w:rsidRPr="00D30259"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D30259">
        <w:rPr>
          <w:rFonts w:asciiTheme="minorHAnsi" w:eastAsia="Times New Roman" w:hAnsiTheme="minorHAnsi" w:cstheme="minorHAnsi"/>
          <w:i/>
          <w:iCs/>
          <w:lang w:eastAsia="en-GB"/>
        </w:rPr>
        <w:t xml:space="preserve">Imperial College London (no date) </w:t>
      </w:r>
      <w:r w:rsidRPr="00336F7E">
        <w:rPr>
          <w:rFonts w:asciiTheme="minorHAnsi" w:eastAsia="Times New Roman" w:hAnsiTheme="minorHAnsi" w:cstheme="minorHAnsi"/>
          <w:i/>
          <w:iCs/>
          <w:lang w:eastAsia="en-GB"/>
        </w:rPr>
        <w:t>Unconscious bias</w:t>
      </w:r>
      <w:r w:rsidRPr="00336F7E">
        <w:rPr>
          <w:rFonts w:asciiTheme="minorHAnsi" w:eastAsia="Times New Roman" w:hAnsiTheme="minorHAnsi" w:cstheme="minorHAnsi"/>
          <w:lang w:eastAsia="en-GB"/>
        </w:rPr>
        <w:t xml:space="preserve"> (no date) </w:t>
      </w:r>
      <w:r w:rsidRPr="00336F7E">
        <w:rPr>
          <w:rFonts w:asciiTheme="minorHAnsi" w:eastAsia="Times New Roman" w:hAnsiTheme="minorHAnsi" w:cstheme="minorHAnsi"/>
          <w:i/>
          <w:iCs/>
          <w:lang w:eastAsia="en-GB"/>
        </w:rPr>
        <w:t>Imperial College London</w:t>
      </w:r>
      <w:r w:rsidRPr="00336F7E">
        <w:rPr>
          <w:rFonts w:asciiTheme="minorHAnsi" w:eastAsia="Times New Roman" w:hAnsiTheme="minorHAnsi" w:cstheme="minorHAnsi"/>
          <w:lang w:eastAsia="en-GB"/>
        </w:rPr>
        <w:t xml:space="preserve">. Available at: https://www.imperial.ac.uk/equality/resources/unconscious-bias/ (Accessed: April 8, 2023). </w:t>
      </w:r>
    </w:p>
    <w:p w14:paraId="73F54B18" w14:textId="77777777" w:rsidR="006E7CF8" w:rsidRPr="00D30259" w:rsidRDefault="006E7CF8" w:rsidP="006E7CF8">
      <w:pPr>
        <w:rPr>
          <w:rFonts w:asciiTheme="minorHAnsi" w:hAnsiTheme="minorHAnsi" w:cstheme="minorHAnsi"/>
        </w:rPr>
      </w:pPr>
      <w:proofErr w:type="spellStart"/>
      <w:r w:rsidRPr="00D30259">
        <w:rPr>
          <w:rFonts w:asciiTheme="minorHAnsi" w:hAnsiTheme="minorHAnsi" w:cstheme="minorHAnsi"/>
        </w:rPr>
        <w:t>Kassin</w:t>
      </w:r>
      <w:proofErr w:type="spellEnd"/>
      <w:r w:rsidRPr="00D30259">
        <w:rPr>
          <w:rFonts w:asciiTheme="minorHAnsi" w:hAnsiTheme="minorHAnsi" w:cstheme="minorHAnsi"/>
        </w:rPr>
        <w:t xml:space="preserve">, S. M., Goldstein, C. C., &amp; </w:t>
      </w:r>
      <w:proofErr w:type="spellStart"/>
      <w:r w:rsidRPr="00D30259">
        <w:rPr>
          <w:rFonts w:asciiTheme="minorHAnsi" w:hAnsiTheme="minorHAnsi" w:cstheme="minorHAnsi"/>
        </w:rPr>
        <w:t>Savitsky</w:t>
      </w:r>
      <w:proofErr w:type="spellEnd"/>
      <w:r w:rsidRPr="00D30259">
        <w:rPr>
          <w:rFonts w:asciiTheme="minorHAnsi" w:hAnsiTheme="minorHAnsi" w:cstheme="minorHAnsi"/>
        </w:rPr>
        <w:t>, K. (2003). Behavioural confirmation in the interrogation room: On the dangers of presuming guilt. Law and Human Behaviour, 27, 187–203. http://dx.doi.org/10.1023/A: 1022599230598</w:t>
      </w:r>
    </w:p>
    <w:p w14:paraId="244ED7D9" w14:textId="77777777" w:rsidR="006E7CF8" w:rsidRPr="00C151BF" w:rsidRDefault="006E7CF8" w:rsidP="006E7CF8">
      <w:pPr>
        <w:spacing w:before="100" w:beforeAutospacing="1" w:after="100" w:afterAutospacing="1"/>
        <w:rPr>
          <w:rFonts w:asciiTheme="minorHAnsi" w:eastAsia="Times New Roman" w:hAnsiTheme="minorHAnsi" w:cstheme="minorHAnsi"/>
          <w:lang w:eastAsia="en-GB"/>
        </w:rPr>
      </w:pPr>
      <w:r w:rsidRPr="00C151BF">
        <w:rPr>
          <w:rFonts w:asciiTheme="minorHAnsi" w:eastAsia="Times New Roman" w:hAnsiTheme="minorHAnsi" w:cstheme="minorHAnsi"/>
          <w:lang w:eastAsia="en-GB"/>
        </w:rPr>
        <w:t xml:space="preserve">Lawrence, B. (2021) </w:t>
      </w:r>
      <w:r w:rsidRPr="00C151BF">
        <w:rPr>
          <w:rFonts w:asciiTheme="minorHAnsi" w:eastAsia="Times New Roman" w:hAnsiTheme="minorHAnsi" w:cstheme="minorHAnsi"/>
          <w:i/>
          <w:iCs/>
          <w:lang w:eastAsia="en-GB"/>
        </w:rPr>
        <w:t>The Macpherson Report: Twenty-Two Years on - home affairs committee ...</w:t>
      </w:r>
      <w:r w:rsidRPr="00C151BF">
        <w:rPr>
          <w:rFonts w:asciiTheme="minorHAnsi" w:eastAsia="Times New Roman" w:hAnsiTheme="minorHAnsi" w:cstheme="minorHAnsi"/>
          <w:lang w:eastAsia="en-GB"/>
        </w:rPr>
        <w:t xml:space="preserve">, </w:t>
      </w:r>
      <w:r w:rsidRPr="00C151BF">
        <w:rPr>
          <w:rFonts w:asciiTheme="minorHAnsi" w:eastAsia="Times New Roman" w:hAnsiTheme="minorHAnsi" w:cstheme="minorHAnsi"/>
          <w:i/>
          <w:iCs/>
          <w:lang w:eastAsia="en-GB"/>
        </w:rPr>
        <w:t>The Macpherson Report: Twenty-two years on</w:t>
      </w:r>
      <w:r w:rsidRPr="00C151BF">
        <w:rPr>
          <w:rFonts w:asciiTheme="minorHAnsi" w:eastAsia="Times New Roman" w:hAnsiTheme="minorHAnsi" w:cstheme="minorHAnsi"/>
          <w:lang w:eastAsia="en-GB"/>
        </w:rPr>
        <w:t xml:space="preserve">. Home Affairs Committee. Available at: https://publications.parliament.uk/pa/cm5802/cmselect/cmhaff/139/13902.htm (Accessed: April 8, 2023). </w:t>
      </w:r>
    </w:p>
    <w:p w14:paraId="7FBB6AAF" w14:textId="77777777" w:rsidR="006E7CF8" w:rsidRPr="00D30259" w:rsidRDefault="006E7CF8" w:rsidP="006E7CF8">
      <w:pPr>
        <w:rPr>
          <w:rFonts w:asciiTheme="minorHAnsi" w:hAnsiTheme="minorHAnsi" w:cstheme="minorHAnsi"/>
        </w:rPr>
      </w:pPr>
      <w:r w:rsidRPr="00D30259">
        <w:rPr>
          <w:rFonts w:asciiTheme="minorHAnsi" w:hAnsiTheme="minorHAnsi" w:cstheme="minorHAnsi"/>
        </w:rPr>
        <w:t xml:space="preserve">Leo, R. A., &amp; </w:t>
      </w:r>
      <w:proofErr w:type="spellStart"/>
      <w:r w:rsidRPr="00D30259">
        <w:rPr>
          <w:rFonts w:asciiTheme="minorHAnsi" w:hAnsiTheme="minorHAnsi" w:cstheme="minorHAnsi"/>
        </w:rPr>
        <w:t>Drizin</w:t>
      </w:r>
      <w:proofErr w:type="spellEnd"/>
      <w:r w:rsidRPr="00D30259">
        <w:rPr>
          <w:rFonts w:asciiTheme="minorHAnsi" w:hAnsiTheme="minorHAnsi" w:cstheme="minorHAnsi"/>
        </w:rPr>
        <w:t>, S. A. (2010). The three errors: Pathways to false confession and wrongful conviction. In G. D. Lassiter &amp; C. A. Meissner (Eds.), Police interrogations and false confessions, current research, practice, and policy recommendations (pp. 9 –30). Washington, DC: American Psychological Association.</w:t>
      </w:r>
    </w:p>
    <w:p w14:paraId="53F8A705" w14:textId="77777777" w:rsidR="006E7CF8" w:rsidRPr="00700C1F"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700C1F">
        <w:rPr>
          <w:rFonts w:asciiTheme="minorHAnsi" w:eastAsia="Times New Roman" w:hAnsiTheme="minorHAnsi" w:cstheme="minorHAnsi"/>
          <w:lang w:eastAsia="en-GB"/>
        </w:rPr>
        <w:t xml:space="preserve">London's Poverty Profile (2023) </w:t>
      </w:r>
      <w:r w:rsidRPr="00700C1F">
        <w:rPr>
          <w:rFonts w:asciiTheme="minorHAnsi" w:eastAsia="Times New Roman" w:hAnsiTheme="minorHAnsi" w:cstheme="minorHAnsi"/>
          <w:i/>
          <w:iCs/>
          <w:lang w:eastAsia="en-GB"/>
        </w:rPr>
        <w:t>Crime and income deprivation</w:t>
      </w:r>
      <w:r w:rsidRPr="00700C1F">
        <w:rPr>
          <w:rFonts w:asciiTheme="minorHAnsi" w:eastAsia="Times New Roman" w:hAnsiTheme="minorHAnsi" w:cstheme="minorHAnsi"/>
          <w:lang w:eastAsia="en-GB"/>
        </w:rPr>
        <w:t xml:space="preserve">, </w:t>
      </w:r>
      <w:r w:rsidRPr="00700C1F">
        <w:rPr>
          <w:rFonts w:asciiTheme="minorHAnsi" w:eastAsia="Times New Roman" w:hAnsiTheme="minorHAnsi" w:cstheme="minorHAnsi"/>
          <w:i/>
          <w:iCs/>
          <w:lang w:eastAsia="en-GB"/>
        </w:rPr>
        <w:t>Trust for London</w:t>
      </w:r>
      <w:r w:rsidRPr="00700C1F">
        <w:rPr>
          <w:rFonts w:asciiTheme="minorHAnsi" w:eastAsia="Times New Roman" w:hAnsiTheme="minorHAnsi" w:cstheme="minorHAnsi"/>
          <w:lang w:eastAsia="en-GB"/>
        </w:rPr>
        <w:t xml:space="preserve">. Available at: https://www.trustforlondon.org.uk/data/crime-and-income-deprivation/ (Accessed: April 10, 2023). </w:t>
      </w:r>
    </w:p>
    <w:p w14:paraId="052C56F1" w14:textId="77777777" w:rsidR="006E7CF8" w:rsidRPr="001B20BF"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1B20BF">
        <w:rPr>
          <w:rFonts w:asciiTheme="minorHAnsi" w:eastAsia="Times New Roman" w:hAnsiTheme="minorHAnsi" w:cstheme="minorHAnsi"/>
          <w:lang w:eastAsia="en-GB"/>
        </w:rPr>
        <w:t xml:space="preserve">Macpherson, W. (1999) </w:t>
      </w:r>
      <w:r w:rsidRPr="001B20BF">
        <w:rPr>
          <w:rFonts w:asciiTheme="minorHAnsi" w:eastAsia="Times New Roman" w:hAnsiTheme="minorHAnsi" w:cstheme="minorHAnsi"/>
          <w:i/>
          <w:iCs/>
          <w:lang w:eastAsia="en-GB"/>
        </w:rPr>
        <w:t>THE STEPHEN LAWRENCE INQUIRY</w:t>
      </w:r>
      <w:r w:rsidRPr="001B20BF">
        <w:rPr>
          <w:rFonts w:asciiTheme="minorHAnsi" w:eastAsia="Times New Roman" w:hAnsiTheme="minorHAnsi" w:cstheme="minorHAnsi"/>
          <w:lang w:eastAsia="en-GB"/>
        </w:rPr>
        <w:t xml:space="preserve">. rep. London, UK: Home Department, pp. 1–389. </w:t>
      </w:r>
    </w:p>
    <w:p w14:paraId="11101327" w14:textId="77777777" w:rsidR="006E7CF8" w:rsidRPr="00A55FD3"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A55FD3">
        <w:rPr>
          <w:rFonts w:asciiTheme="minorHAnsi" w:eastAsia="Times New Roman" w:hAnsiTheme="minorHAnsi" w:cstheme="minorHAnsi"/>
          <w:lang w:eastAsia="en-GB"/>
        </w:rPr>
        <w:t xml:space="preserve">Mahmood, B. (2021) </w:t>
      </w:r>
      <w:r w:rsidRPr="00A55FD3">
        <w:rPr>
          <w:rFonts w:asciiTheme="minorHAnsi" w:eastAsia="Times New Roman" w:hAnsiTheme="minorHAnsi" w:cstheme="minorHAnsi"/>
          <w:i/>
          <w:iCs/>
          <w:lang w:eastAsia="en-GB"/>
        </w:rPr>
        <w:t>Exclusive: Voters think police have a problem with class bias, poll finds</w:t>
      </w:r>
      <w:r w:rsidRPr="00A55FD3">
        <w:rPr>
          <w:rFonts w:asciiTheme="minorHAnsi" w:eastAsia="Times New Roman" w:hAnsiTheme="minorHAnsi" w:cstheme="minorHAnsi"/>
          <w:lang w:eastAsia="en-GB"/>
        </w:rPr>
        <w:t xml:space="preserve">, </w:t>
      </w:r>
      <w:r w:rsidRPr="00A55FD3">
        <w:rPr>
          <w:rFonts w:asciiTheme="minorHAnsi" w:eastAsia="Times New Roman" w:hAnsiTheme="minorHAnsi" w:cstheme="minorHAnsi"/>
          <w:i/>
          <w:iCs/>
          <w:lang w:eastAsia="en-GB"/>
        </w:rPr>
        <w:t>Left Foot Forward: Leading the UK's progressive debate</w:t>
      </w:r>
      <w:r w:rsidRPr="00A55FD3">
        <w:rPr>
          <w:rFonts w:asciiTheme="minorHAnsi" w:eastAsia="Times New Roman" w:hAnsiTheme="minorHAnsi" w:cstheme="minorHAnsi"/>
          <w:lang w:eastAsia="en-GB"/>
        </w:rPr>
        <w:t xml:space="preserve">. LFF. Available at: https://leftfootforward.org/2021/10/exclusive-voters-think-police-have-a-problem-with-class-bias-poll-finds/ (Accessed: April 10, 2023). </w:t>
      </w:r>
    </w:p>
    <w:p w14:paraId="30BB6A1A" w14:textId="77777777" w:rsidR="006E7CF8" w:rsidRPr="002C571C"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2C571C">
        <w:rPr>
          <w:rFonts w:asciiTheme="minorHAnsi" w:eastAsia="Times New Roman" w:hAnsiTheme="minorHAnsi" w:cstheme="minorHAnsi"/>
          <w:lang w:eastAsia="en-GB"/>
        </w:rPr>
        <w:t xml:space="preserve">Ministry of Justice (2022) </w:t>
      </w:r>
      <w:r w:rsidRPr="002C571C">
        <w:rPr>
          <w:rFonts w:asciiTheme="minorHAnsi" w:eastAsia="Times New Roman" w:hAnsiTheme="minorHAnsi" w:cstheme="minorHAnsi"/>
          <w:i/>
          <w:iCs/>
          <w:lang w:eastAsia="en-GB"/>
        </w:rPr>
        <w:t>Women and the Criminal Justice System 2021</w:t>
      </w:r>
      <w:r w:rsidRPr="002C571C">
        <w:rPr>
          <w:rFonts w:asciiTheme="minorHAnsi" w:eastAsia="Times New Roman" w:hAnsiTheme="minorHAnsi" w:cstheme="minorHAnsi"/>
          <w:lang w:eastAsia="en-GB"/>
        </w:rPr>
        <w:t xml:space="preserve">, </w:t>
      </w:r>
      <w:r w:rsidRPr="002C571C">
        <w:rPr>
          <w:rFonts w:asciiTheme="minorHAnsi" w:eastAsia="Times New Roman" w:hAnsiTheme="minorHAnsi" w:cstheme="minorHAnsi"/>
          <w:i/>
          <w:iCs/>
          <w:lang w:eastAsia="en-GB"/>
        </w:rPr>
        <w:t>GOV.UK</w:t>
      </w:r>
      <w:r w:rsidRPr="002C571C">
        <w:rPr>
          <w:rFonts w:asciiTheme="minorHAnsi" w:eastAsia="Times New Roman" w:hAnsiTheme="minorHAnsi" w:cstheme="minorHAnsi"/>
          <w:lang w:eastAsia="en-GB"/>
        </w:rPr>
        <w:t xml:space="preserve">. GOV.UK. Available at: https://www.gov.uk/government/statistics/women-and-the-criminal-justice-system-2021 (Accessed: April 10, 2023). </w:t>
      </w:r>
    </w:p>
    <w:p w14:paraId="20E2445C" w14:textId="77777777" w:rsidR="006E7CF8" w:rsidRPr="00700C1F"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700C1F">
        <w:rPr>
          <w:rFonts w:asciiTheme="minorHAnsi" w:eastAsia="Times New Roman" w:hAnsiTheme="minorHAnsi" w:cstheme="minorHAnsi"/>
          <w:lang w:eastAsia="en-GB"/>
        </w:rPr>
        <w:t xml:space="preserve">Newburn, T. (2016) </w:t>
      </w:r>
      <w:r w:rsidRPr="00700C1F">
        <w:rPr>
          <w:rFonts w:asciiTheme="minorHAnsi" w:eastAsia="Times New Roman" w:hAnsiTheme="minorHAnsi" w:cstheme="minorHAnsi"/>
          <w:i/>
          <w:iCs/>
          <w:lang w:eastAsia="en-GB"/>
        </w:rPr>
        <w:t>Social disadvantage, crime, and Punishment - London School of Economics</w:t>
      </w:r>
      <w:r w:rsidRPr="00700C1F">
        <w:rPr>
          <w:rFonts w:asciiTheme="minorHAnsi" w:eastAsia="Times New Roman" w:hAnsiTheme="minorHAnsi" w:cstheme="minorHAnsi"/>
          <w:lang w:eastAsia="en-GB"/>
        </w:rPr>
        <w:t xml:space="preserve">, </w:t>
      </w:r>
      <w:r w:rsidRPr="00700C1F">
        <w:rPr>
          <w:rFonts w:asciiTheme="minorHAnsi" w:eastAsia="Times New Roman" w:hAnsiTheme="minorHAnsi" w:cstheme="minorHAnsi"/>
          <w:i/>
          <w:iCs/>
          <w:lang w:eastAsia="en-GB"/>
        </w:rPr>
        <w:t>LSE Research Online</w:t>
      </w:r>
      <w:r w:rsidRPr="00700C1F">
        <w:rPr>
          <w:rFonts w:asciiTheme="minorHAnsi" w:eastAsia="Times New Roman" w:hAnsiTheme="minorHAnsi" w:cstheme="minorHAnsi"/>
          <w:lang w:eastAsia="en-GB"/>
        </w:rPr>
        <w:t xml:space="preserve">. London School of Economics and Political Science. Available at: https://eprints.lse.ac.uk/68133/1/Newburn_Social%20Disadvantage%20and%20Crime.pdf (Accessed: April 10, 2023). </w:t>
      </w:r>
    </w:p>
    <w:p w14:paraId="236539E4" w14:textId="77777777" w:rsidR="006E7CF8" w:rsidRPr="00A55FD3" w:rsidRDefault="006E7CF8" w:rsidP="006E7CF8">
      <w:pPr>
        <w:spacing w:before="100" w:beforeAutospacing="1" w:after="100" w:afterAutospacing="1"/>
        <w:ind w:left="567" w:hanging="567"/>
        <w:rPr>
          <w:rFonts w:asciiTheme="minorHAnsi" w:eastAsia="Times New Roman" w:hAnsiTheme="minorHAnsi" w:cstheme="minorHAnsi"/>
          <w:lang w:eastAsia="en-GB"/>
        </w:rPr>
      </w:pPr>
      <w:r>
        <w:rPr>
          <w:rFonts w:asciiTheme="minorHAnsi" w:eastAsia="Times New Roman" w:hAnsiTheme="minorHAnsi" w:cstheme="minorHAnsi"/>
          <w:lang w:eastAsia="en-GB"/>
        </w:rPr>
        <w:t>O’Hagan, E.M</w:t>
      </w:r>
      <w:r w:rsidRPr="00A55FD3">
        <w:rPr>
          <w:rFonts w:asciiTheme="minorHAnsi" w:eastAsia="Times New Roman" w:hAnsiTheme="minorHAnsi" w:cstheme="minorHAnsi"/>
          <w:lang w:eastAsia="en-GB"/>
        </w:rPr>
        <w:t xml:space="preserve">. (2021) </w:t>
      </w:r>
      <w:r w:rsidRPr="00A55FD3">
        <w:rPr>
          <w:rFonts w:asciiTheme="minorHAnsi" w:eastAsia="Times New Roman" w:hAnsiTheme="minorHAnsi" w:cstheme="minorHAnsi"/>
          <w:i/>
          <w:iCs/>
          <w:lang w:eastAsia="en-GB"/>
        </w:rPr>
        <w:t>Exclusive: Voters think police have a problem with class bias, poll finds</w:t>
      </w:r>
      <w:r w:rsidRPr="00A55FD3">
        <w:rPr>
          <w:rFonts w:asciiTheme="minorHAnsi" w:eastAsia="Times New Roman" w:hAnsiTheme="minorHAnsi" w:cstheme="minorHAnsi"/>
          <w:lang w:eastAsia="en-GB"/>
        </w:rPr>
        <w:t xml:space="preserve">, </w:t>
      </w:r>
      <w:r w:rsidRPr="00A55FD3">
        <w:rPr>
          <w:rFonts w:asciiTheme="minorHAnsi" w:eastAsia="Times New Roman" w:hAnsiTheme="minorHAnsi" w:cstheme="minorHAnsi"/>
          <w:i/>
          <w:iCs/>
          <w:lang w:eastAsia="en-GB"/>
        </w:rPr>
        <w:t>Left Foot Forward: Leading the UK's progressive debate</w:t>
      </w:r>
      <w:r w:rsidRPr="00A55FD3">
        <w:rPr>
          <w:rFonts w:asciiTheme="minorHAnsi" w:eastAsia="Times New Roman" w:hAnsiTheme="minorHAnsi" w:cstheme="minorHAnsi"/>
          <w:lang w:eastAsia="en-GB"/>
        </w:rPr>
        <w:t xml:space="preserve">. LFF. Available at: https://leftfootforward.org/2021/10/exclusive-voters-think-police-have-a-problem-with-class-bias-poll-finds/ (Accessed: April 10, 2023). </w:t>
      </w:r>
    </w:p>
    <w:p w14:paraId="7D6AA9B4" w14:textId="77777777" w:rsidR="006E7CF8" w:rsidRPr="00EA08E0"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D30259">
        <w:rPr>
          <w:rFonts w:asciiTheme="minorHAnsi" w:hAnsiTheme="minorHAnsi" w:cstheme="minorHAnsi"/>
        </w:rPr>
        <w:lastRenderedPageBreak/>
        <w:t xml:space="preserve">Van Den </w:t>
      </w:r>
      <w:proofErr w:type="spellStart"/>
      <w:r w:rsidRPr="00D30259">
        <w:rPr>
          <w:rFonts w:asciiTheme="minorHAnsi" w:hAnsiTheme="minorHAnsi" w:cstheme="minorHAnsi"/>
        </w:rPr>
        <w:t>Eeden</w:t>
      </w:r>
      <w:proofErr w:type="spellEnd"/>
      <w:r w:rsidRPr="00D30259">
        <w:rPr>
          <w:rFonts w:asciiTheme="minorHAnsi" w:hAnsiTheme="minorHAnsi" w:cstheme="minorHAnsi"/>
        </w:rPr>
        <w:t xml:space="preserve">, C. A. J., de Poot, C. J., &amp; van </w:t>
      </w:r>
      <w:proofErr w:type="spellStart"/>
      <w:r w:rsidRPr="00D30259">
        <w:rPr>
          <w:rFonts w:asciiTheme="minorHAnsi" w:hAnsiTheme="minorHAnsi" w:cstheme="minorHAnsi"/>
        </w:rPr>
        <w:t>Koppen</w:t>
      </w:r>
      <w:proofErr w:type="spellEnd"/>
      <w:r w:rsidRPr="00D30259">
        <w:rPr>
          <w:rFonts w:asciiTheme="minorHAnsi" w:hAnsiTheme="minorHAnsi" w:cstheme="minorHAnsi"/>
        </w:rPr>
        <w:t>, P. J. (2016). Forensic expectations: Investigating a crime scene with prior information. Science &amp; Justice, 56, 475– 481. http://dx.doi.org/10.1016/j.scijus .2016.08.003</w:t>
      </w:r>
    </w:p>
    <w:p w14:paraId="7FFD6256" w14:textId="77777777" w:rsidR="006E7CF8" w:rsidRPr="002C571C"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2C571C">
        <w:rPr>
          <w:rFonts w:asciiTheme="minorHAnsi" w:eastAsia="Times New Roman" w:hAnsiTheme="minorHAnsi" w:cstheme="minorHAnsi"/>
          <w:lang w:eastAsia="en-GB"/>
        </w:rPr>
        <w:t xml:space="preserve">YouGov (2021) </w:t>
      </w:r>
      <w:r w:rsidRPr="002C571C">
        <w:rPr>
          <w:rFonts w:asciiTheme="minorHAnsi" w:eastAsia="Times New Roman" w:hAnsiTheme="minorHAnsi" w:cstheme="minorHAnsi"/>
          <w:i/>
          <w:iCs/>
          <w:lang w:eastAsia="en-GB"/>
        </w:rPr>
        <w:t xml:space="preserve">Black lives matter: </w:t>
      </w:r>
      <w:proofErr w:type="gramStart"/>
      <w:r w:rsidRPr="002C571C">
        <w:rPr>
          <w:rFonts w:asciiTheme="minorHAnsi" w:eastAsia="Times New Roman" w:hAnsiTheme="minorHAnsi" w:cstheme="minorHAnsi"/>
          <w:i/>
          <w:iCs/>
          <w:lang w:eastAsia="en-GB"/>
        </w:rPr>
        <w:t>New</w:t>
      </w:r>
      <w:proofErr w:type="gramEnd"/>
      <w:r w:rsidRPr="002C571C">
        <w:rPr>
          <w:rFonts w:asciiTheme="minorHAnsi" w:eastAsia="Times New Roman" w:hAnsiTheme="minorHAnsi" w:cstheme="minorHAnsi"/>
          <w:i/>
          <w:iCs/>
          <w:lang w:eastAsia="en-GB"/>
        </w:rPr>
        <w:t xml:space="preserve"> race inequalities commission and a London ...</w:t>
      </w:r>
      <w:r w:rsidRPr="002C571C">
        <w:rPr>
          <w:rFonts w:asciiTheme="minorHAnsi" w:eastAsia="Times New Roman" w:hAnsiTheme="minorHAnsi" w:cstheme="minorHAnsi"/>
          <w:lang w:eastAsia="en-GB"/>
        </w:rPr>
        <w:t xml:space="preserve">, </w:t>
      </w:r>
      <w:r w:rsidRPr="002C571C">
        <w:rPr>
          <w:rFonts w:asciiTheme="minorHAnsi" w:eastAsia="Times New Roman" w:hAnsiTheme="minorHAnsi" w:cstheme="minorHAnsi"/>
          <w:i/>
          <w:iCs/>
          <w:lang w:eastAsia="en-GB"/>
        </w:rPr>
        <w:t>House of Lords Library</w:t>
      </w:r>
      <w:r w:rsidRPr="002C571C">
        <w:rPr>
          <w:rFonts w:asciiTheme="minorHAnsi" w:eastAsia="Times New Roman" w:hAnsiTheme="minorHAnsi" w:cstheme="minorHAnsi"/>
          <w:lang w:eastAsia="en-GB"/>
        </w:rPr>
        <w:t xml:space="preserve">. Home Office. Available at: https://lordslibrary.parliament.uk/black-lives-matter-new-race-inequalities-commission-and-a-london-statue-review/ (Accessed: April 10, 2023). </w:t>
      </w:r>
    </w:p>
    <w:p w14:paraId="36B27880" w14:textId="77777777" w:rsidR="006E7CF8" w:rsidRPr="00A55FD3" w:rsidRDefault="006E7CF8" w:rsidP="006E7CF8">
      <w:pPr>
        <w:spacing w:before="100" w:beforeAutospacing="1" w:after="100" w:afterAutospacing="1"/>
        <w:ind w:left="567" w:hanging="567"/>
        <w:rPr>
          <w:rFonts w:asciiTheme="minorHAnsi" w:eastAsia="Times New Roman" w:hAnsiTheme="minorHAnsi" w:cstheme="minorHAnsi"/>
          <w:lang w:eastAsia="en-GB"/>
        </w:rPr>
      </w:pPr>
      <w:r w:rsidRPr="00A55FD3">
        <w:rPr>
          <w:rFonts w:asciiTheme="minorHAnsi" w:eastAsia="Times New Roman" w:hAnsiTheme="minorHAnsi" w:cstheme="minorHAnsi"/>
          <w:lang w:eastAsia="en-GB"/>
        </w:rPr>
        <w:t xml:space="preserve">YouGov (2021) </w:t>
      </w:r>
      <w:r w:rsidRPr="00A55FD3">
        <w:rPr>
          <w:rFonts w:asciiTheme="minorHAnsi" w:eastAsia="Times New Roman" w:hAnsiTheme="minorHAnsi" w:cstheme="minorHAnsi"/>
          <w:i/>
          <w:iCs/>
          <w:lang w:eastAsia="en-GB"/>
        </w:rPr>
        <w:t xml:space="preserve">YouGov/EVAW </w:t>
      </w:r>
      <w:proofErr w:type="spellStart"/>
      <w:r w:rsidRPr="00A55FD3">
        <w:rPr>
          <w:rFonts w:asciiTheme="minorHAnsi" w:eastAsia="Times New Roman" w:hAnsiTheme="minorHAnsi" w:cstheme="minorHAnsi"/>
          <w:i/>
          <w:iCs/>
          <w:lang w:eastAsia="en-GB"/>
        </w:rPr>
        <w:t>Survery</w:t>
      </w:r>
      <w:proofErr w:type="spellEnd"/>
      <w:r w:rsidRPr="00A55FD3">
        <w:rPr>
          <w:rFonts w:asciiTheme="minorHAnsi" w:eastAsia="Times New Roman" w:hAnsiTheme="minorHAnsi" w:cstheme="minorHAnsi"/>
          <w:i/>
          <w:iCs/>
          <w:lang w:eastAsia="en-GB"/>
        </w:rPr>
        <w:t xml:space="preserve"> Results</w:t>
      </w:r>
      <w:r w:rsidRPr="00A55FD3">
        <w:rPr>
          <w:rFonts w:asciiTheme="minorHAnsi" w:eastAsia="Times New Roman" w:hAnsiTheme="minorHAnsi" w:cstheme="minorHAnsi"/>
          <w:lang w:eastAsia="en-GB"/>
        </w:rPr>
        <w:t xml:space="preserve">, </w:t>
      </w:r>
      <w:proofErr w:type="gramStart"/>
      <w:r w:rsidRPr="00A55FD3">
        <w:rPr>
          <w:rFonts w:asciiTheme="minorHAnsi" w:eastAsia="Times New Roman" w:hAnsiTheme="minorHAnsi" w:cstheme="minorHAnsi"/>
          <w:i/>
          <w:iCs/>
          <w:lang w:eastAsia="en-GB"/>
        </w:rPr>
        <w:t>Almost</w:t>
      </w:r>
      <w:proofErr w:type="gramEnd"/>
      <w:r w:rsidRPr="00A55FD3">
        <w:rPr>
          <w:rFonts w:asciiTheme="minorHAnsi" w:eastAsia="Times New Roman" w:hAnsiTheme="minorHAnsi" w:cstheme="minorHAnsi"/>
          <w:i/>
          <w:iCs/>
          <w:lang w:eastAsia="en-GB"/>
        </w:rPr>
        <w:t xml:space="preserve"> half of women have less trust in police</w:t>
      </w:r>
      <w:r w:rsidRPr="00A55FD3">
        <w:rPr>
          <w:rFonts w:asciiTheme="minorHAnsi" w:eastAsia="Times New Roman" w:hAnsiTheme="minorHAnsi" w:cstheme="minorHAnsi"/>
          <w:lang w:eastAsia="en-GB"/>
        </w:rPr>
        <w:t xml:space="preserve">. YouGov/EVAW. Available at: https://www.endviolenceagainstwomen.org.uk/wp-content/uploads/2021/11/EVAW_SexualViolence_211028-1.xls-Compatibility-Mode.pdf (Accessed: April 10, 2023). </w:t>
      </w:r>
    </w:p>
    <w:p w14:paraId="406D0FF7" w14:textId="77777777" w:rsidR="006E7CF8" w:rsidRDefault="006E7CF8" w:rsidP="00537917">
      <w:pPr>
        <w:spacing w:line="276" w:lineRule="auto"/>
        <w:ind w:right="531"/>
        <w:rPr>
          <w:rFonts w:ascii="Arial" w:hAnsi="Arial" w:cs="Arial"/>
          <w:u w:val="single"/>
          <w:lang w:eastAsia="en-GB"/>
        </w:rPr>
      </w:pPr>
    </w:p>
    <w:p w14:paraId="2ECA36D0" w14:textId="77777777" w:rsidR="006E7CF8" w:rsidRDefault="006E7CF8" w:rsidP="00537917">
      <w:pPr>
        <w:spacing w:line="276" w:lineRule="auto"/>
        <w:ind w:right="531"/>
        <w:rPr>
          <w:rFonts w:ascii="Arial" w:hAnsi="Arial" w:cs="Arial"/>
          <w:u w:val="single"/>
          <w:lang w:eastAsia="en-GB"/>
        </w:rPr>
      </w:pPr>
    </w:p>
    <w:p w14:paraId="5415B11B" w14:textId="77777777" w:rsidR="006E7CF8" w:rsidRDefault="006E7CF8" w:rsidP="00537917">
      <w:pPr>
        <w:spacing w:line="276" w:lineRule="auto"/>
        <w:ind w:right="531"/>
        <w:rPr>
          <w:rFonts w:ascii="Arial" w:hAnsi="Arial" w:cs="Arial"/>
          <w:u w:val="single"/>
          <w:lang w:eastAsia="en-GB"/>
        </w:rPr>
      </w:pPr>
    </w:p>
    <w:p w14:paraId="28829EE1" w14:textId="77777777" w:rsidR="006E7CF8" w:rsidRDefault="006E7CF8" w:rsidP="00537917">
      <w:pPr>
        <w:spacing w:line="276" w:lineRule="auto"/>
        <w:ind w:right="531"/>
        <w:rPr>
          <w:rFonts w:ascii="Arial" w:hAnsi="Arial" w:cs="Arial"/>
          <w:u w:val="single"/>
          <w:lang w:eastAsia="en-GB"/>
        </w:rPr>
      </w:pPr>
    </w:p>
    <w:p w14:paraId="00EABB6B" w14:textId="77777777" w:rsidR="006E7CF8" w:rsidRDefault="006E7CF8" w:rsidP="00537917">
      <w:pPr>
        <w:spacing w:line="276" w:lineRule="auto"/>
        <w:ind w:right="531"/>
        <w:rPr>
          <w:rFonts w:ascii="Arial" w:hAnsi="Arial" w:cs="Arial"/>
          <w:u w:val="single"/>
          <w:lang w:eastAsia="en-GB"/>
        </w:rPr>
      </w:pPr>
    </w:p>
    <w:p w14:paraId="43FECDC9" w14:textId="77777777" w:rsidR="006E7CF8" w:rsidRDefault="006E7CF8" w:rsidP="00537917">
      <w:pPr>
        <w:spacing w:line="276" w:lineRule="auto"/>
        <w:ind w:right="531"/>
        <w:rPr>
          <w:rFonts w:ascii="Arial" w:hAnsi="Arial" w:cs="Arial"/>
          <w:u w:val="single"/>
          <w:lang w:eastAsia="en-GB"/>
        </w:rPr>
      </w:pPr>
    </w:p>
    <w:p w14:paraId="4FF60017" w14:textId="77777777" w:rsidR="006E7CF8" w:rsidRDefault="006E7CF8" w:rsidP="00537917">
      <w:pPr>
        <w:spacing w:line="276" w:lineRule="auto"/>
        <w:ind w:right="531"/>
        <w:rPr>
          <w:rFonts w:ascii="Arial" w:hAnsi="Arial" w:cs="Arial"/>
          <w:u w:val="single"/>
          <w:lang w:eastAsia="en-GB"/>
        </w:rPr>
      </w:pPr>
    </w:p>
    <w:p w14:paraId="4322D82E" w14:textId="77777777" w:rsidR="006E7CF8" w:rsidRDefault="006E7CF8" w:rsidP="00537917">
      <w:pPr>
        <w:spacing w:line="276" w:lineRule="auto"/>
        <w:ind w:right="531"/>
        <w:rPr>
          <w:rFonts w:ascii="Arial" w:hAnsi="Arial" w:cs="Arial"/>
          <w:u w:val="single"/>
          <w:lang w:eastAsia="en-GB"/>
        </w:rPr>
      </w:pPr>
    </w:p>
    <w:p w14:paraId="75616765" w14:textId="77777777" w:rsidR="006E7CF8" w:rsidRDefault="006E7CF8" w:rsidP="00537917">
      <w:pPr>
        <w:spacing w:line="276" w:lineRule="auto"/>
        <w:ind w:right="531"/>
        <w:rPr>
          <w:rFonts w:ascii="Arial" w:hAnsi="Arial" w:cs="Arial"/>
          <w:u w:val="single"/>
          <w:lang w:eastAsia="en-GB"/>
        </w:rPr>
      </w:pPr>
    </w:p>
    <w:p w14:paraId="0B20F127" w14:textId="77777777" w:rsidR="006E7CF8" w:rsidRDefault="006E7CF8" w:rsidP="00537917">
      <w:pPr>
        <w:spacing w:line="276" w:lineRule="auto"/>
        <w:ind w:right="531"/>
        <w:rPr>
          <w:rFonts w:ascii="Arial" w:hAnsi="Arial" w:cs="Arial"/>
          <w:u w:val="single"/>
          <w:lang w:eastAsia="en-GB"/>
        </w:rPr>
      </w:pPr>
    </w:p>
    <w:p w14:paraId="0E14F1B7" w14:textId="77777777" w:rsidR="006E7CF8" w:rsidRDefault="006E7CF8" w:rsidP="00537917">
      <w:pPr>
        <w:spacing w:line="276" w:lineRule="auto"/>
        <w:ind w:right="531"/>
        <w:rPr>
          <w:rFonts w:ascii="Arial" w:hAnsi="Arial" w:cs="Arial"/>
          <w:u w:val="single"/>
          <w:lang w:eastAsia="en-GB"/>
        </w:rPr>
      </w:pPr>
    </w:p>
    <w:p w14:paraId="3EFF78B9" w14:textId="77777777" w:rsidR="006E7CF8" w:rsidRDefault="006E7CF8" w:rsidP="00537917">
      <w:pPr>
        <w:spacing w:line="276" w:lineRule="auto"/>
        <w:ind w:right="531"/>
        <w:rPr>
          <w:rFonts w:ascii="Arial" w:hAnsi="Arial" w:cs="Arial"/>
          <w:u w:val="single"/>
          <w:lang w:eastAsia="en-GB"/>
        </w:rPr>
      </w:pPr>
    </w:p>
    <w:p w14:paraId="16B774F6" w14:textId="77777777" w:rsidR="006E7CF8" w:rsidRDefault="006E7CF8" w:rsidP="00537917">
      <w:pPr>
        <w:spacing w:line="276" w:lineRule="auto"/>
        <w:ind w:right="531"/>
        <w:rPr>
          <w:rFonts w:ascii="Arial" w:hAnsi="Arial" w:cs="Arial"/>
          <w:u w:val="single"/>
          <w:lang w:eastAsia="en-GB"/>
        </w:rPr>
      </w:pPr>
    </w:p>
    <w:p w14:paraId="29707D53" w14:textId="77777777" w:rsidR="006E7CF8" w:rsidRDefault="006E7CF8" w:rsidP="00537917">
      <w:pPr>
        <w:spacing w:line="276" w:lineRule="auto"/>
        <w:ind w:right="531"/>
        <w:rPr>
          <w:rFonts w:ascii="Arial" w:hAnsi="Arial" w:cs="Arial"/>
          <w:u w:val="single"/>
          <w:lang w:eastAsia="en-GB"/>
        </w:rPr>
      </w:pPr>
    </w:p>
    <w:p w14:paraId="0A9D456D" w14:textId="77777777" w:rsidR="006E7CF8" w:rsidRDefault="006E7CF8" w:rsidP="00537917">
      <w:pPr>
        <w:spacing w:line="276" w:lineRule="auto"/>
        <w:ind w:right="531"/>
        <w:rPr>
          <w:rFonts w:ascii="Arial" w:hAnsi="Arial" w:cs="Arial"/>
          <w:u w:val="single"/>
          <w:lang w:eastAsia="en-GB"/>
        </w:rPr>
      </w:pPr>
    </w:p>
    <w:p w14:paraId="313B729E" w14:textId="77777777" w:rsidR="006E7CF8" w:rsidRDefault="006E7CF8" w:rsidP="00537917">
      <w:pPr>
        <w:spacing w:line="276" w:lineRule="auto"/>
        <w:ind w:right="531"/>
        <w:rPr>
          <w:rFonts w:ascii="Arial" w:hAnsi="Arial" w:cs="Arial"/>
          <w:u w:val="single"/>
          <w:lang w:eastAsia="en-GB"/>
        </w:rPr>
      </w:pPr>
    </w:p>
    <w:p w14:paraId="7A9AB595" w14:textId="77777777" w:rsidR="006E7CF8" w:rsidRDefault="006E7CF8" w:rsidP="00537917">
      <w:pPr>
        <w:spacing w:line="276" w:lineRule="auto"/>
        <w:ind w:right="531"/>
        <w:rPr>
          <w:rFonts w:ascii="Arial" w:hAnsi="Arial" w:cs="Arial"/>
          <w:u w:val="single"/>
          <w:lang w:eastAsia="en-GB"/>
        </w:rPr>
      </w:pPr>
    </w:p>
    <w:p w14:paraId="38FF2C64" w14:textId="77777777" w:rsidR="006E7CF8" w:rsidRDefault="006E7CF8" w:rsidP="00537917">
      <w:pPr>
        <w:spacing w:line="276" w:lineRule="auto"/>
        <w:ind w:right="531"/>
        <w:rPr>
          <w:rFonts w:ascii="Arial" w:hAnsi="Arial" w:cs="Arial"/>
          <w:u w:val="single"/>
          <w:lang w:eastAsia="en-GB"/>
        </w:rPr>
      </w:pPr>
    </w:p>
    <w:p w14:paraId="0D76310C" w14:textId="77777777" w:rsidR="006E7CF8" w:rsidRDefault="006E7CF8" w:rsidP="00537917">
      <w:pPr>
        <w:spacing w:line="276" w:lineRule="auto"/>
        <w:ind w:right="531"/>
        <w:rPr>
          <w:rFonts w:ascii="Arial" w:hAnsi="Arial" w:cs="Arial"/>
          <w:u w:val="single"/>
          <w:lang w:eastAsia="en-GB"/>
        </w:rPr>
      </w:pPr>
    </w:p>
    <w:p w14:paraId="79DCD88E" w14:textId="77777777" w:rsidR="006E7CF8" w:rsidRDefault="006E7CF8" w:rsidP="00537917">
      <w:pPr>
        <w:spacing w:line="276" w:lineRule="auto"/>
        <w:ind w:right="531"/>
        <w:rPr>
          <w:rFonts w:ascii="Arial" w:hAnsi="Arial" w:cs="Arial"/>
          <w:u w:val="single"/>
          <w:lang w:eastAsia="en-GB"/>
        </w:rPr>
      </w:pPr>
    </w:p>
    <w:p w14:paraId="70B886AC" w14:textId="77777777" w:rsidR="006E7CF8" w:rsidRDefault="006E7CF8" w:rsidP="00537917">
      <w:pPr>
        <w:spacing w:line="276" w:lineRule="auto"/>
        <w:ind w:right="531"/>
        <w:rPr>
          <w:rFonts w:ascii="Arial" w:hAnsi="Arial" w:cs="Arial"/>
          <w:u w:val="single"/>
          <w:lang w:eastAsia="en-GB"/>
        </w:rPr>
      </w:pPr>
    </w:p>
    <w:p w14:paraId="7030ED17" w14:textId="77777777" w:rsidR="006E7CF8" w:rsidRDefault="006E7CF8" w:rsidP="00537917">
      <w:pPr>
        <w:spacing w:line="276" w:lineRule="auto"/>
        <w:ind w:right="531"/>
        <w:rPr>
          <w:rFonts w:ascii="Arial" w:hAnsi="Arial" w:cs="Arial"/>
          <w:u w:val="single"/>
          <w:lang w:eastAsia="en-GB"/>
        </w:rPr>
      </w:pPr>
    </w:p>
    <w:p w14:paraId="6A50B459" w14:textId="77777777" w:rsidR="006E7CF8" w:rsidRDefault="006E7CF8" w:rsidP="00537917">
      <w:pPr>
        <w:spacing w:line="276" w:lineRule="auto"/>
        <w:ind w:right="531"/>
        <w:rPr>
          <w:rFonts w:ascii="Arial" w:hAnsi="Arial" w:cs="Arial"/>
          <w:u w:val="single"/>
          <w:lang w:eastAsia="en-GB"/>
        </w:rPr>
      </w:pPr>
    </w:p>
    <w:p w14:paraId="34482782" w14:textId="77777777" w:rsidR="006E7CF8" w:rsidRDefault="006E7CF8" w:rsidP="00537917">
      <w:pPr>
        <w:spacing w:line="276" w:lineRule="auto"/>
        <w:ind w:right="531"/>
        <w:rPr>
          <w:rFonts w:ascii="Arial" w:hAnsi="Arial" w:cs="Arial"/>
          <w:u w:val="single"/>
          <w:lang w:eastAsia="en-GB"/>
        </w:rPr>
      </w:pPr>
    </w:p>
    <w:p w14:paraId="28D5EC47" w14:textId="77777777" w:rsidR="006E7CF8" w:rsidRDefault="006E7CF8" w:rsidP="00537917">
      <w:pPr>
        <w:spacing w:line="276" w:lineRule="auto"/>
        <w:ind w:right="531"/>
        <w:rPr>
          <w:rFonts w:ascii="Arial" w:hAnsi="Arial" w:cs="Arial"/>
          <w:u w:val="single"/>
          <w:lang w:eastAsia="en-GB"/>
        </w:rPr>
      </w:pPr>
    </w:p>
    <w:p w14:paraId="7FDB8B23" w14:textId="77777777" w:rsidR="006E7CF8" w:rsidRDefault="006E7CF8" w:rsidP="00537917">
      <w:pPr>
        <w:spacing w:line="276" w:lineRule="auto"/>
        <w:ind w:right="531"/>
        <w:rPr>
          <w:rFonts w:ascii="Arial" w:hAnsi="Arial" w:cs="Arial"/>
          <w:u w:val="single"/>
          <w:lang w:eastAsia="en-GB"/>
        </w:rPr>
      </w:pPr>
    </w:p>
    <w:p w14:paraId="51A52D54" w14:textId="77777777" w:rsidR="006E7CF8" w:rsidRDefault="006E7CF8" w:rsidP="00537917">
      <w:pPr>
        <w:spacing w:line="276" w:lineRule="auto"/>
        <w:ind w:right="531"/>
        <w:rPr>
          <w:rFonts w:ascii="Arial" w:hAnsi="Arial" w:cs="Arial"/>
          <w:u w:val="single"/>
          <w:lang w:eastAsia="en-GB"/>
        </w:rPr>
      </w:pPr>
    </w:p>
    <w:p w14:paraId="5DA46E68" w14:textId="77777777" w:rsidR="006E7CF8" w:rsidRDefault="006E7CF8" w:rsidP="00537917">
      <w:pPr>
        <w:spacing w:line="276" w:lineRule="auto"/>
        <w:ind w:right="531"/>
        <w:rPr>
          <w:rFonts w:ascii="Arial" w:hAnsi="Arial" w:cs="Arial"/>
          <w:u w:val="single"/>
          <w:lang w:eastAsia="en-GB"/>
        </w:rPr>
      </w:pPr>
    </w:p>
    <w:p w14:paraId="2A46364E" w14:textId="77777777" w:rsidR="006E7CF8" w:rsidRDefault="006E7CF8" w:rsidP="00537917">
      <w:pPr>
        <w:spacing w:line="276" w:lineRule="auto"/>
        <w:ind w:right="531"/>
        <w:rPr>
          <w:rFonts w:ascii="Arial" w:hAnsi="Arial" w:cs="Arial"/>
          <w:u w:val="single"/>
          <w:lang w:eastAsia="en-GB"/>
        </w:rPr>
      </w:pPr>
    </w:p>
    <w:p w14:paraId="67C8BFE8" w14:textId="77777777" w:rsidR="006E7CF8" w:rsidRDefault="006E7CF8" w:rsidP="00537917">
      <w:pPr>
        <w:spacing w:line="276" w:lineRule="auto"/>
        <w:ind w:right="531"/>
        <w:rPr>
          <w:rFonts w:ascii="Arial" w:hAnsi="Arial" w:cs="Arial"/>
          <w:u w:val="single"/>
          <w:lang w:eastAsia="en-GB"/>
        </w:rPr>
      </w:pPr>
    </w:p>
    <w:p w14:paraId="428F101C" w14:textId="77777777" w:rsidR="006E7CF8" w:rsidRDefault="006E7CF8" w:rsidP="00537917">
      <w:pPr>
        <w:spacing w:line="276" w:lineRule="auto"/>
        <w:ind w:right="531"/>
        <w:rPr>
          <w:rFonts w:ascii="Arial" w:hAnsi="Arial" w:cs="Arial"/>
          <w:u w:val="single"/>
          <w:lang w:eastAsia="en-GB"/>
        </w:rPr>
      </w:pPr>
    </w:p>
    <w:p w14:paraId="4A80415F" w14:textId="77777777" w:rsidR="006E7CF8" w:rsidRDefault="006E7CF8" w:rsidP="00537917">
      <w:pPr>
        <w:spacing w:line="276" w:lineRule="auto"/>
        <w:ind w:right="531"/>
        <w:rPr>
          <w:rFonts w:ascii="Arial" w:hAnsi="Arial" w:cs="Arial"/>
          <w:u w:val="single"/>
          <w:lang w:eastAsia="en-GB"/>
        </w:rPr>
      </w:pPr>
    </w:p>
    <w:p w14:paraId="281327CA" w14:textId="77777777" w:rsidR="006E7CF8" w:rsidRDefault="006E7CF8" w:rsidP="00537917">
      <w:pPr>
        <w:spacing w:line="276" w:lineRule="auto"/>
        <w:ind w:right="531"/>
        <w:rPr>
          <w:rFonts w:ascii="Arial" w:hAnsi="Arial" w:cs="Arial"/>
          <w:u w:val="single"/>
          <w:lang w:eastAsia="en-GB"/>
        </w:rPr>
      </w:pPr>
    </w:p>
    <w:p w14:paraId="1281F1A7" w14:textId="77777777" w:rsidR="006E7CF8" w:rsidRDefault="006E7CF8" w:rsidP="00537917">
      <w:pPr>
        <w:spacing w:line="276" w:lineRule="auto"/>
        <w:ind w:right="531"/>
        <w:rPr>
          <w:rFonts w:ascii="Arial" w:hAnsi="Arial" w:cs="Arial"/>
          <w:u w:val="single"/>
          <w:lang w:eastAsia="en-GB"/>
        </w:rPr>
      </w:pPr>
    </w:p>
    <w:p w14:paraId="213A5101" w14:textId="01EA3F10" w:rsidR="00537917" w:rsidRDefault="00537917" w:rsidP="00537917">
      <w:pPr>
        <w:spacing w:line="276" w:lineRule="auto"/>
        <w:ind w:right="531"/>
        <w:rPr>
          <w:rFonts w:ascii="Arial" w:hAnsi="Arial" w:cs="Arial"/>
          <w:lang w:eastAsia="en-GB"/>
        </w:rPr>
      </w:pPr>
      <w:r>
        <w:rPr>
          <w:rFonts w:ascii="Arial" w:hAnsi="Arial" w:cs="Arial"/>
          <w:u w:val="single"/>
          <w:lang w:eastAsia="en-GB"/>
        </w:rPr>
        <w:lastRenderedPageBreak/>
        <w:t>Outline</w:t>
      </w:r>
      <w:r>
        <w:rPr>
          <w:rFonts w:ascii="Arial" w:hAnsi="Arial" w:cs="Arial"/>
          <w:lang w:eastAsia="en-GB"/>
        </w:rPr>
        <w:t xml:space="preserve"> the key issues and challenges of operational policing in the </w:t>
      </w:r>
      <w:proofErr w:type="gramStart"/>
      <w:r>
        <w:rPr>
          <w:rFonts w:ascii="Arial" w:hAnsi="Arial" w:cs="Arial"/>
          <w:lang w:eastAsia="en-GB"/>
        </w:rPr>
        <w:t>UK, and</w:t>
      </w:r>
      <w:proofErr w:type="gramEnd"/>
      <w:r>
        <w:rPr>
          <w:rFonts w:ascii="Arial" w:hAnsi="Arial" w:cs="Arial"/>
          <w:lang w:eastAsia="en-GB"/>
        </w:rPr>
        <w:t xml:space="preserve"> </w:t>
      </w:r>
      <w:r>
        <w:rPr>
          <w:rFonts w:ascii="Arial" w:hAnsi="Arial" w:cs="Arial"/>
          <w:u w:val="single"/>
          <w:lang w:eastAsia="en-GB"/>
        </w:rPr>
        <w:t>consider</w:t>
      </w:r>
      <w:r>
        <w:rPr>
          <w:rFonts w:ascii="Arial" w:hAnsi="Arial" w:cs="Arial"/>
          <w:lang w:eastAsia="en-GB"/>
        </w:rPr>
        <w:t xml:space="preserve"> how these challenges can affect the investigation of volume and priority crime.</w:t>
      </w:r>
    </w:p>
    <w:p w14:paraId="5265AA12" w14:textId="77777777" w:rsidR="00537917" w:rsidRDefault="00537917" w:rsidP="0093530B"/>
    <w:p w14:paraId="1BB4C533" w14:textId="1034BDE5" w:rsidR="00D21358" w:rsidRPr="007C12B6" w:rsidRDefault="00D21358" w:rsidP="00537917">
      <w:pPr>
        <w:spacing w:line="360" w:lineRule="auto"/>
      </w:pPr>
      <w:r w:rsidRPr="007C12B6">
        <w:t>Although policing faces many challenges, two challenges stand out as consistently concerning. The first is the budget made available to police forces, and the second is the ever-fluctuating number of frontline officers. Since 2017, the national budget for policing in England and Wales has increased year-on-year, however there was a significant decline in funding between 2011 – 2017 (Flatley 2021). In 2015, following the announcement of another 5.1% reduction to the budget, the National Police Chief’s Council warned that further cuts would make it difficult to continue providing a safe and effective service to the public (Vaughan 2015). This is significant when considering that police recorded violence against the person (VAP) crimes rose 21% from 2020 to 2021 and stalking and harassment increased by 45% (Jones 2023). Both crime types are considered priorities by the Home Office, and many forces around England and Wales, including Gwent Police, but stretched forces may find it challenging to keep up with these crimes. Officer numbers, although increasing, are still 2% below their peak in 2009, and despite a 5.5% increase in full-time (FTE) officers in the year ending March 2022, leavers represent 6% (Hargreaves 2022). Further to this, cuts also impacted police staff dropped to 61,668 (UNISON, 2014). Combined, these losses have a negative impact on how effectively and efficiently a police force can operate</w:t>
      </w:r>
      <w:r w:rsidRPr="007C12B6">
        <w:t xml:space="preserve">, with frontline police offers being required to take on more administrative roles which would historically have fallen to </w:t>
      </w:r>
      <w:proofErr w:type="gramStart"/>
      <w:r w:rsidRPr="007C12B6">
        <w:t>back office</w:t>
      </w:r>
      <w:proofErr w:type="gramEnd"/>
      <w:r w:rsidRPr="007C12B6">
        <w:t xml:space="preserve"> staff. </w:t>
      </w:r>
      <w:r w:rsidRPr="007C12B6">
        <w:t xml:space="preserve">Fewer officers to manage an increase in volume and priority crimes, particularly those of national importance such as VAP or stalking and harassment, does not help to increase public confidence in the police’s ability to solve crime and keep them safe, which can in turn hinder investigations. </w:t>
      </w:r>
    </w:p>
    <w:p w14:paraId="00FDFA8A" w14:textId="77777777" w:rsidR="00D21358" w:rsidRPr="007C12B6" w:rsidRDefault="00D21358" w:rsidP="00537917">
      <w:pPr>
        <w:spacing w:line="360" w:lineRule="auto"/>
      </w:pPr>
    </w:p>
    <w:p w14:paraId="2A813EC6" w14:textId="77777777" w:rsidR="00D21358" w:rsidRPr="007C12B6" w:rsidRDefault="00D21358" w:rsidP="00537917">
      <w:pPr>
        <w:spacing w:line="360" w:lineRule="auto"/>
      </w:pPr>
      <w:r w:rsidRPr="007C12B6">
        <w:t xml:space="preserve">There is not a strict definition of priority and volume crime, however, VAP and stalking &amp; harassment are considered ‘priority’ as outlined by the Home Office (2023). These types of crime can be associated with an increased response grading ranging from emergency level to priority, the difference being to attend an incident within 15 minutes for an emergency and within one hour for a priority incident (Gwent Police 2022). 1.1 million violent crimes were reported to police in 2022 and was the third most prevalent crime type after theft and fraud (Jones, 2023). With VAP and Stalking &amp; Harassment levels increasing 21% and 45% (Jones 2023), respectively, the police are keen to reduce this. By achieving this, the police and government hope that this will increase the confidence in the police service among the public. </w:t>
      </w:r>
    </w:p>
    <w:p w14:paraId="3B520613" w14:textId="77777777" w:rsidR="00D21358" w:rsidRPr="007C12B6" w:rsidRDefault="00D21358" w:rsidP="00537917">
      <w:pPr>
        <w:spacing w:line="360" w:lineRule="auto"/>
      </w:pPr>
    </w:p>
    <w:p w14:paraId="54BFEB91" w14:textId="77777777" w:rsidR="00D21358" w:rsidRPr="007C12B6" w:rsidRDefault="00D21358" w:rsidP="00537917">
      <w:pPr>
        <w:spacing w:line="360" w:lineRule="auto"/>
      </w:pPr>
      <w:r w:rsidRPr="007C12B6">
        <w:t xml:space="preserve">Policing budgets impact a force’s effectiveness in combatting volume and priority crime. Although it has increased year on year since 2017, so has inflation and needs of area. Police funding is allocated </w:t>
      </w:r>
      <w:r w:rsidRPr="007C12B6">
        <w:lastRenderedPageBreak/>
        <w:t xml:space="preserve">through four spending bodies and is distributed according to force area need (Home Office 2013). Smaller forces receive less funding than larger ones, and areas with a larger need for support when combating for priority crimes such as VAP receive more allocation for this specific target. The formula used to decide the allocation assesses socioeconomic and demographic information of an area. However, this does not consider sudden increases in offence type throughout the year – for example, seaside towns in summer may see more violence than average as tourists take holidays and there is a substantial increase in population for a few weeks. Further to this, although funding has increased, so have costs, bills, and day-to-day running expenditure, which means between March 2011 – March 2022, there has only been 0.1% increase in real terms (Flatley 2021). This shows that despite large increases in volume and priority crime, policing budgets have not increased at the same rate, which makes them more difficult to keep up with. </w:t>
      </w:r>
    </w:p>
    <w:p w14:paraId="61BD07F8" w14:textId="77777777" w:rsidR="00D21358" w:rsidRPr="007C12B6" w:rsidRDefault="00D21358" w:rsidP="00537917">
      <w:pPr>
        <w:spacing w:line="360" w:lineRule="auto"/>
      </w:pPr>
    </w:p>
    <w:p w14:paraId="2BE79D52" w14:textId="40A61EDD" w:rsidR="00D21358" w:rsidRPr="007C12B6" w:rsidRDefault="00D21358" w:rsidP="00537917">
      <w:pPr>
        <w:spacing w:line="360" w:lineRule="auto"/>
      </w:pPr>
      <w:r w:rsidRPr="007C12B6">
        <w:t xml:space="preserve">Budget cuts have also affected </w:t>
      </w:r>
      <w:r w:rsidR="00E232AC" w:rsidRPr="007C12B6">
        <w:t>o</w:t>
      </w:r>
      <w:r w:rsidRPr="007C12B6">
        <w:t>fficer pay rates with constables starting in September 2022, making almost £2000 less than their predecessors who started in 2013 (</w:t>
      </w:r>
      <w:proofErr w:type="spellStart"/>
      <w:r w:rsidRPr="007C12B6">
        <w:t>PolFed</w:t>
      </w:r>
      <w:proofErr w:type="spellEnd"/>
      <w:r w:rsidRPr="007C12B6">
        <w:t xml:space="preserve"> 2022). Officers who joined through the degree apprenticeship route, are subjected to the same pay scale for the duration of their probationary period and will not increase until completion of initial training, which is three years on average. Poor pay is one of the reasons that many officers are looking to leave the police force within the next two years. According to </w:t>
      </w:r>
      <w:r w:rsidR="00E232AC" w:rsidRPr="007C12B6">
        <w:t>Chandler</w:t>
      </w:r>
      <w:r w:rsidRPr="007C12B6">
        <w:t xml:space="preserve"> (2021), for the first time in the history of policing in the UK, resignations are set to overtake retirements as a reason for leaving. As more officers leave police forces, the ability to combat volume and priority crime is decreased and likelihood to secure successful outcomes reduced.</w:t>
      </w:r>
    </w:p>
    <w:p w14:paraId="6F8B1FAA" w14:textId="77777777" w:rsidR="00D21358" w:rsidRPr="007C12B6" w:rsidRDefault="00D21358" w:rsidP="00537917">
      <w:pPr>
        <w:spacing w:line="360" w:lineRule="auto"/>
      </w:pPr>
    </w:p>
    <w:p w14:paraId="3019FFCA" w14:textId="72D7B863" w:rsidR="00E232AC" w:rsidRPr="007C12B6" w:rsidRDefault="00D21358" w:rsidP="00537917">
      <w:pPr>
        <w:spacing w:line="360" w:lineRule="auto"/>
      </w:pPr>
      <w:r w:rsidRPr="007C12B6">
        <w:t>According to the Home Office headcount (2022), 34% of the current officer workforce ha</w:t>
      </w:r>
      <w:r w:rsidR="00E232AC" w:rsidRPr="007C12B6">
        <w:t>ve</w:t>
      </w:r>
      <w:r w:rsidRPr="007C12B6">
        <w:t xml:space="preserve"> been in post five years or less. The implication of this is a less experienced workforce, with large caseloads, attempting to manage high levels of crime. </w:t>
      </w:r>
      <w:r w:rsidRPr="007C12B6">
        <w:t>This inexperience</w:t>
      </w:r>
      <w:r w:rsidRPr="007C12B6">
        <w:t xml:space="preserve"> ha</w:t>
      </w:r>
      <w:r w:rsidRPr="007C12B6">
        <w:t>s</w:t>
      </w:r>
      <w:r w:rsidRPr="007C12B6">
        <w:t xml:space="preserve"> a profound impact on serving officers’ capabilities to conduct effective and prompt investigations of priority and volume crimes.</w:t>
      </w:r>
      <w:r w:rsidRPr="007C12B6">
        <w:t xml:space="preserve"> Additionally, as PSCO and special constable numbers have fallen (Hargreaves 2022), o</w:t>
      </w:r>
      <w:r w:rsidRPr="007C12B6">
        <w:t xml:space="preserve">fficers </w:t>
      </w:r>
      <w:r w:rsidRPr="007C12B6">
        <w:t>have</w:t>
      </w:r>
      <w:r w:rsidRPr="007C12B6">
        <w:t xml:space="preserve"> now f</w:t>
      </w:r>
      <w:r w:rsidRPr="007C12B6">
        <w:t>ound</w:t>
      </w:r>
      <w:r w:rsidRPr="007C12B6">
        <w:t xml:space="preserve"> themselves conducting roles that were exclusive to the neighbourhood policing teams</w:t>
      </w:r>
      <w:r w:rsidRPr="007C12B6">
        <w:t xml:space="preserve">. The </w:t>
      </w:r>
      <w:r w:rsidRPr="007C12B6">
        <w:t xml:space="preserve">combination of less officers/PCSOs being available and an </w:t>
      </w:r>
      <w:r w:rsidRPr="007C12B6">
        <w:t>additional</w:t>
      </w:r>
      <w:r w:rsidRPr="007C12B6">
        <w:t xml:space="preserve"> workload due to increased crime rates, results in volume </w:t>
      </w:r>
      <w:r w:rsidRPr="007C12B6">
        <w:t xml:space="preserve">and priority </w:t>
      </w:r>
      <w:r w:rsidRPr="007C12B6">
        <w:t>crime becoming almost overwhelming to forces who do not have the resources or staffing levels to effectively deter, detect and investigate.</w:t>
      </w:r>
      <w:r w:rsidR="00E232AC" w:rsidRPr="007C12B6">
        <w:t xml:space="preserve"> </w:t>
      </w:r>
    </w:p>
    <w:p w14:paraId="175372E4" w14:textId="77777777" w:rsidR="00E232AC" w:rsidRPr="007C12B6" w:rsidRDefault="00E232AC" w:rsidP="00537917">
      <w:pPr>
        <w:spacing w:line="360" w:lineRule="auto"/>
      </w:pPr>
    </w:p>
    <w:p w14:paraId="474AA489" w14:textId="63F2795A" w:rsidR="00D21358" w:rsidRPr="007C12B6" w:rsidRDefault="00E232AC" w:rsidP="00537917">
      <w:pPr>
        <w:spacing w:line="360" w:lineRule="auto"/>
      </w:pPr>
      <w:r w:rsidRPr="007C12B6">
        <w:t xml:space="preserve">This can in turn lead to burnout, and with the police force facing an almost 10% absence rate (NPCC 2022) it is vital that support is given to maintain </w:t>
      </w:r>
      <w:r w:rsidRPr="007C12B6">
        <w:t>o</w:t>
      </w:r>
      <w:r w:rsidRPr="007C12B6">
        <w:t xml:space="preserve">fficer wellbeing. Ahola and Hakanen (2014) found </w:t>
      </w:r>
      <w:r w:rsidRPr="007C12B6">
        <w:lastRenderedPageBreak/>
        <w:t xml:space="preserve">that high levels of burnout were associated with complex anxiety disorders and depressive disorders. This can lead to alcohol and </w:t>
      </w:r>
      <w:r w:rsidRPr="007C12B6">
        <w:t>substance dependence</w:t>
      </w:r>
      <w:r w:rsidRPr="007C12B6">
        <w:t xml:space="preserve">, as well as </w:t>
      </w:r>
      <w:proofErr w:type="gramStart"/>
      <w:r w:rsidRPr="007C12B6">
        <w:t>having an effect on</w:t>
      </w:r>
      <w:proofErr w:type="gramEnd"/>
      <w:r w:rsidRPr="007C12B6">
        <w:t xml:space="preserve"> physical health - Honkonen et al (2006)</w:t>
      </w:r>
      <w:r w:rsidRPr="007C12B6">
        <w:t>, in Ahola and Hakanen 2014 (p13)</w:t>
      </w:r>
      <w:r w:rsidRPr="007C12B6">
        <w:t xml:space="preserve"> found that 47% of employees with severe burnout developed musculoskeletal problems and 28% developed cardiovascular problems. This poses issues for operation policing, where there may be a higher risk of officers managing volume and priority crime becoming at risk of burnout symptoms, should their well-being be improperly managed, and therefore causes an even greater reduction to the numbers of officers on the frontline. This reduction of officers due to mental and physical health restrictions poses a significant challenge when managing volume and priority crime, whereby the domino effect of a high workload, leading to burnout, leading to illness, causes increased workload for the officers still in post who are required to pick up </w:t>
      </w:r>
      <w:r w:rsidRPr="007C12B6">
        <w:t>their</w:t>
      </w:r>
      <w:r w:rsidRPr="007C12B6">
        <w:t xml:space="preserve"> </w:t>
      </w:r>
      <w:r w:rsidRPr="007C12B6">
        <w:t>colleague’s</w:t>
      </w:r>
      <w:r w:rsidRPr="007C12B6">
        <w:t xml:space="preserve"> workload on top of their own. </w:t>
      </w:r>
    </w:p>
    <w:p w14:paraId="083F1F73" w14:textId="77777777" w:rsidR="003073D0" w:rsidRPr="007C12B6" w:rsidRDefault="003073D0" w:rsidP="00537917">
      <w:pPr>
        <w:spacing w:line="360" w:lineRule="auto"/>
      </w:pPr>
    </w:p>
    <w:p w14:paraId="6E33807D" w14:textId="7BEB1783" w:rsidR="003073D0" w:rsidRPr="007C12B6" w:rsidRDefault="003073D0" w:rsidP="00537917">
      <w:pPr>
        <w:spacing w:line="360" w:lineRule="auto"/>
        <w:ind w:right="531"/>
      </w:pPr>
      <w:r w:rsidRPr="007C12B6">
        <w:t>Another challenge faced by officers is the changes made in the Crown Prosecution Service guidance on disclosure. Hartshorn (2022) notes that the CPS guidance has had not only an impact on victim participation in ongoing cases – and has led many to withdraw – but has also increased the administrative tasks of the investigating officers.</w:t>
      </w:r>
      <w:r w:rsidRPr="007C12B6">
        <w:t xml:space="preserve"> </w:t>
      </w:r>
      <w:r w:rsidRPr="007C12B6">
        <w:t xml:space="preserve">A survey conducted by </w:t>
      </w:r>
      <w:proofErr w:type="spellStart"/>
      <w:r w:rsidRPr="007C12B6">
        <w:t>PolFed</w:t>
      </w:r>
      <w:proofErr w:type="spellEnd"/>
      <w:r w:rsidRPr="007C12B6">
        <w:t xml:space="preserve"> National Detective Forum (2022)</w:t>
      </w:r>
      <w:r w:rsidRPr="007C12B6">
        <w:t xml:space="preserve"> on officers found that: </w:t>
      </w:r>
      <w:r w:rsidRPr="007C12B6">
        <w:t xml:space="preserve">93% </w:t>
      </w:r>
      <w:r w:rsidRPr="007C12B6">
        <w:t>of officers found</w:t>
      </w:r>
      <w:r w:rsidRPr="007C12B6">
        <w:t xml:space="preserve"> that their overall workload had increased due to the CPS changes. 45% indicated that the number of victims withdrawing from active participation in the investigation has increased, lowering the </w:t>
      </w:r>
      <w:r w:rsidRPr="007C12B6">
        <w:t>public’s</w:t>
      </w:r>
      <w:r w:rsidRPr="007C12B6">
        <w:t xml:space="preserve"> perception of how effective the police are</w:t>
      </w:r>
      <w:r w:rsidRPr="007C12B6">
        <w:t>,</w:t>
      </w:r>
      <w:r w:rsidRPr="007C12B6">
        <w:t xml:space="preserve"> and 96% indicated that the increased hours spen</w:t>
      </w:r>
      <w:r w:rsidR="00E232AC" w:rsidRPr="007C12B6">
        <w:t>t</w:t>
      </w:r>
      <w:r w:rsidRPr="007C12B6">
        <w:t xml:space="preserve"> on pre-charging files resulted in other investigations being neglected. This leads to officers spending more time</w:t>
      </w:r>
      <w:r w:rsidRPr="007C12B6">
        <w:t xml:space="preserve"> </w:t>
      </w:r>
      <w:r w:rsidRPr="007C12B6">
        <w:t xml:space="preserve">redacting material inside the police station instead of proactively investigating other volume or priority crimes. This shows the challenge officers currently have in trying to be proactive in their volume and priority crimes, balanced with the bureaucracy required to get crimes to the CPS. More time spent conducting ‘admin’ based activities results in less time being focused on the investigation of priority and volume crime. </w:t>
      </w:r>
    </w:p>
    <w:p w14:paraId="55E5DE64" w14:textId="498E7876" w:rsidR="003073D0" w:rsidRPr="007C12B6" w:rsidRDefault="003073D0" w:rsidP="00537917">
      <w:pPr>
        <w:spacing w:line="360" w:lineRule="auto"/>
      </w:pPr>
    </w:p>
    <w:p w14:paraId="5A228076" w14:textId="5394B1F5" w:rsidR="00537917" w:rsidRPr="007C12B6" w:rsidRDefault="00537917" w:rsidP="00537917">
      <w:pPr>
        <w:spacing w:line="360" w:lineRule="auto"/>
        <w:ind w:right="531"/>
      </w:pPr>
      <w:r w:rsidRPr="007C12B6">
        <w:t xml:space="preserve">A more recent example of volume and priority crime is the Covid-19 pandemic. </w:t>
      </w:r>
      <w:r w:rsidRPr="007C12B6">
        <w:t xml:space="preserve">The Home Office (2019) </w:t>
      </w:r>
      <w:r w:rsidRPr="007C12B6">
        <w:t>stated that the policing of the population during an international pandemic is one of the greatest challenges ever faced by the emergency services</w:t>
      </w:r>
      <w:r w:rsidRPr="007C12B6">
        <w:t xml:space="preserve">. The report says this because of the highly unusual scale, complexity, and duration of the pandemic. </w:t>
      </w:r>
      <w:r w:rsidRPr="007C12B6">
        <w:t>It can also be highlighted that</w:t>
      </w:r>
      <w:r w:rsidRPr="007C12B6">
        <w:t xml:space="preserve"> that the pandemic came at a time where the number of police officers and staff were among the lowest since 2010</w:t>
      </w:r>
      <w:r w:rsidRPr="007C12B6">
        <w:t xml:space="preserve">. Prioritisation of volume and priority crime was especially difficult given </w:t>
      </w:r>
      <w:r w:rsidRPr="007C12B6">
        <w:t>that the demand for police exceed</w:t>
      </w:r>
      <w:r w:rsidRPr="007C12B6">
        <w:t>ed</w:t>
      </w:r>
      <w:r w:rsidRPr="007C12B6">
        <w:t xml:space="preserve"> the supply of officers available, </w:t>
      </w:r>
      <w:r w:rsidRPr="007C12B6">
        <w:lastRenderedPageBreak/>
        <w:t xml:space="preserve">which naturally results in an insufficient and unsuitable number of resources to provide a service effectively and efficiently to the community and public. </w:t>
      </w:r>
    </w:p>
    <w:p w14:paraId="1177DF2C" w14:textId="74476DD8" w:rsidR="00537917" w:rsidRPr="007C12B6" w:rsidRDefault="00537917" w:rsidP="00537917">
      <w:pPr>
        <w:spacing w:line="360" w:lineRule="auto"/>
        <w:ind w:right="531"/>
      </w:pPr>
      <w:r w:rsidRPr="007C12B6">
        <w:t>The third ‘</w:t>
      </w:r>
      <w:proofErr w:type="spellStart"/>
      <w:r w:rsidRPr="007C12B6">
        <w:t>Peelian</w:t>
      </w:r>
      <w:proofErr w:type="spellEnd"/>
      <w:r w:rsidRPr="007C12B6">
        <w:t xml:space="preserve"> Principle’ reminds the police that they are to</w:t>
      </w:r>
      <w:r w:rsidRPr="007C12B6">
        <w:t xml:space="preserve"> recognise</w:t>
      </w:r>
      <w:r w:rsidRPr="007C12B6">
        <w:t xml:space="preserve"> that to secure and maintain the respect and approval of the public means also the securing of the willing co-operating of the public in the task of securing observance laws (Peel, 1829)</w:t>
      </w:r>
      <w:r w:rsidRPr="007C12B6">
        <w:t xml:space="preserve">. Both the public and police service </w:t>
      </w:r>
      <w:r w:rsidRPr="007C12B6">
        <w:t>had to adapt to the new law and regulations rapidly</w:t>
      </w:r>
      <w:r w:rsidRPr="007C12B6">
        <w:t xml:space="preserve"> </w:t>
      </w:r>
      <w:r w:rsidRPr="007C12B6">
        <w:t>at a time where the public was feeling a considerable amount of anxiety and uncertainty</w:t>
      </w:r>
      <w:r w:rsidRPr="007C12B6">
        <w:t>. T</w:t>
      </w:r>
      <w:r w:rsidRPr="007C12B6">
        <w:t>his created a unique challenge for officers who had to strike a balance between upholding the new laws and regulations, against the welfare and mutual respect of the public</w:t>
      </w:r>
      <w:r w:rsidRPr="007C12B6">
        <w:t xml:space="preserve">. However, every additional crime reported meant additional workload, and therefore once again, volume and priority crimes took a backseat. </w:t>
      </w:r>
      <w:r w:rsidRPr="007C12B6">
        <w:t xml:space="preserve">Officers found members of the public, in particular victims, were less forthcoming when engaging with the police due to the anxiety surrounding the virus (Home Office, 2019). This meant that officers were not able to progress investigations in the timely manner that existed prior to COVID, resulting in a backlog of cases that sit on an </w:t>
      </w:r>
      <w:r w:rsidRPr="007C12B6">
        <w:t>officer’s</w:t>
      </w:r>
      <w:r w:rsidRPr="007C12B6">
        <w:t xml:space="preserve"> workload longer than expected. </w:t>
      </w:r>
    </w:p>
    <w:p w14:paraId="1596E547" w14:textId="3EB94FCF" w:rsidR="00D21358" w:rsidRPr="007C12B6" w:rsidRDefault="00D21358" w:rsidP="00537917">
      <w:pPr>
        <w:spacing w:line="360" w:lineRule="auto"/>
      </w:pPr>
    </w:p>
    <w:p w14:paraId="58E68F89" w14:textId="0D218431" w:rsidR="00D21358" w:rsidRPr="007C12B6" w:rsidRDefault="00537917" w:rsidP="00537917">
      <w:pPr>
        <w:spacing w:line="360" w:lineRule="auto"/>
      </w:pPr>
      <w:r w:rsidRPr="007C12B6">
        <w:t>Policing in the UK has always had its challenges, the role for police officers and wider police hierarchy is inherently challenging</w:t>
      </w:r>
      <w:r w:rsidRPr="007C12B6">
        <w:t xml:space="preserve">. A contributing factor is the numbers of available officers available to deter, detect and investigate crime. Despite a 5.5% increase in FTE police officers, it is still below the peak numbers registered in 2009 (Hargreaves 2022). A less experienced, smaller workforce with higher workloads presents a unique challenge of policing volume and priority crime. This consequently leads to burnout, with an </w:t>
      </w:r>
      <w:r w:rsidRPr="007C12B6">
        <w:t>almost 10% absence rate (NPCC 2022)</w:t>
      </w:r>
      <w:r w:rsidRPr="007C12B6">
        <w:t>,</w:t>
      </w:r>
      <w:r w:rsidRPr="007C12B6">
        <w:t xml:space="preserve"> nearly 100% of officers reporting an increase in their workload over the last few years, and nearly 50% developing musculoskeletal issues as a direct result of burnout-caused illnesses, it is paramount that the workload of officers be better managed to prevent </w:t>
      </w:r>
      <w:r w:rsidRPr="007C12B6">
        <w:t xml:space="preserve">volume and priority crime falling below desired crime solving rates. Additionally, better management of volume and priority crime will lead to increased solved rates, and therefore public confidence will also increase. With this confidence, police should find that victims are more willing to engage with them, and they may be less likely to drop out of the CPS process, which will reduce administrative tasks for officers and allow them more time to allocate to their volume and priority crime. Ultimately, operational policing faces many challenges in the face of volume and priority crime, however, all of these could be overcome with effective leadership and management strategies. </w:t>
      </w:r>
    </w:p>
    <w:p w14:paraId="201D6432" w14:textId="16646011" w:rsidR="00D21358" w:rsidRPr="007C12B6" w:rsidRDefault="007C12B6" w:rsidP="0093530B">
      <w:r>
        <w:t xml:space="preserve">(1826 words) </w:t>
      </w:r>
    </w:p>
    <w:p w14:paraId="62BDF077" w14:textId="2BBEF088" w:rsidR="00537917" w:rsidRPr="007C12B6" w:rsidRDefault="00537917" w:rsidP="0093530B"/>
    <w:p w14:paraId="571E4914" w14:textId="3FE65C88" w:rsidR="00537917" w:rsidRPr="007C12B6" w:rsidRDefault="00537917" w:rsidP="0093530B"/>
    <w:p w14:paraId="78971A76" w14:textId="38FB9ED2" w:rsidR="00537917" w:rsidRPr="007C12B6" w:rsidRDefault="00537917" w:rsidP="00537917">
      <w:pPr>
        <w:rPr>
          <w:b/>
          <w:bCs/>
          <w:u w:val="single"/>
        </w:rPr>
      </w:pPr>
      <w:r w:rsidRPr="007C12B6">
        <w:rPr>
          <w:b/>
          <w:bCs/>
          <w:u w:val="single"/>
        </w:rPr>
        <w:lastRenderedPageBreak/>
        <w:t xml:space="preserve">References </w:t>
      </w:r>
    </w:p>
    <w:p w14:paraId="57DF1AB3" w14:textId="77777777" w:rsidR="00537917" w:rsidRPr="007C12B6" w:rsidRDefault="00537917" w:rsidP="00E232AC">
      <w:pPr>
        <w:pStyle w:val="NormalWeb"/>
        <w:rPr>
          <w:rFonts w:asciiTheme="minorHAnsi" w:hAnsiTheme="minorHAnsi" w:cstheme="minorHAnsi"/>
          <w:sz w:val="22"/>
          <w:szCs w:val="22"/>
        </w:rPr>
      </w:pPr>
      <w:r w:rsidRPr="007C12B6">
        <w:rPr>
          <w:rFonts w:asciiTheme="minorHAnsi" w:hAnsiTheme="minorHAnsi" w:cstheme="minorHAnsi"/>
          <w:sz w:val="22"/>
          <w:szCs w:val="22"/>
        </w:rPr>
        <w:t xml:space="preserve">Ahola, K. and Hakanen, J. </w:t>
      </w:r>
      <w:r w:rsidRPr="007C12B6">
        <w:rPr>
          <w:rFonts w:asciiTheme="minorHAnsi" w:hAnsiTheme="minorHAnsi" w:cstheme="minorHAnsi"/>
          <w:sz w:val="22"/>
          <w:szCs w:val="22"/>
        </w:rPr>
        <w:t>“Burnout and health,” in Leiter, M. et al. (2014)</w:t>
      </w:r>
      <w:r w:rsidRPr="007C12B6">
        <w:rPr>
          <w:rFonts w:asciiTheme="minorHAnsi" w:hAnsiTheme="minorHAnsi" w:cstheme="minorHAnsi"/>
          <w:sz w:val="22"/>
          <w:szCs w:val="22"/>
        </w:rPr>
        <w:t xml:space="preserve"> </w:t>
      </w:r>
      <w:r w:rsidRPr="007C12B6">
        <w:rPr>
          <w:rFonts w:asciiTheme="minorHAnsi" w:hAnsiTheme="minorHAnsi" w:cstheme="minorHAnsi"/>
          <w:sz w:val="22"/>
          <w:szCs w:val="22"/>
        </w:rPr>
        <w:t xml:space="preserve">Burnout at work: A psychological perspective. New York: Psychology Press, pp. 10–31. </w:t>
      </w:r>
    </w:p>
    <w:p w14:paraId="25102C5B" w14:textId="77777777" w:rsidR="00537917" w:rsidRPr="007C12B6" w:rsidRDefault="00537917" w:rsidP="00E232AC">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Chandler, N. (2021) Police Federation of England &amp; Wales, Police Federation. Available at: https://www.polfed.org/ (Accessed: April 10, 2023). </w:t>
      </w:r>
    </w:p>
    <w:p w14:paraId="7882650A" w14:textId="77777777" w:rsidR="00537917" w:rsidRPr="007C12B6" w:rsidRDefault="00537917" w:rsidP="00E232AC">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Constable Pay Scales (</w:t>
      </w:r>
      <w:r w:rsidRPr="007C12B6">
        <w:rPr>
          <w:rFonts w:asciiTheme="minorHAnsi" w:hAnsiTheme="minorHAnsi" w:cstheme="minorHAnsi"/>
          <w:sz w:val="22"/>
          <w:szCs w:val="22"/>
        </w:rPr>
        <w:t>2022</w:t>
      </w:r>
      <w:r w:rsidRPr="007C12B6">
        <w:rPr>
          <w:rFonts w:asciiTheme="minorHAnsi" w:hAnsiTheme="minorHAnsi" w:cstheme="minorHAnsi"/>
          <w:sz w:val="22"/>
          <w:szCs w:val="22"/>
        </w:rPr>
        <w:t xml:space="preserve">) Police Federation. Available at: https://www.polfed.org/resources/pay-scales/constable-pay-scales/ (Accessed: April 10, 2023). </w:t>
      </w:r>
    </w:p>
    <w:p w14:paraId="3D6B2380" w14:textId="2808A83F"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Flatley, J. (2021) Police funding for England and Wales 2015 to 2022. publication. Home Office. Available at: https://www.gov.uk/government/statistics/police-funding-for-england-and-wales-2015-to-2022/police-funding-for-england-and-wales-2015-to-2022 (Accessed: April 6, 2023). </w:t>
      </w:r>
    </w:p>
    <w:p w14:paraId="6F2B3713" w14:textId="77777777" w:rsidR="00537917" w:rsidRPr="007C12B6" w:rsidRDefault="00537917" w:rsidP="0093530B">
      <w:pPr>
        <w:ind w:left="567" w:hanging="567"/>
        <w:rPr>
          <w:rFonts w:asciiTheme="minorHAnsi" w:hAnsiTheme="minorHAnsi" w:cstheme="minorHAnsi"/>
        </w:rPr>
      </w:pPr>
    </w:p>
    <w:p w14:paraId="523DAA82" w14:textId="77777777"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Gwent Police. (2022) Target response for 999 calls, 2022/24924 - Target response for 999 calls. Available at: https://www.gwent.police.uk/foi-ai/gwent-police/disclosure2/2022/04---april/202224924---target-response-times-for-999-calls/ (Accessed: April 8, 2023). </w:t>
      </w:r>
    </w:p>
    <w:p w14:paraId="22C3223B" w14:textId="77777777" w:rsidR="00537917" w:rsidRPr="007C12B6" w:rsidRDefault="00537917" w:rsidP="00E232AC">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Hargreaves, J. (2022) Police Workforce, </w:t>
      </w:r>
      <w:proofErr w:type="gramStart"/>
      <w:r w:rsidRPr="007C12B6">
        <w:rPr>
          <w:rFonts w:asciiTheme="minorHAnsi" w:hAnsiTheme="minorHAnsi" w:cstheme="minorHAnsi"/>
          <w:sz w:val="22"/>
          <w:szCs w:val="22"/>
        </w:rPr>
        <w:t>England</w:t>
      </w:r>
      <w:proofErr w:type="gramEnd"/>
      <w:r w:rsidRPr="007C12B6">
        <w:rPr>
          <w:rFonts w:asciiTheme="minorHAnsi" w:hAnsiTheme="minorHAnsi" w:cstheme="minorHAnsi"/>
          <w:sz w:val="22"/>
          <w:szCs w:val="22"/>
        </w:rPr>
        <w:t xml:space="preserve"> and Wales: 31 March 2022, GOV.UK. Available at: https://www.gov.uk/government/statistics/police-workforce-england-and-wales-31-march-2022/police-workforce-england-and-wales-31-march-2022#headline-workforce-figures (Accessed: April 10, 2023). </w:t>
      </w:r>
    </w:p>
    <w:p w14:paraId="33050594" w14:textId="67ECCAF6"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Home Office (2013) Guide to the police allocation formula. GOV.UK. Available at: https://www.gov.uk/guidance/guide-to-the-police-allocation-formula#how-the-paf-distributes-funding (Accessed: April 8, 2023). </w:t>
      </w:r>
    </w:p>
    <w:p w14:paraId="02333156" w14:textId="77777777" w:rsidR="00537917" w:rsidRPr="007C12B6" w:rsidRDefault="00537917" w:rsidP="0093530B">
      <w:pPr>
        <w:ind w:left="567" w:hanging="567"/>
        <w:rPr>
          <w:rFonts w:asciiTheme="minorHAnsi" w:hAnsiTheme="minorHAnsi" w:cstheme="minorHAnsi"/>
        </w:rPr>
      </w:pPr>
    </w:p>
    <w:p w14:paraId="62B3D7EE" w14:textId="77777777"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Home Office and Hargreaves, J. (2022) Police workforce, </w:t>
      </w:r>
      <w:proofErr w:type="gramStart"/>
      <w:r w:rsidRPr="007C12B6">
        <w:rPr>
          <w:rFonts w:asciiTheme="minorHAnsi" w:hAnsiTheme="minorHAnsi" w:cstheme="minorHAnsi"/>
        </w:rPr>
        <w:t>England</w:t>
      </w:r>
      <w:proofErr w:type="gramEnd"/>
      <w:r w:rsidRPr="007C12B6">
        <w:rPr>
          <w:rFonts w:asciiTheme="minorHAnsi" w:hAnsiTheme="minorHAnsi" w:cstheme="minorHAnsi"/>
        </w:rPr>
        <w:t xml:space="preserve"> and Wales: 31 March 2022. Available at: https://www.gov.uk/government/statistics/police-workforce-england-and-wales-31-march-2022/police-workforce-england-and-wales-31-march-2022 (Accessed: April 6, 2023). </w:t>
      </w:r>
    </w:p>
    <w:p w14:paraId="286FA525" w14:textId="77777777" w:rsidR="00537917" w:rsidRPr="007C12B6" w:rsidRDefault="00537917" w:rsidP="00537917">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Home Office. (2019) State of Policing. rep. Available at: https://www.justiceinspectorates.gov.uk/hmicfrs/wp-content/uploads/state-of-policing-2019-part-1.pdf (Accessed: February 28, 2023). </w:t>
      </w:r>
    </w:p>
    <w:p w14:paraId="5E1F548E" w14:textId="00F86E49"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Home Office. (2023) About us, Gov.UK - About us. Home Office. Available at: https://www.gov.uk/government/organisations/home-office/about (Accessed: April 6, 2023). </w:t>
      </w:r>
    </w:p>
    <w:p w14:paraId="55ABA948" w14:textId="77777777" w:rsidR="00537917" w:rsidRPr="007C12B6" w:rsidRDefault="00537917" w:rsidP="0093530B">
      <w:pPr>
        <w:ind w:left="567" w:hanging="567"/>
        <w:rPr>
          <w:rFonts w:asciiTheme="minorHAnsi" w:hAnsiTheme="minorHAnsi" w:cstheme="minorHAnsi"/>
        </w:rPr>
      </w:pPr>
    </w:p>
    <w:p w14:paraId="72FBBCCD" w14:textId="77777777" w:rsidR="00537917" w:rsidRPr="007C12B6" w:rsidRDefault="00537917" w:rsidP="0093530B">
      <w:pPr>
        <w:ind w:left="567" w:hanging="567"/>
        <w:rPr>
          <w:rFonts w:asciiTheme="minorHAnsi" w:hAnsiTheme="minorHAnsi" w:cstheme="minorHAnsi"/>
        </w:rPr>
      </w:pPr>
      <w:r w:rsidRPr="007C12B6">
        <w:rPr>
          <w:rFonts w:asciiTheme="minorHAnsi" w:hAnsiTheme="minorHAnsi" w:cstheme="minorHAnsi"/>
        </w:rPr>
        <w:t xml:space="preserve">Jones, P. (2023) Crime in England and Wales: year ending September 2022. publication. Office of National </w:t>
      </w:r>
      <w:proofErr w:type="gramStart"/>
      <w:r w:rsidRPr="007C12B6">
        <w:rPr>
          <w:rFonts w:asciiTheme="minorHAnsi" w:hAnsiTheme="minorHAnsi" w:cstheme="minorHAnsi"/>
        </w:rPr>
        <w:t>Statistics .</w:t>
      </w:r>
      <w:proofErr w:type="gramEnd"/>
      <w:r w:rsidRPr="007C12B6">
        <w:rPr>
          <w:rFonts w:asciiTheme="minorHAnsi" w:hAnsiTheme="minorHAnsi" w:cstheme="minorHAnsi"/>
        </w:rPr>
        <w:t xml:space="preserve"> Available at: https://www.ons.gov.uk/peoplepopulationandcommunity/crimeandjustice/bulletins/crimeinenglandandwales/yearendingseptember2022 (Accessed: April 6, 2023). </w:t>
      </w:r>
    </w:p>
    <w:p w14:paraId="3E86EFEC" w14:textId="77777777" w:rsidR="00537917" w:rsidRPr="007C12B6" w:rsidRDefault="00537917" w:rsidP="00E232AC">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NPCC </w:t>
      </w:r>
      <w:r w:rsidRPr="007C12B6">
        <w:rPr>
          <w:rFonts w:asciiTheme="minorHAnsi" w:hAnsiTheme="minorHAnsi" w:cstheme="minorHAnsi"/>
          <w:sz w:val="22"/>
          <w:szCs w:val="22"/>
        </w:rPr>
        <w:t>d</w:t>
      </w:r>
      <w:r w:rsidRPr="007C12B6">
        <w:rPr>
          <w:rFonts w:asciiTheme="minorHAnsi" w:hAnsiTheme="minorHAnsi" w:cstheme="minorHAnsi"/>
          <w:sz w:val="22"/>
          <w:szCs w:val="22"/>
        </w:rPr>
        <w:t xml:space="preserve">ata shows a national absence rate for police officers and staff of 9.4 per cent (2022) Police Federation. Available at: https://www.polfed.org/news/latest-news/2022/npcc-data-shows-a-national-absence-rate-for-police-officers-and-staff-of-94-per-cent/ (Accessed: April 10, 2023). </w:t>
      </w:r>
    </w:p>
    <w:p w14:paraId="59AEF67E" w14:textId="77777777" w:rsidR="00537917" w:rsidRPr="007C12B6" w:rsidRDefault="00537917" w:rsidP="00537917">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Peel, Robert (1829) </w:t>
      </w:r>
      <w:proofErr w:type="spellStart"/>
      <w:r w:rsidRPr="007C12B6">
        <w:rPr>
          <w:rFonts w:asciiTheme="minorHAnsi" w:hAnsiTheme="minorHAnsi" w:cstheme="minorHAnsi"/>
          <w:sz w:val="22"/>
          <w:szCs w:val="22"/>
        </w:rPr>
        <w:t>Peelian</w:t>
      </w:r>
      <w:proofErr w:type="spellEnd"/>
      <w:r w:rsidRPr="007C12B6">
        <w:rPr>
          <w:rFonts w:asciiTheme="minorHAnsi" w:hAnsiTheme="minorHAnsi" w:cstheme="minorHAnsi"/>
          <w:sz w:val="22"/>
          <w:szCs w:val="22"/>
        </w:rPr>
        <w:t xml:space="preserve"> Principles, Metropolitan Police of London. London. </w:t>
      </w:r>
    </w:p>
    <w:p w14:paraId="28331DBC" w14:textId="77777777" w:rsidR="00537917" w:rsidRPr="007C12B6" w:rsidRDefault="00537917" w:rsidP="0093530B">
      <w:pPr>
        <w:pStyle w:val="NormalWeb"/>
        <w:ind w:left="567" w:hanging="567"/>
        <w:rPr>
          <w:rFonts w:asciiTheme="minorHAnsi" w:hAnsiTheme="minorHAnsi" w:cstheme="minorHAnsi"/>
          <w:sz w:val="22"/>
          <w:szCs w:val="22"/>
        </w:rPr>
      </w:pPr>
      <w:proofErr w:type="spellStart"/>
      <w:r w:rsidRPr="007C12B6">
        <w:rPr>
          <w:rFonts w:asciiTheme="minorHAnsi" w:hAnsiTheme="minorHAnsi" w:cstheme="minorHAnsi"/>
          <w:sz w:val="22"/>
          <w:szCs w:val="22"/>
        </w:rPr>
        <w:lastRenderedPageBreak/>
        <w:t>PolFed</w:t>
      </w:r>
      <w:proofErr w:type="spellEnd"/>
      <w:r w:rsidRPr="007C12B6">
        <w:rPr>
          <w:rFonts w:asciiTheme="minorHAnsi" w:hAnsiTheme="minorHAnsi" w:cstheme="minorHAnsi"/>
          <w:sz w:val="22"/>
          <w:szCs w:val="22"/>
        </w:rPr>
        <w:t xml:space="preserve"> National Detectives Forum (2022) Changes to the CPS Director’s Guidance on Charging. Available at </w:t>
      </w:r>
      <w:hyperlink r:id="rId8" w:history="1">
        <w:r w:rsidRPr="007C12B6">
          <w:rPr>
            <w:rFonts w:asciiTheme="minorHAnsi" w:hAnsiTheme="minorHAnsi" w:cstheme="minorHAnsi"/>
            <w:sz w:val="22"/>
            <w:szCs w:val="22"/>
          </w:rPr>
          <w:t>https://www.polfed.org/media/17595/cps-survey-national-report-250222-v1.pdf</w:t>
        </w:r>
      </w:hyperlink>
      <w:r w:rsidRPr="007C12B6">
        <w:rPr>
          <w:rFonts w:asciiTheme="minorHAnsi" w:hAnsiTheme="minorHAnsi" w:cstheme="minorHAnsi"/>
          <w:sz w:val="22"/>
          <w:szCs w:val="22"/>
        </w:rPr>
        <w:t>. (Accessed February 28, 2023)</w:t>
      </w:r>
    </w:p>
    <w:p w14:paraId="4C088698" w14:textId="77777777" w:rsidR="00537917" w:rsidRPr="007C12B6" w:rsidRDefault="00537917" w:rsidP="0093530B">
      <w:pPr>
        <w:pStyle w:val="NormalWeb"/>
        <w:ind w:left="567" w:hanging="567"/>
        <w:rPr>
          <w:rFonts w:asciiTheme="minorHAnsi" w:hAnsiTheme="minorHAnsi" w:cstheme="minorHAnsi"/>
          <w:sz w:val="22"/>
          <w:szCs w:val="22"/>
        </w:rPr>
      </w:pPr>
      <w:r w:rsidRPr="007C12B6">
        <w:rPr>
          <w:rFonts w:asciiTheme="minorHAnsi" w:hAnsiTheme="minorHAnsi" w:cstheme="minorHAnsi"/>
          <w:sz w:val="22"/>
          <w:szCs w:val="22"/>
        </w:rPr>
        <w:t xml:space="preserve">UNISON (2014) Police Staff Cuts: A Survey of Police Forces. </w:t>
      </w:r>
    </w:p>
    <w:p w14:paraId="7E205220" w14:textId="0E11599D" w:rsidR="00537917" w:rsidRPr="007C12B6" w:rsidRDefault="00537917" w:rsidP="0093530B">
      <w:pPr>
        <w:ind w:left="567" w:hanging="567"/>
      </w:pPr>
      <w:r w:rsidRPr="007C12B6">
        <w:t>Vaughan, P. (2015) Budget cuts continue to challenge all police forces. National Police Chiefs'</w:t>
      </w:r>
      <w:r w:rsidRPr="007C12B6">
        <w:t xml:space="preserve"> </w:t>
      </w:r>
      <w:r w:rsidRPr="007C12B6">
        <w:t xml:space="preserve">Council. Available at: https://news.npcc.police.uk/releases/budget-cuts-continue-to-challenge-all-police-forces (Accessed: April 6, 2023). </w:t>
      </w:r>
    </w:p>
    <w:p w14:paraId="0DE1643A" w14:textId="77777777" w:rsidR="00E232AC" w:rsidRPr="00537917" w:rsidRDefault="00E232AC" w:rsidP="0093530B"/>
    <w:sectPr w:rsidR="00E232AC" w:rsidRPr="005379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099D" w14:textId="77777777" w:rsidR="006400BD" w:rsidRDefault="006400BD" w:rsidP="00F6537C">
      <w:r>
        <w:separator/>
      </w:r>
    </w:p>
  </w:endnote>
  <w:endnote w:type="continuationSeparator" w:id="0">
    <w:p w14:paraId="578160A6" w14:textId="77777777" w:rsidR="006400BD" w:rsidRDefault="006400BD" w:rsidP="00F6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168B2" w14:textId="77777777" w:rsidR="006400BD" w:rsidRDefault="006400BD" w:rsidP="00F6537C">
      <w:r>
        <w:separator/>
      </w:r>
    </w:p>
  </w:footnote>
  <w:footnote w:type="continuationSeparator" w:id="0">
    <w:p w14:paraId="175CCE73" w14:textId="77777777" w:rsidR="006400BD" w:rsidRDefault="006400BD" w:rsidP="00F653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2009363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F82"/>
    <w:rsid w:val="0003506E"/>
    <w:rsid w:val="00044B18"/>
    <w:rsid w:val="00122F82"/>
    <w:rsid w:val="00201137"/>
    <w:rsid w:val="0022105D"/>
    <w:rsid w:val="002241E0"/>
    <w:rsid w:val="002A1B8E"/>
    <w:rsid w:val="002E0DBE"/>
    <w:rsid w:val="003073D0"/>
    <w:rsid w:val="00375E7A"/>
    <w:rsid w:val="00395ACC"/>
    <w:rsid w:val="003A3826"/>
    <w:rsid w:val="003B2CD7"/>
    <w:rsid w:val="004A575B"/>
    <w:rsid w:val="00503E47"/>
    <w:rsid w:val="00537917"/>
    <w:rsid w:val="00552246"/>
    <w:rsid w:val="005663A9"/>
    <w:rsid w:val="0061366A"/>
    <w:rsid w:val="006173D4"/>
    <w:rsid w:val="006400BD"/>
    <w:rsid w:val="00645BE6"/>
    <w:rsid w:val="006E7CF8"/>
    <w:rsid w:val="00717B6E"/>
    <w:rsid w:val="007367BC"/>
    <w:rsid w:val="00761F82"/>
    <w:rsid w:val="007B68FE"/>
    <w:rsid w:val="007C12B6"/>
    <w:rsid w:val="0093530B"/>
    <w:rsid w:val="00B30235"/>
    <w:rsid w:val="00BB0BD9"/>
    <w:rsid w:val="00C2679D"/>
    <w:rsid w:val="00D05FDD"/>
    <w:rsid w:val="00D21358"/>
    <w:rsid w:val="00D65766"/>
    <w:rsid w:val="00DF55AB"/>
    <w:rsid w:val="00E232AC"/>
    <w:rsid w:val="00EC0F69"/>
    <w:rsid w:val="00ED7F82"/>
    <w:rsid w:val="00F30067"/>
    <w:rsid w:val="00F31991"/>
    <w:rsid w:val="00F6537C"/>
    <w:rsid w:val="00F72A82"/>
    <w:rsid w:val="00FC6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8CBC3"/>
  <w15:chartTrackingRefBased/>
  <w15:docId w15:val="{33229B42-0D90-42A0-9F34-25CBF989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F82"/>
    <w:pPr>
      <w:spacing w:after="0" w:line="240" w:lineRule="auto"/>
    </w:pPr>
    <w:rPr>
      <w:rFonts w:ascii="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6FC5"/>
    <w:pPr>
      <w:spacing w:before="100" w:beforeAutospacing="1" w:after="100" w:afterAutospacing="1"/>
    </w:pPr>
    <w:rPr>
      <w:rFonts w:ascii="Times New Roman" w:eastAsia="Times New Roman" w:hAnsi="Times New Roman" w:cs="Times New Roman"/>
      <w:sz w:val="24"/>
      <w:szCs w:val="24"/>
      <w:lang w:eastAsia="en-GB"/>
    </w:rPr>
  </w:style>
  <w:style w:type="paragraph" w:styleId="Revision">
    <w:name w:val="Revision"/>
    <w:hidden/>
    <w:uiPriority w:val="99"/>
    <w:semiHidden/>
    <w:rsid w:val="00201137"/>
    <w:pPr>
      <w:spacing w:after="0" w:line="240" w:lineRule="auto"/>
    </w:pPr>
    <w:rPr>
      <w:rFonts w:ascii="Calibri" w:hAnsi="Calibri" w:cs="Calibri"/>
    </w:rPr>
  </w:style>
  <w:style w:type="character" w:styleId="Hyperlink">
    <w:name w:val="Hyperlink"/>
    <w:basedOn w:val="DefaultParagraphFont"/>
    <w:uiPriority w:val="99"/>
    <w:unhideWhenUsed/>
    <w:rsid w:val="0003506E"/>
    <w:rPr>
      <w:color w:val="0000FF"/>
      <w:u w:val="single"/>
    </w:rPr>
  </w:style>
  <w:style w:type="paragraph" w:styleId="ListParagraph">
    <w:name w:val="List Paragraph"/>
    <w:basedOn w:val="Normal"/>
    <w:uiPriority w:val="34"/>
    <w:qFormat/>
    <w:rsid w:val="006E7CF8"/>
    <w:pPr>
      <w:spacing w:after="160" w:line="259" w:lineRule="auto"/>
      <w:ind w:left="720"/>
      <w:contextualSpacing/>
    </w:pPr>
    <w:rPr>
      <w:rFonts w:ascii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86499">
      <w:bodyDiv w:val="1"/>
      <w:marLeft w:val="0"/>
      <w:marRight w:val="0"/>
      <w:marTop w:val="0"/>
      <w:marBottom w:val="0"/>
      <w:divBdr>
        <w:top w:val="none" w:sz="0" w:space="0" w:color="auto"/>
        <w:left w:val="none" w:sz="0" w:space="0" w:color="auto"/>
        <w:bottom w:val="none" w:sz="0" w:space="0" w:color="auto"/>
        <w:right w:val="none" w:sz="0" w:space="0" w:color="auto"/>
      </w:divBdr>
    </w:div>
    <w:div w:id="226956600">
      <w:bodyDiv w:val="1"/>
      <w:marLeft w:val="0"/>
      <w:marRight w:val="0"/>
      <w:marTop w:val="0"/>
      <w:marBottom w:val="0"/>
      <w:divBdr>
        <w:top w:val="none" w:sz="0" w:space="0" w:color="auto"/>
        <w:left w:val="none" w:sz="0" w:space="0" w:color="auto"/>
        <w:bottom w:val="none" w:sz="0" w:space="0" w:color="auto"/>
        <w:right w:val="none" w:sz="0" w:space="0" w:color="auto"/>
      </w:divBdr>
    </w:div>
    <w:div w:id="347562456">
      <w:bodyDiv w:val="1"/>
      <w:marLeft w:val="0"/>
      <w:marRight w:val="0"/>
      <w:marTop w:val="0"/>
      <w:marBottom w:val="0"/>
      <w:divBdr>
        <w:top w:val="none" w:sz="0" w:space="0" w:color="auto"/>
        <w:left w:val="none" w:sz="0" w:space="0" w:color="auto"/>
        <w:bottom w:val="none" w:sz="0" w:space="0" w:color="auto"/>
        <w:right w:val="none" w:sz="0" w:space="0" w:color="auto"/>
      </w:divBdr>
    </w:div>
    <w:div w:id="535970634">
      <w:bodyDiv w:val="1"/>
      <w:marLeft w:val="0"/>
      <w:marRight w:val="0"/>
      <w:marTop w:val="0"/>
      <w:marBottom w:val="0"/>
      <w:divBdr>
        <w:top w:val="none" w:sz="0" w:space="0" w:color="auto"/>
        <w:left w:val="none" w:sz="0" w:space="0" w:color="auto"/>
        <w:bottom w:val="none" w:sz="0" w:space="0" w:color="auto"/>
        <w:right w:val="none" w:sz="0" w:space="0" w:color="auto"/>
      </w:divBdr>
    </w:div>
    <w:div w:id="604115707">
      <w:bodyDiv w:val="1"/>
      <w:marLeft w:val="0"/>
      <w:marRight w:val="0"/>
      <w:marTop w:val="0"/>
      <w:marBottom w:val="0"/>
      <w:divBdr>
        <w:top w:val="none" w:sz="0" w:space="0" w:color="auto"/>
        <w:left w:val="none" w:sz="0" w:space="0" w:color="auto"/>
        <w:bottom w:val="none" w:sz="0" w:space="0" w:color="auto"/>
        <w:right w:val="none" w:sz="0" w:space="0" w:color="auto"/>
      </w:divBdr>
    </w:div>
    <w:div w:id="630669075">
      <w:bodyDiv w:val="1"/>
      <w:marLeft w:val="0"/>
      <w:marRight w:val="0"/>
      <w:marTop w:val="0"/>
      <w:marBottom w:val="0"/>
      <w:divBdr>
        <w:top w:val="none" w:sz="0" w:space="0" w:color="auto"/>
        <w:left w:val="none" w:sz="0" w:space="0" w:color="auto"/>
        <w:bottom w:val="none" w:sz="0" w:space="0" w:color="auto"/>
        <w:right w:val="none" w:sz="0" w:space="0" w:color="auto"/>
      </w:divBdr>
    </w:div>
    <w:div w:id="660621996">
      <w:bodyDiv w:val="1"/>
      <w:marLeft w:val="0"/>
      <w:marRight w:val="0"/>
      <w:marTop w:val="0"/>
      <w:marBottom w:val="0"/>
      <w:divBdr>
        <w:top w:val="none" w:sz="0" w:space="0" w:color="auto"/>
        <w:left w:val="none" w:sz="0" w:space="0" w:color="auto"/>
        <w:bottom w:val="none" w:sz="0" w:space="0" w:color="auto"/>
        <w:right w:val="none" w:sz="0" w:space="0" w:color="auto"/>
      </w:divBdr>
    </w:div>
    <w:div w:id="751244337">
      <w:bodyDiv w:val="1"/>
      <w:marLeft w:val="0"/>
      <w:marRight w:val="0"/>
      <w:marTop w:val="0"/>
      <w:marBottom w:val="0"/>
      <w:divBdr>
        <w:top w:val="none" w:sz="0" w:space="0" w:color="auto"/>
        <w:left w:val="none" w:sz="0" w:space="0" w:color="auto"/>
        <w:bottom w:val="none" w:sz="0" w:space="0" w:color="auto"/>
        <w:right w:val="none" w:sz="0" w:space="0" w:color="auto"/>
      </w:divBdr>
    </w:div>
    <w:div w:id="1012074531">
      <w:bodyDiv w:val="1"/>
      <w:marLeft w:val="0"/>
      <w:marRight w:val="0"/>
      <w:marTop w:val="0"/>
      <w:marBottom w:val="0"/>
      <w:divBdr>
        <w:top w:val="none" w:sz="0" w:space="0" w:color="auto"/>
        <w:left w:val="none" w:sz="0" w:space="0" w:color="auto"/>
        <w:bottom w:val="none" w:sz="0" w:space="0" w:color="auto"/>
        <w:right w:val="none" w:sz="0" w:space="0" w:color="auto"/>
      </w:divBdr>
    </w:div>
    <w:div w:id="1482192694">
      <w:bodyDiv w:val="1"/>
      <w:marLeft w:val="0"/>
      <w:marRight w:val="0"/>
      <w:marTop w:val="0"/>
      <w:marBottom w:val="0"/>
      <w:divBdr>
        <w:top w:val="none" w:sz="0" w:space="0" w:color="auto"/>
        <w:left w:val="none" w:sz="0" w:space="0" w:color="auto"/>
        <w:bottom w:val="none" w:sz="0" w:space="0" w:color="auto"/>
        <w:right w:val="none" w:sz="0" w:space="0" w:color="auto"/>
      </w:divBdr>
    </w:div>
    <w:div w:id="1694841166">
      <w:bodyDiv w:val="1"/>
      <w:marLeft w:val="0"/>
      <w:marRight w:val="0"/>
      <w:marTop w:val="0"/>
      <w:marBottom w:val="0"/>
      <w:divBdr>
        <w:top w:val="none" w:sz="0" w:space="0" w:color="auto"/>
        <w:left w:val="none" w:sz="0" w:space="0" w:color="auto"/>
        <w:bottom w:val="none" w:sz="0" w:space="0" w:color="auto"/>
        <w:right w:val="none" w:sz="0" w:space="0" w:color="auto"/>
      </w:divBdr>
    </w:div>
    <w:div w:id="1820726827">
      <w:bodyDiv w:val="1"/>
      <w:marLeft w:val="0"/>
      <w:marRight w:val="0"/>
      <w:marTop w:val="0"/>
      <w:marBottom w:val="0"/>
      <w:divBdr>
        <w:top w:val="none" w:sz="0" w:space="0" w:color="auto"/>
        <w:left w:val="none" w:sz="0" w:space="0" w:color="auto"/>
        <w:bottom w:val="none" w:sz="0" w:space="0" w:color="auto"/>
        <w:right w:val="none" w:sz="0" w:space="0" w:color="auto"/>
      </w:divBdr>
    </w:div>
    <w:div w:id="1864006498">
      <w:bodyDiv w:val="1"/>
      <w:marLeft w:val="0"/>
      <w:marRight w:val="0"/>
      <w:marTop w:val="0"/>
      <w:marBottom w:val="0"/>
      <w:divBdr>
        <w:top w:val="none" w:sz="0" w:space="0" w:color="auto"/>
        <w:left w:val="none" w:sz="0" w:space="0" w:color="auto"/>
        <w:bottom w:val="none" w:sz="0" w:space="0" w:color="auto"/>
        <w:right w:val="none" w:sz="0" w:space="0" w:color="auto"/>
      </w:divBdr>
    </w:div>
    <w:div w:id="195574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fed.org/media/17595/cps-survey-national-report-250222-v1.pdf" TargetMode="External"/><Relationship Id="rId3" Type="http://schemas.openxmlformats.org/officeDocument/2006/relationships/settings" Target="settings.xml"/><Relationship Id="rId7" Type="http://schemas.openxmlformats.org/officeDocument/2006/relationships/hyperlink" Target="http://dx.doi.org/10.1348/135532507X23868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2722</TotalTime>
  <Pages>13</Pages>
  <Words>5018</Words>
  <Characters>28609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Welsby, Daniel</dc:creator>
  <cp:keywords/>
  <dc:description/>
  <cp:lastModifiedBy>Welsby, Daniel</cp:lastModifiedBy>
  <cp:revision>12</cp:revision>
  <dcterms:created xsi:type="dcterms:W3CDTF">2023-04-06T14:59:00Z</dcterms:created>
  <dcterms:modified xsi:type="dcterms:W3CDTF">2023-04-10T21:17:00Z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2023-04-06T14:59:58Z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ad08537f-8059-4ec7-a332-51958e6a8dfe</vt:lpwstr>
  </property>
  <property fmtid="{D5CDD505-2E9C-101B-9397-08002B2CF9AE}" pid="8" name="MSIP_Label_f2acd28b-79a3-4a0f-b0ff-4b75658b1549_ContentBits">
    <vt:lpwstr>0</vt:lpwstr>
  </property>
</Properties>
</file>