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DE3E17A" w14:textId="77777777" w:rsidR="0043280E" w:rsidRDefault="0043280E" w:rsidP="0043280E">
      <w:pPr>
        <w:keepNext/>
        <w:spacing w:before="240" w:after="60"/>
        <w:jc w:val="both"/>
        <w:rPr>
          <w:b/>
          <w:sz w:val="28"/>
          <w:szCs w:val="28"/>
        </w:rPr>
      </w:pPr>
      <w:r>
        <w:rPr>
          <w:b/>
          <w:sz w:val="28"/>
          <w:szCs w:val="28"/>
        </w:rPr>
        <w:t>Reference List</w:t>
      </w:r>
    </w:p>
    <w:p w14:paraId="5A4DF3D7" w14:textId="77777777" w:rsidR="0043280E" w:rsidRPr="008B28E7" w:rsidRDefault="0043280E" w:rsidP="0043280E">
      <w:pPr>
        <w:keepNext/>
        <w:spacing w:before="240" w:after="60"/>
        <w:jc w:val="both"/>
        <w:rPr>
          <w:sz w:val="24"/>
          <w:szCs w:val="24"/>
        </w:rPr>
      </w:pPr>
      <w:r w:rsidRPr="008B28E7">
        <w:rPr>
          <w:sz w:val="24"/>
          <w:szCs w:val="24"/>
        </w:rPr>
        <w:t>Information about referencing in written assignments and how to avoid plagiarism can be found on Moodle</w:t>
      </w:r>
      <w:r>
        <w:rPr>
          <w:sz w:val="24"/>
          <w:szCs w:val="24"/>
        </w:rPr>
        <w:t xml:space="preserve">. It is important that you are aware of the importance of ensuring that the work submitted is your original work. </w:t>
      </w:r>
      <w:r w:rsidRPr="008B28E7">
        <w:rPr>
          <w:sz w:val="24"/>
          <w:szCs w:val="24"/>
        </w:rPr>
        <w:t xml:space="preserve">     </w:t>
      </w:r>
    </w:p>
    <w:p w14:paraId="7B9055F2" w14:textId="77777777" w:rsidR="0043280E" w:rsidRDefault="0043280E" w:rsidP="0043280E">
      <w:pPr>
        <w:jc w:val="both"/>
        <w:rPr>
          <w:sz w:val="24"/>
          <w:szCs w:val="24"/>
        </w:rPr>
      </w:pPr>
    </w:p>
    <w:p w14:paraId="6B3E12C2" w14:textId="77777777" w:rsidR="0043280E" w:rsidRPr="000549E0" w:rsidRDefault="0043280E" w:rsidP="0043280E">
      <w:pPr>
        <w:spacing w:line="360" w:lineRule="auto"/>
        <w:jc w:val="both"/>
        <w:rPr>
          <w:b/>
          <w:bCs/>
          <w:sz w:val="24"/>
          <w:szCs w:val="24"/>
          <w:u w:val="single"/>
        </w:rPr>
      </w:pPr>
      <w:r w:rsidRPr="000549E0">
        <w:rPr>
          <w:b/>
          <w:bCs/>
          <w:sz w:val="24"/>
          <w:szCs w:val="24"/>
          <w:u w:val="single"/>
        </w:rPr>
        <w:t xml:space="preserve">Bibliography </w:t>
      </w:r>
    </w:p>
    <w:p w14:paraId="47628168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290B4009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Ahern, K., Meuter, R.F.I., Gallois, C., </w:t>
      </w:r>
      <w:proofErr w:type="spellStart"/>
      <w:r w:rsidRPr="000549E0">
        <w:rPr>
          <w:sz w:val="24"/>
          <w:szCs w:val="24"/>
        </w:rPr>
        <w:t>Segalowitz</w:t>
      </w:r>
      <w:proofErr w:type="spellEnd"/>
      <w:r w:rsidRPr="000549E0">
        <w:rPr>
          <w:sz w:val="24"/>
          <w:szCs w:val="24"/>
        </w:rPr>
        <w:t xml:space="preserve">, N.S., Ryder, A.G. &amp; Hocking, J., 2015. </w:t>
      </w:r>
      <w:r w:rsidRPr="000549E0">
        <w:rPr>
          <w:i/>
          <w:iCs/>
          <w:sz w:val="24"/>
          <w:szCs w:val="24"/>
        </w:rPr>
        <w:t>Overcoming language barriers in healthcare: A protocol for investigating safe and effective communication when patients or clinicians use a second language</w:t>
      </w:r>
      <w:r w:rsidRPr="000549E0">
        <w:rPr>
          <w:sz w:val="24"/>
          <w:szCs w:val="24"/>
        </w:rPr>
        <w:t xml:space="preserve">. BMC Health Services Research, 15(371). Available at: </w:t>
      </w:r>
      <w:hyperlink r:id="rId4" w:history="1">
        <w:r w:rsidRPr="000549E0">
          <w:rPr>
            <w:rStyle w:val="Hyperlink"/>
            <w:rFonts w:eastAsiaTheme="majorEastAsia"/>
            <w:sz w:val="24"/>
            <w:szCs w:val="24"/>
          </w:rPr>
          <w:t>https://bmchealthservres.biomedcentral.com/articles/10.1186/s12913-015-1024-8</w:t>
        </w:r>
      </w:hyperlink>
      <w:r w:rsidRPr="000549E0">
        <w:rPr>
          <w:sz w:val="24"/>
          <w:szCs w:val="24"/>
        </w:rPr>
        <w:t xml:space="preserve"> (Accessed on: 8</w:t>
      </w:r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of October).</w:t>
      </w:r>
    </w:p>
    <w:p w14:paraId="2FA45729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4EB09B1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AIM Project, 2023. </w:t>
      </w:r>
      <w:r w:rsidRPr="000549E0">
        <w:rPr>
          <w:i/>
          <w:iCs/>
          <w:sz w:val="24"/>
          <w:szCs w:val="24"/>
        </w:rPr>
        <w:t>Understanding harmful sexual behaviour</w:t>
      </w:r>
      <w:r w:rsidRPr="000549E0">
        <w:rPr>
          <w:sz w:val="24"/>
          <w:szCs w:val="24"/>
        </w:rPr>
        <w:t xml:space="preserve">. Available at: </w:t>
      </w:r>
      <w:hyperlink r:id="rId5" w:history="1">
        <w:r w:rsidRPr="000549E0">
          <w:rPr>
            <w:rStyle w:val="Hyperlink"/>
            <w:rFonts w:eastAsiaTheme="majorEastAsia"/>
            <w:sz w:val="24"/>
            <w:szCs w:val="24"/>
          </w:rPr>
          <w:t>https://aimproject.org.uk</w:t>
        </w:r>
      </w:hyperlink>
      <w:r w:rsidRPr="000549E0">
        <w:rPr>
          <w:sz w:val="24"/>
          <w:szCs w:val="24"/>
        </w:rPr>
        <w:t xml:space="preserve"> . (Accessed </w:t>
      </w:r>
      <w:proofErr w:type="gramStart"/>
      <w:r w:rsidRPr="000549E0">
        <w:rPr>
          <w:sz w:val="24"/>
          <w:szCs w:val="24"/>
        </w:rPr>
        <w:t>on:</w:t>
      </w:r>
      <w:proofErr w:type="gramEnd"/>
      <w:r w:rsidRPr="000549E0">
        <w:rPr>
          <w:sz w:val="24"/>
          <w:szCs w:val="24"/>
        </w:rPr>
        <w:t xml:space="preserve"> 7</w:t>
      </w:r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October, 2025)</w:t>
      </w:r>
    </w:p>
    <w:p w14:paraId="683A50A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20347F84" w14:textId="77777777" w:rsidR="0043280E" w:rsidRDefault="0043280E" w:rsidP="0043280E">
      <w:pPr>
        <w:spacing w:line="360" w:lineRule="auto"/>
        <w:rPr>
          <w:sz w:val="24"/>
          <w:szCs w:val="24"/>
        </w:rPr>
      </w:pPr>
      <w:proofErr w:type="spellStart"/>
      <w:r w:rsidRPr="000549E0">
        <w:rPr>
          <w:sz w:val="24"/>
          <w:szCs w:val="24"/>
        </w:rPr>
        <w:t>Allnock</w:t>
      </w:r>
      <w:proofErr w:type="spellEnd"/>
      <w:r w:rsidRPr="000549E0">
        <w:rPr>
          <w:sz w:val="24"/>
          <w:szCs w:val="24"/>
        </w:rPr>
        <w:t xml:space="preserve">, D. &amp; Miller, P. (2013). </w:t>
      </w:r>
      <w:r w:rsidRPr="000549E0">
        <w:rPr>
          <w:i/>
          <w:iCs/>
          <w:sz w:val="24"/>
          <w:szCs w:val="24"/>
        </w:rPr>
        <w:t>No one noticed, no one heard: A study of disclosures of childhood abuse</w:t>
      </w:r>
      <w:r w:rsidRPr="000549E0">
        <w:rPr>
          <w:sz w:val="24"/>
          <w:szCs w:val="24"/>
        </w:rPr>
        <w:t xml:space="preserve">. NSPCC. Herman, J.L. (1992). </w:t>
      </w:r>
      <w:r w:rsidRPr="000549E0">
        <w:rPr>
          <w:i/>
          <w:iCs/>
          <w:sz w:val="24"/>
          <w:szCs w:val="24"/>
        </w:rPr>
        <w:t>Trauma and Recovery</w:t>
      </w:r>
      <w:r w:rsidRPr="000549E0">
        <w:rPr>
          <w:sz w:val="24"/>
          <w:szCs w:val="24"/>
        </w:rPr>
        <w:t xml:space="preserve">. Basic Books. Available at: </w:t>
      </w:r>
      <w:hyperlink r:id="rId6" w:history="1">
        <w:r w:rsidRPr="000549E0">
          <w:rPr>
            <w:rStyle w:val="Hyperlink"/>
            <w:rFonts w:eastAsiaTheme="majorEastAsia"/>
            <w:sz w:val="24"/>
            <w:szCs w:val="24"/>
          </w:rPr>
          <w:t>https://learning.nspcc.org.uk/research-resources/2013/no-one-noticed-no-one-heard</w:t>
        </w:r>
      </w:hyperlink>
      <w:r w:rsidRPr="000549E0">
        <w:rPr>
          <w:sz w:val="24"/>
          <w:szCs w:val="24"/>
        </w:rPr>
        <w:t xml:space="preserve"> (Accessed 10th October. 2025).</w:t>
      </w:r>
    </w:p>
    <w:p w14:paraId="190CBFED" w14:textId="77777777" w:rsidR="0043280E" w:rsidRDefault="0043280E" w:rsidP="0043280E">
      <w:pPr>
        <w:spacing w:line="360" w:lineRule="auto"/>
        <w:rPr>
          <w:sz w:val="24"/>
          <w:szCs w:val="24"/>
        </w:rPr>
      </w:pPr>
    </w:p>
    <w:p w14:paraId="192B99D4" w14:textId="77777777" w:rsidR="0043280E" w:rsidRDefault="0043280E" w:rsidP="0043280E">
      <w:pPr>
        <w:spacing w:line="360" w:lineRule="auto"/>
        <w:jc w:val="both"/>
        <w:rPr>
          <w:sz w:val="24"/>
          <w:szCs w:val="24"/>
        </w:rPr>
      </w:pPr>
      <w:r w:rsidRPr="000304C9">
        <w:rPr>
          <w:sz w:val="24"/>
          <w:szCs w:val="24"/>
        </w:rPr>
        <w:t xml:space="preserve">Boud, D., Keogh, R. and Walker, D. (1985) </w:t>
      </w:r>
      <w:r w:rsidRPr="000304C9">
        <w:rPr>
          <w:i/>
          <w:iCs/>
          <w:sz w:val="24"/>
          <w:szCs w:val="24"/>
        </w:rPr>
        <w:t>Reflection: Turning experience into learning</w:t>
      </w:r>
      <w:r w:rsidRPr="000304C9">
        <w:rPr>
          <w:sz w:val="24"/>
          <w:szCs w:val="24"/>
        </w:rPr>
        <w:t xml:space="preserve">. London: </w:t>
      </w:r>
    </w:p>
    <w:p w14:paraId="38B90C5E" w14:textId="77777777" w:rsidR="0043280E" w:rsidRDefault="0043280E" w:rsidP="0043280E">
      <w:pPr>
        <w:spacing w:line="360" w:lineRule="auto"/>
        <w:jc w:val="both"/>
        <w:rPr>
          <w:sz w:val="24"/>
          <w:szCs w:val="24"/>
        </w:rPr>
      </w:pPr>
    </w:p>
    <w:p w14:paraId="2E1C4E63" w14:textId="77777777" w:rsidR="0043280E" w:rsidRPr="000304C9" w:rsidRDefault="0043280E" w:rsidP="0043280E">
      <w:pPr>
        <w:spacing w:line="360" w:lineRule="auto"/>
        <w:jc w:val="both"/>
        <w:rPr>
          <w:sz w:val="24"/>
          <w:szCs w:val="24"/>
        </w:rPr>
      </w:pPr>
      <w:r w:rsidRPr="000304C9">
        <w:rPr>
          <w:sz w:val="24"/>
          <w:szCs w:val="24"/>
        </w:rPr>
        <w:t xml:space="preserve">Caring for Care (2025) </w:t>
      </w:r>
      <w:r w:rsidRPr="000304C9">
        <w:rPr>
          <w:i/>
          <w:iCs/>
          <w:sz w:val="24"/>
          <w:szCs w:val="24"/>
        </w:rPr>
        <w:t>Safeguarding legislation in the UK</w:t>
      </w:r>
      <w:r w:rsidRPr="000304C9">
        <w:rPr>
          <w:sz w:val="24"/>
          <w:szCs w:val="24"/>
        </w:rPr>
        <w:t>. Available at: https://caringforcare.co.uk/safeguarding-legislation/ (Accessed: 9 October 2025).</w:t>
      </w:r>
    </w:p>
    <w:p w14:paraId="0EF7F672" w14:textId="77777777" w:rsidR="0043280E" w:rsidRDefault="0043280E" w:rsidP="0043280E">
      <w:pPr>
        <w:spacing w:line="360" w:lineRule="auto"/>
        <w:jc w:val="both"/>
      </w:pPr>
    </w:p>
    <w:p w14:paraId="59B63C0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Care Inspectorate Wales. (2023). </w:t>
      </w:r>
      <w:r w:rsidRPr="000549E0">
        <w:rPr>
          <w:i/>
          <w:iCs/>
          <w:sz w:val="24"/>
          <w:szCs w:val="24"/>
        </w:rPr>
        <w:t>Safeguarding Adults</w:t>
      </w:r>
      <w:r w:rsidRPr="000549E0">
        <w:rPr>
          <w:sz w:val="24"/>
          <w:szCs w:val="24"/>
        </w:rPr>
        <w:t>. Available at: https://careinspectorate.wales/safeguarding-adults (Accessed 12 Oct. 2025).</w:t>
      </w:r>
    </w:p>
    <w:p w14:paraId="3F296608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323C0F0F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Care Quality Commission (2023) </w:t>
      </w:r>
      <w:r w:rsidRPr="000549E0">
        <w:rPr>
          <w:i/>
          <w:iCs/>
          <w:sz w:val="24"/>
          <w:szCs w:val="24"/>
        </w:rPr>
        <w:t>Safeguarding people</w:t>
      </w:r>
      <w:r w:rsidRPr="000549E0">
        <w:rPr>
          <w:sz w:val="24"/>
          <w:szCs w:val="24"/>
        </w:rPr>
        <w:t>. Available at: https://www.cqc.org.uk/guidance-providers/adult-social-care/safeguarding-people (Accessed: 12 October 2025).</w:t>
      </w:r>
    </w:p>
    <w:p w14:paraId="451A773C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235D08E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Children Act 1989, c.41, s.31. Available at: </w:t>
      </w:r>
      <w:hyperlink r:id="rId7" w:history="1">
        <w:r w:rsidRPr="000549E0">
          <w:rPr>
            <w:rStyle w:val="Hyperlink"/>
            <w:rFonts w:eastAsiaTheme="majorEastAsia"/>
            <w:sz w:val="24"/>
            <w:szCs w:val="24"/>
          </w:rPr>
          <w:t>https://www.legislation.gov.uk/ukpga/1989/41/section/31</w:t>
        </w:r>
      </w:hyperlink>
      <w:r w:rsidRPr="000549E0">
        <w:rPr>
          <w:sz w:val="24"/>
          <w:szCs w:val="24"/>
        </w:rPr>
        <w:t>. (Accessed: 8 October 2025).</w:t>
      </w:r>
    </w:p>
    <w:p w14:paraId="432B19B3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6785C01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AC76BC">
        <w:rPr>
          <w:sz w:val="24"/>
          <w:szCs w:val="24"/>
        </w:rPr>
        <w:t>Children’s Commissioner for Wales</w:t>
      </w:r>
      <w:r w:rsidRPr="000549E0">
        <w:rPr>
          <w:sz w:val="24"/>
          <w:szCs w:val="24"/>
        </w:rPr>
        <w:t>. (</w:t>
      </w:r>
      <w:r w:rsidRPr="00AC76BC">
        <w:rPr>
          <w:sz w:val="24"/>
          <w:szCs w:val="24"/>
        </w:rPr>
        <w:t>2020</w:t>
      </w:r>
      <w:r w:rsidRPr="000549E0">
        <w:rPr>
          <w:sz w:val="24"/>
          <w:szCs w:val="24"/>
        </w:rPr>
        <w:t>)</w:t>
      </w:r>
      <w:r w:rsidRPr="00AC76BC">
        <w:rPr>
          <w:sz w:val="24"/>
          <w:szCs w:val="24"/>
        </w:rPr>
        <w:t xml:space="preserve">. </w:t>
      </w:r>
      <w:r w:rsidRPr="00AC76BC">
        <w:rPr>
          <w:i/>
          <w:iCs/>
          <w:sz w:val="24"/>
          <w:szCs w:val="24"/>
        </w:rPr>
        <w:t>The Right Way: A Children’s Rights Approach in Wales</w:t>
      </w:r>
      <w:r w:rsidRPr="00AC76BC">
        <w:rPr>
          <w:sz w:val="24"/>
          <w:szCs w:val="24"/>
        </w:rPr>
        <w:t xml:space="preserve">. [online] Children’s Commissioner for Wales. Available at: </w:t>
      </w:r>
      <w:hyperlink r:id="rId8" w:history="1">
        <w:r w:rsidRPr="00AC76BC">
          <w:rPr>
            <w:rStyle w:val="Hyperlink"/>
            <w:rFonts w:eastAsiaTheme="majorEastAsia"/>
            <w:sz w:val="24"/>
            <w:szCs w:val="24"/>
          </w:rPr>
          <w:t>https://www.childcomwales.org.uk/resources/the-right-way-a-childrens-rights-approach/</w:t>
        </w:r>
      </w:hyperlink>
      <w:r w:rsidRPr="00AC76BC">
        <w:rPr>
          <w:sz w:val="24"/>
          <w:szCs w:val="24"/>
        </w:rPr>
        <w:t xml:space="preserve"> </w:t>
      </w:r>
    </w:p>
    <w:p w14:paraId="1126366D" w14:textId="77777777" w:rsidR="0043280E" w:rsidRPr="00AC76BC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>(</w:t>
      </w:r>
      <w:r w:rsidRPr="00AC76BC">
        <w:rPr>
          <w:sz w:val="24"/>
          <w:szCs w:val="24"/>
        </w:rPr>
        <w:t xml:space="preserve">Accessed </w:t>
      </w:r>
      <w:r w:rsidRPr="000549E0">
        <w:rPr>
          <w:sz w:val="24"/>
          <w:szCs w:val="24"/>
        </w:rPr>
        <w:t>6</w:t>
      </w:r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of</w:t>
      </w:r>
      <w:r w:rsidRPr="00AC76BC">
        <w:rPr>
          <w:sz w:val="24"/>
          <w:szCs w:val="24"/>
        </w:rPr>
        <w:t xml:space="preserve"> Oct</w:t>
      </w:r>
      <w:r w:rsidRPr="000549E0">
        <w:rPr>
          <w:sz w:val="24"/>
          <w:szCs w:val="24"/>
        </w:rPr>
        <w:t>ober</w:t>
      </w:r>
      <w:r w:rsidRPr="00AC76BC">
        <w:rPr>
          <w:sz w:val="24"/>
          <w:szCs w:val="24"/>
        </w:rPr>
        <w:t>. 2025</w:t>
      </w:r>
      <w:r w:rsidRPr="000549E0">
        <w:rPr>
          <w:sz w:val="24"/>
          <w:szCs w:val="24"/>
        </w:rPr>
        <w:t>)</w:t>
      </w:r>
      <w:r w:rsidRPr="00AC76BC">
        <w:rPr>
          <w:sz w:val="24"/>
          <w:szCs w:val="24"/>
        </w:rPr>
        <w:t>.</w:t>
      </w:r>
    </w:p>
    <w:p w14:paraId="0202BCCF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3E11F012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>Coady, N. &amp; Lehmann, P., 2016. Empowerment theory. In: N. Coady &amp; P. Lehmann, eds. Theoretical Perspectives for Direct Social Work Practice: A Generalist-Eclectic Approach. 3rd ed. New York: Springer Publishing Company, pp. 451–469.</w:t>
      </w:r>
    </w:p>
    <w:p w14:paraId="5133B61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47DD48C7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College of Policing. (2025). Investigating Child Abuse and Safeguarding Children. Available at: </w:t>
      </w:r>
      <w:hyperlink r:id="rId9" w:history="1">
        <w:r w:rsidRPr="000549E0">
          <w:rPr>
            <w:rStyle w:val="Hyperlink"/>
            <w:rFonts w:eastAsiaTheme="majorEastAsia"/>
            <w:sz w:val="24"/>
            <w:szCs w:val="24"/>
          </w:rPr>
          <w:t>Investigating child abuse and safeguarding children | College of Policing</w:t>
        </w:r>
      </w:hyperlink>
      <w:r w:rsidRPr="000549E0">
        <w:rPr>
          <w:sz w:val="24"/>
          <w:szCs w:val="24"/>
        </w:rPr>
        <w:t xml:space="preserve">. (Accessed </w:t>
      </w:r>
      <w:proofErr w:type="gramStart"/>
      <w:r w:rsidRPr="000549E0">
        <w:rPr>
          <w:sz w:val="24"/>
          <w:szCs w:val="24"/>
        </w:rPr>
        <w:t>on:</w:t>
      </w:r>
      <w:proofErr w:type="gramEnd"/>
      <w:r w:rsidRPr="000549E0">
        <w:rPr>
          <w:sz w:val="24"/>
          <w:szCs w:val="24"/>
        </w:rPr>
        <w:t>8</w:t>
      </w:r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October, 2025).</w:t>
      </w:r>
    </w:p>
    <w:p w14:paraId="0F3DCB8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50B55CE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Daniel, B., &amp; Wassell, S. (2002). </w:t>
      </w:r>
      <w:r w:rsidRPr="000549E0">
        <w:rPr>
          <w:i/>
          <w:iCs/>
          <w:sz w:val="24"/>
          <w:szCs w:val="24"/>
        </w:rPr>
        <w:t>The school years: Assessing and promoting resilience in vulnerable children</w:t>
      </w:r>
      <w:r w:rsidRPr="000549E0">
        <w:rPr>
          <w:sz w:val="24"/>
          <w:szCs w:val="24"/>
        </w:rPr>
        <w:t>. Jessica Kingsley Publishers.</w:t>
      </w:r>
    </w:p>
    <w:p w14:paraId="58B9A42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64DAE8F2" w14:textId="77777777" w:rsidR="0043280E" w:rsidRPr="008219FB" w:rsidRDefault="0043280E" w:rsidP="0043280E">
      <w:pPr>
        <w:spacing w:line="360" w:lineRule="auto"/>
        <w:jc w:val="both"/>
        <w:rPr>
          <w:sz w:val="24"/>
          <w:szCs w:val="24"/>
        </w:rPr>
      </w:pPr>
      <w:r w:rsidRPr="008219FB">
        <w:rPr>
          <w:sz w:val="24"/>
          <w:szCs w:val="24"/>
        </w:rPr>
        <w:t xml:space="preserve">Department for Education (DfE) (2025) </w:t>
      </w:r>
      <w:r w:rsidRPr="008219FB">
        <w:rPr>
          <w:i/>
          <w:iCs/>
          <w:sz w:val="24"/>
          <w:szCs w:val="24"/>
        </w:rPr>
        <w:t>Working together to safeguard children</w:t>
      </w:r>
      <w:r w:rsidRPr="008219FB">
        <w:rPr>
          <w:sz w:val="24"/>
          <w:szCs w:val="24"/>
        </w:rPr>
        <w:t>. Available at: https://www.gov.uk/government/publications/working-together-to-safeguard-children--2 (Accessed: 9 October 2025).</w:t>
      </w:r>
    </w:p>
    <w:p w14:paraId="3D276D06" w14:textId="77777777" w:rsidR="0043280E" w:rsidRPr="00753D7B" w:rsidRDefault="0043280E" w:rsidP="0043280E">
      <w:pPr>
        <w:spacing w:line="360" w:lineRule="auto"/>
        <w:jc w:val="both"/>
      </w:pPr>
    </w:p>
    <w:p w14:paraId="2C8E423E" w14:textId="77777777" w:rsidR="0043280E" w:rsidRDefault="0043280E" w:rsidP="0043280E">
      <w:pPr>
        <w:spacing w:line="360" w:lineRule="auto"/>
        <w:rPr>
          <w:iCs/>
          <w:sz w:val="24"/>
          <w:szCs w:val="24"/>
        </w:rPr>
      </w:pPr>
      <w:r w:rsidRPr="00881635">
        <w:rPr>
          <w:iCs/>
          <w:sz w:val="24"/>
          <w:szCs w:val="24"/>
        </w:rPr>
        <w:t xml:space="preserve">Department of Health &amp; Social Care. (2021) </w:t>
      </w:r>
      <w:r w:rsidRPr="00881635">
        <w:rPr>
          <w:i/>
          <w:iCs/>
          <w:sz w:val="24"/>
          <w:szCs w:val="24"/>
        </w:rPr>
        <w:t>A spectrum of opportunity: an exploratory study of social work practice with autistic young adults and their families</w:t>
      </w:r>
      <w:r w:rsidRPr="00881635">
        <w:rPr>
          <w:iCs/>
          <w:sz w:val="24"/>
          <w:szCs w:val="24"/>
        </w:rPr>
        <w:t xml:space="preserve">. London: GOV.UK. Available at: </w:t>
      </w:r>
      <w:hyperlink r:id="rId10" w:history="1">
        <w:r w:rsidRPr="00881635">
          <w:rPr>
            <w:rStyle w:val="Hyperlink"/>
            <w:rFonts w:eastAsiaTheme="majorEastAsia"/>
            <w:iCs/>
            <w:sz w:val="24"/>
            <w:szCs w:val="24"/>
          </w:rPr>
          <w:t>https://www.gov.uk/government/publications/social-work-and-autistic-young-people-an-exploratory-study/a-spectrum-of-opportunity-an-exploratory-study-of-social-work-practice-with-autistic-young-adults-and-their-families</w:t>
        </w:r>
      </w:hyperlink>
      <w:r w:rsidRPr="00881635">
        <w:rPr>
          <w:iCs/>
          <w:sz w:val="24"/>
          <w:szCs w:val="24"/>
        </w:rPr>
        <w:t>. (Accessed: 12 October 2025).  </w:t>
      </w:r>
    </w:p>
    <w:p w14:paraId="68900DCD" w14:textId="77777777" w:rsidR="0043280E" w:rsidRPr="00881635" w:rsidRDefault="0043280E" w:rsidP="0043280E">
      <w:pPr>
        <w:spacing w:line="360" w:lineRule="auto"/>
        <w:rPr>
          <w:iCs/>
          <w:sz w:val="24"/>
          <w:szCs w:val="24"/>
        </w:rPr>
      </w:pPr>
    </w:p>
    <w:p w14:paraId="796E6409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lastRenderedPageBreak/>
        <w:t xml:space="preserve">Department for Education (2023) </w:t>
      </w:r>
      <w:r w:rsidRPr="000549E0">
        <w:rPr>
          <w:i/>
          <w:iCs/>
          <w:sz w:val="24"/>
          <w:szCs w:val="24"/>
        </w:rPr>
        <w:t>Working Together to Safeguard Children</w:t>
      </w:r>
      <w:r w:rsidRPr="000549E0">
        <w:rPr>
          <w:sz w:val="24"/>
          <w:szCs w:val="24"/>
        </w:rPr>
        <w:t>. Available at: https://www.gov.uk/government/publications/working-together-to-safeguard-children--2 (Accessed: 11</w:t>
      </w:r>
      <w:proofErr w:type="gramStart"/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 October</w:t>
      </w:r>
      <w:proofErr w:type="gramEnd"/>
      <w:r w:rsidRPr="000549E0">
        <w:rPr>
          <w:sz w:val="24"/>
          <w:szCs w:val="24"/>
        </w:rPr>
        <w:t xml:space="preserve"> 2025). </w:t>
      </w:r>
    </w:p>
    <w:p w14:paraId="1B00A30F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</w:p>
    <w:p w14:paraId="027C3E9C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Department for Education (DfE) (2023) </w:t>
      </w:r>
      <w:r w:rsidRPr="000549E0">
        <w:rPr>
          <w:i/>
          <w:iCs/>
          <w:sz w:val="24"/>
          <w:szCs w:val="24"/>
        </w:rPr>
        <w:t>Careers guidance and access for education and training providers</w:t>
      </w:r>
      <w:r w:rsidRPr="000549E0">
        <w:rPr>
          <w:sz w:val="24"/>
          <w:szCs w:val="24"/>
        </w:rPr>
        <w:t>. London: DfE.</w:t>
      </w:r>
    </w:p>
    <w:p w14:paraId="737A9713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41029AC8" w14:textId="77777777" w:rsidR="0043280E" w:rsidRDefault="0043280E" w:rsidP="0043280E">
      <w:pPr>
        <w:spacing w:line="360" w:lineRule="auto"/>
        <w:rPr>
          <w:i/>
          <w:iCs/>
          <w:sz w:val="24"/>
          <w:szCs w:val="24"/>
        </w:rPr>
      </w:pPr>
      <w:r w:rsidRPr="000549E0">
        <w:rPr>
          <w:i/>
          <w:iCs/>
          <w:sz w:val="24"/>
          <w:szCs w:val="24"/>
        </w:rPr>
        <w:t>Dozier, M., Stovall-McClough, K. C., &amp; Albus, K. E. (2002). Attachment and psychopathology in adulthood. In J. Cassidy &amp; P. R. Shaver (Eds.).</w:t>
      </w:r>
    </w:p>
    <w:p w14:paraId="1BF8C433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</w:p>
    <w:p w14:paraId="318B8E5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Ecclestone, K. (2012) </w:t>
      </w:r>
      <w:r w:rsidRPr="000549E0">
        <w:rPr>
          <w:i/>
          <w:iCs/>
          <w:sz w:val="24"/>
          <w:szCs w:val="24"/>
        </w:rPr>
        <w:t>Emotional Well-being in Educational Policy and Practice</w:t>
      </w:r>
      <w:r w:rsidRPr="000549E0">
        <w:rPr>
          <w:sz w:val="24"/>
          <w:szCs w:val="24"/>
        </w:rPr>
        <w:t>. London: Routledge.</w:t>
      </w:r>
    </w:p>
    <w:p w14:paraId="51DFF00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1708094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Ferguson, H. (2017). </w:t>
      </w:r>
      <w:r w:rsidRPr="000549E0">
        <w:rPr>
          <w:i/>
          <w:iCs/>
          <w:sz w:val="24"/>
          <w:szCs w:val="24"/>
        </w:rPr>
        <w:t>How Children Become Invisible in Child Protection Work: Findings from Research into Day-to-Day Social Work Practice</w:t>
      </w:r>
      <w:r w:rsidRPr="000549E0">
        <w:rPr>
          <w:sz w:val="24"/>
          <w:szCs w:val="24"/>
        </w:rPr>
        <w:t xml:space="preserve">. </w:t>
      </w:r>
      <w:r w:rsidRPr="000549E0">
        <w:rPr>
          <w:i/>
          <w:iCs/>
          <w:sz w:val="24"/>
          <w:szCs w:val="24"/>
        </w:rPr>
        <w:t>British Journal of Social Work</w:t>
      </w:r>
      <w:r w:rsidRPr="000549E0">
        <w:rPr>
          <w:sz w:val="24"/>
          <w:szCs w:val="24"/>
        </w:rPr>
        <w:t>, 47(4), 1007–1023.</w:t>
      </w:r>
    </w:p>
    <w:p w14:paraId="2A5875E8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1EB016F5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  <w:r w:rsidRPr="000549E0">
        <w:rPr>
          <w:i/>
          <w:iCs/>
          <w:sz w:val="24"/>
          <w:szCs w:val="24"/>
        </w:rPr>
        <w:t xml:space="preserve">Foster, R; </w:t>
      </w:r>
      <w:proofErr w:type="spellStart"/>
      <w:r w:rsidRPr="000549E0">
        <w:rPr>
          <w:i/>
          <w:iCs/>
          <w:sz w:val="24"/>
          <w:szCs w:val="24"/>
        </w:rPr>
        <w:t>Beninger</w:t>
      </w:r>
      <w:proofErr w:type="spellEnd"/>
      <w:r w:rsidRPr="000549E0">
        <w:rPr>
          <w:i/>
          <w:iCs/>
          <w:sz w:val="24"/>
          <w:szCs w:val="24"/>
        </w:rPr>
        <w:t xml:space="preserve">, K; </w:t>
      </w:r>
      <w:proofErr w:type="spellStart"/>
      <w:r w:rsidRPr="000549E0">
        <w:rPr>
          <w:i/>
          <w:iCs/>
          <w:sz w:val="24"/>
          <w:szCs w:val="24"/>
        </w:rPr>
        <w:t>Svanaes</w:t>
      </w:r>
      <w:proofErr w:type="spellEnd"/>
      <w:r w:rsidRPr="000549E0">
        <w:rPr>
          <w:i/>
          <w:iCs/>
          <w:sz w:val="24"/>
          <w:szCs w:val="24"/>
        </w:rPr>
        <w:t xml:space="preserve">, S; Downing, C (2021). An Integrated Approach to Improving Educational Outcomes for Looked After Children in Wales. Cardiff: Welsh Government, GSR report number 63/2021. Available at: </w:t>
      </w:r>
      <w:hyperlink r:id="rId11" w:history="1">
        <w:r w:rsidRPr="000549E0">
          <w:rPr>
            <w:rStyle w:val="Hyperlink"/>
            <w:rFonts w:eastAsiaTheme="majorEastAsia"/>
            <w:i/>
            <w:iCs/>
            <w:sz w:val="24"/>
            <w:szCs w:val="24"/>
          </w:rPr>
          <w:t>https://gov.wales/integrated-approach-improving-educational-outcomes-looked-afterchildren</w:t>
        </w:r>
      </w:hyperlink>
      <w:r w:rsidRPr="000549E0">
        <w:rPr>
          <w:i/>
          <w:iCs/>
          <w:sz w:val="24"/>
          <w:szCs w:val="24"/>
        </w:rPr>
        <w:t xml:space="preserve">. </w:t>
      </w:r>
      <w:r w:rsidRPr="000549E0">
        <w:rPr>
          <w:sz w:val="24"/>
          <w:szCs w:val="24"/>
        </w:rPr>
        <w:t xml:space="preserve">(Accessed </w:t>
      </w:r>
      <w:proofErr w:type="gramStart"/>
      <w:r w:rsidRPr="000549E0">
        <w:rPr>
          <w:sz w:val="24"/>
          <w:szCs w:val="24"/>
        </w:rPr>
        <w:t>on:</w:t>
      </w:r>
      <w:proofErr w:type="gramEnd"/>
      <w:r w:rsidRPr="000549E0">
        <w:rPr>
          <w:sz w:val="24"/>
          <w:szCs w:val="24"/>
        </w:rPr>
        <w:t xml:space="preserve"> 10</w:t>
      </w:r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of October, 2025)</w:t>
      </w:r>
      <w:r w:rsidRPr="000549E0">
        <w:rPr>
          <w:i/>
          <w:iCs/>
          <w:sz w:val="24"/>
          <w:szCs w:val="24"/>
        </w:rPr>
        <w:t xml:space="preserve"> </w:t>
      </w:r>
    </w:p>
    <w:p w14:paraId="646D6807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543CC92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Gale, T. and Parker, S. (2014) </w:t>
      </w:r>
      <w:r w:rsidRPr="000549E0">
        <w:rPr>
          <w:i/>
          <w:iCs/>
          <w:sz w:val="24"/>
          <w:szCs w:val="24"/>
        </w:rPr>
        <w:t>Navigating transitions in education: A framework for understanding</w:t>
      </w:r>
      <w:r w:rsidRPr="000549E0">
        <w:rPr>
          <w:sz w:val="24"/>
          <w:szCs w:val="24"/>
        </w:rPr>
        <w:t>. Journal of Youth Studies, 17(2), pp. 182–198.</w:t>
      </w:r>
    </w:p>
    <w:p w14:paraId="3AFCE91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13877CCA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Gilligan, R. (2009). </w:t>
      </w:r>
      <w:r w:rsidRPr="000549E0">
        <w:rPr>
          <w:i/>
          <w:iCs/>
          <w:sz w:val="24"/>
          <w:szCs w:val="24"/>
        </w:rPr>
        <w:t>Promoting resilience: Supporting children and young people in care</w:t>
      </w:r>
      <w:r w:rsidRPr="000549E0">
        <w:rPr>
          <w:sz w:val="24"/>
          <w:szCs w:val="24"/>
        </w:rPr>
        <w:t xml:space="preserve">. BAAF. NSPCC (2023). </w:t>
      </w:r>
      <w:r w:rsidRPr="000549E0">
        <w:rPr>
          <w:i/>
          <w:iCs/>
          <w:sz w:val="24"/>
          <w:szCs w:val="24"/>
        </w:rPr>
        <w:t>Therapeutic services for children</w:t>
      </w:r>
      <w:r w:rsidRPr="000549E0">
        <w:rPr>
          <w:sz w:val="24"/>
          <w:szCs w:val="24"/>
        </w:rPr>
        <w:t xml:space="preserve">. Winter, K. (2011). </w:t>
      </w:r>
      <w:r w:rsidRPr="000549E0">
        <w:rPr>
          <w:i/>
          <w:iCs/>
          <w:sz w:val="24"/>
          <w:szCs w:val="24"/>
        </w:rPr>
        <w:t>Understanding and supporting young children's rights</w:t>
      </w:r>
      <w:r w:rsidRPr="000549E0">
        <w:rPr>
          <w:sz w:val="24"/>
          <w:szCs w:val="24"/>
        </w:rPr>
        <w:t>. Jessica Kingsley.</w:t>
      </w:r>
    </w:p>
    <w:p w14:paraId="4FCB0BE7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3B947170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Gov.Uk (2025). </w:t>
      </w:r>
      <w:r w:rsidRPr="000549E0">
        <w:rPr>
          <w:i/>
          <w:iCs/>
          <w:color w:val="000000" w:themeColor="text1"/>
          <w:sz w:val="24"/>
          <w:szCs w:val="24"/>
        </w:rPr>
        <w:t>Leaving foster or local authority care.</w:t>
      </w:r>
      <w:r w:rsidRPr="000549E0">
        <w:rPr>
          <w:color w:val="000000" w:themeColor="text1"/>
          <w:sz w:val="24"/>
          <w:szCs w:val="24"/>
        </w:rPr>
        <w:t xml:space="preserve"> </w:t>
      </w:r>
      <w:r w:rsidRPr="000549E0">
        <w:rPr>
          <w:sz w:val="24"/>
          <w:szCs w:val="24"/>
        </w:rPr>
        <w:t>Available at: https://www.gov.uk/leaving-foster-or-local-authority-care (Accessed 09</w:t>
      </w:r>
      <w:proofErr w:type="gramStart"/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 October</w:t>
      </w:r>
      <w:proofErr w:type="gramEnd"/>
      <w:r w:rsidRPr="000549E0">
        <w:rPr>
          <w:sz w:val="24"/>
          <w:szCs w:val="24"/>
        </w:rPr>
        <w:t>. 2025).</w:t>
      </w:r>
    </w:p>
    <w:p w14:paraId="48D0AB5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0849A6F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lastRenderedPageBreak/>
        <w:t xml:space="preserve">HM Government (2005) </w:t>
      </w:r>
      <w:r w:rsidRPr="000549E0">
        <w:rPr>
          <w:i/>
          <w:iCs/>
          <w:sz w:val="24"/>
          <w:szCs w:val="24"/>
        </w:rPr>
        <w:t>Mental Capacity Act 2005</w:t>
      </w:r>
      <w:r w:rsidRPr="000549E0">
        <w:rPr>
          <w:sz w:val="24"/>
          <w:szCs w:val="24"/>
        </w:rPr>
        <w:t xml:space="preserve">. London: The Stationery Office. HM Government (1989) </w:t>
      </w:r>
      <w:r w:rsidRPr="000549E0">
        <w:rPr>
          <w:i/>
          <w:iCs/>
          <w:sz w:val="24"/>
          <w:szCs w:val="24"/>
        </w:rPr>
        <w:t>Children Act 1989</w:t>
      </w:r>
      <w:r w:rsidRPr="000549E0">
        <w:rPr>
          <w:sz w:val="24"/>
          <w:szCs w:val="24"/>
        </w:rPr>
        <w:t>. London: The Stationery Office.</w:t>
      </w:r>
    </w:p>
    <w:p w14:paraId="0C96DEFF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12F595E3" w14:textId="77777777" w:rsidR="0043280E" w:rsidRPr="000549E0" w:rsidRDefault="0043280E" w:rsidP="0043280E">
      <w:pPr>
        <w:spacing w:line="360" w:lineRule="auto"/>
        <w:jc w:val="both"/>
        <w:rPr>
          <w:sz w:val="24"/>
          <w:szCs w:val="24"/>
        </w:rPr>
      </w:pPr>
      <w:r w:rsidRPr="000549E0">
        <w:rPr>
          <w:sz w:val="24"/>
          <w:szCs w:val="24"/>
        </w:rPr>
        <w:t xml:space="preserve">Howe, D. (2011). </w:t>
      </w:r>
      <w:r w:rsidRPr="000549E0">
        <w:rPr>
          <w:i/>
          <w:iCs/>
          <w:sz w:val="24"/>
          <w:szCs w:val="24"/>
        </w:rPr>
        <w:t>Attachment across the life course: A brief introduction</w:t>
      </w:r>
      <w:r w:rsidRPr="000549E0">
        <w:rPr>
          <w:sz w:val="24"/>
          <w:szCs w:val="24"/>
        </w:rPr>
        <w:t xml:space="preserve">. Palgrave Macmillan </w:t>
      </w:r>
    </w:p>
    <w:p w14:paraId="7283D03F" w14:textId="77777777" w:rsidR="0043280E" w:rsidRPr="000549E0" w:rsidRDefault="0043280E" w:rsidP="0043280E">
      <w:pPr>
        <w:spacing w:line="360" w:lineRule="auto"/>
        <w:jc w:val="both"/>
        <w:rPr>
          <w:sz w:val="24"/>
          <w:szCs w:val="24"/>
        </w:rPr>
      </w:pPr>
    </w:p>
    <w:p w14:paraId="45D8F639" w14:textId="77777777" w:rsidR="0043280E" w:rsidRPr="000549E0" w:rsidRDefault="0043280E" w:rsidP="0043280E">
      <w:pPr>
        <w:spacing w:line="360" w:lineRule="auto"/>
        <w:jc w:val="both"/>
        <w:rPr>
          <w:sz w:val="24"/>
          <w:szCs w:val="24"/>
        </w:rPr>
      </w:pPr>
      <w:r w:rsidRPr="000549E0">
        <w:rPr>
          <w:sz w:val="24"/>
          <w:szCs w:val="24"/>
        </w:rPr>
        <w:t xml:space="preserve">Human Rights Act 1998. (1998) </w:t>
      </w:r>
      <w:r w:rsidRPr="000549E0">
        <w:rPr>
          <w:i/>
          <w:iCs/>
          <w:sz w:val="24"/>
          <w:szCs w:val="24"/>
        </w:rPr>
        <w:t>c.42</w:t>
      </w:r>
      <w:r w:rsidRPr="000549E0">
        <w:rPr>
          <w:sz w:val="24"/>
          <w:szCs w:val="24"/>
        </w:rPr>
        <w:t xml:space="preserve">. London: The Stationery Office. Available at: </w:t>
      </w:r>
      <w:hyperlink r:id="rId12" w:history="1">
        <w:r w:rsidRPr="000549E0">
          <w:rPr>
            <w:rStyle w:val="Hyperlink"/>
            <w:rFonts w:eastAsiaTheme="majorEastAsia"/>
            <w:sz w:val="24"/>
            <w:szCs w:val="24"/>
          </w:rPr>
          <w:t>https://www.legislation.gov.uk/ukpga/1998/42/contents</w:t>
        </w:r>
      </w:hyperlink>
      <w:r w:rsidRPr="000549E0">
        <w:rPr>
          <w:sz w:val="24"/>
          <w:szCs w:val="24"/>
        </w:rPr>
        <w:t xml:space="preserve">  (Accessed: 11</w:t>
      </w:r>
      <w:proofErr w:type="gramStart"/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 October</w:t>
      </w:r>
      <w:proofErr w:type="gramEnd"/>
      <w:r w:rsidRPr="000549E0">
        <w:rPr>
          <w:sz w:val="24"/>
          <w:szCs w:val="24"/>
        </w:rPr>
        <w:t xml:space="preserve"> 2025).</w:t>
      </w:r>
    </w:p>
    <w:p w14:paraId="2F6AD3EE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>.</w:t>
      </w:r>
    </w:p>
    <w:p w14:paraId="30512887" w14:textId="77777777" w:rsidR="0043280E" w:rsidRDefault="0043280E" w:rsidP="0043280E">
      <w:pPr>
        <w:spacing w:line="360" w:lineRule="auto"/>
        <w:rPr>
          <w:sz w:val="24"/>
          <w:szCs w:val="24"/>
        </w:rPr>
      </w:pPr>
      <w:r w:rsidRPr="00881635">
        <w:rPr>
          <w:sz w:val="24"/>
          <w:szCs w:val="24"/>
        </w:rPr>
        <w:t xml:space="preserve">Jasper, M. (2013). </w:t>
      </w:r>
      <w:r w:rsidRPr="00881635">
        <w:rPr>
          <w:i/>
          <w:iCs/>
          <w:sz w:val="24"/>
          <w:szCs w:val="24"/>
        </w:rPr>
        <w:t>Beginning reflective practice</w:t>
      </w:r>
      <w:r w:rsidRPr="00881635">
        <w:rPr>
          <w:sz w:val="24"/>
          <w:szCs w:val="24"/>
        </w:rPr>
        <w:t>. 2nd ed. Andover: Cengage Learning. (Citing Borton, 1970)</w:t>
      </w:r>
    </w:p>
    <w:p w14:paraId="348C9F6E" w14:textId="77777777" w:rsidR="0043280E" w:rsidRPr="00881635" w:rsidRDefault="0043280E" w:rsidP="0043280E">
      <w:pPr>
        <w:spacing w:line="360" w:lineRule="auto"/>
        <w:rPr>
          <w:sz w:val="24"/>
          <w:szCs w:val="24"/>
        </w:rPr>
      </w:pPr>
    </w:p>
    <w:p w14:paraId="11CD1761" w14:textId="77777777" w:rsidR="0043280E" w:rsidRPr="00881635" w:rsidRDefault="0043280E" w:rsidP="0043280E">
      <w:pPr>
        <w:spacing w:line="360" w:lineRule="auto"/>
        <w:rPr>
          <w:sz w:val="24"/>
          <w:szCs w:val="24"/>
        </w:rPr>
      </w:pPr>
      <w:proofErr w:type="spellStart"/>
      <w:r w:rsidRPr="00881635">
        <w:rPr>
          <w:sz w:val="24"/>
          <w:szCs w:val="24"/>
        </w:rPr>
        <w:t>Kadushin</w:t>
      </w:r>
      <w:proofErr w:type="spellEnd"/>
      <w:r w:rsidRPr="00881635">
        <w:rPr>
          <w:sz w:val="24"/>
          <w:szCs w:val="24"/>
        </w:rPr>
        <w:t xml:space="preserve">, A. and Harkness, D., 2014. </w:t>
      </w:r>
      <w:r w:rsidRPr="00881635">
        <w:rPr>
          <w:i/>
          <w:iCs/>
          <w:sz w:val="24"/>
          <w:szCs w:val="24"/>
        </w:rPr>
        <w:t>Supervision in Social Work</w:t>
      </w:r>
      <w:r w:rsidRPr="00881635">
        <w:rPr>
          <w:sz w:val="24"/>
          <w:szCs w:val="24"/>
        </w:rPr>
        <w:t>. 5th ed. New York: Columbia University Press.</w:t>
      </w:r>
    </w:p>
    <w:p w14:paraId="0406A49B" w14:textId="77777777" w:rsidR="0043280E" w:rsidRPr="00753D7B" w:rsidRDefault="0043280E" w:rsidP="0043280E">
      <w:pPr>
        <w:spacing w:line="360" w:lineRule="auto"/>
      </w:pPr>
    </w:p>
    <w:p w14:paraId="0DE582E9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Kolb, D.A. (1984) </w:t>
      </w:r>
      <w:r w:rsidRPr="000549E0">
        <w:rPr>
          <w:i/>
          <w:iCs/>
          <w:sz w:val="24"/>
          <w:szCs w:val="24"/>
        </w:rPr>
        <w:t>Experiential Learning: Experience as the Source of Learning and Development</w:t>
      </w:r>
      <w:r w:rsidRPr="000549E0">
        <w:rPr>
          <w:sz w:val="24"/>
          <w:szCs w:val="24"/>
        </w:rPr>
        <w:t>. Englewood Cliffs, NJ: Prentice Hall.</w:t>
      </w:r>
    </w:p>
    <w:p w14:paraId="38DBEBC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67F00D0C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Lindsay, G. (2013). </w:t>
      </w:r>
      <w:r w:rsidRPr="000549E0">
        <w:rPr>
          <w:i/>
          <w:iCs/>
          <w:sz w:val="24"/>
          <w:szCs w:val="24"/>
        </w:rPr>
        <w:t>Inclusive education: A critical perspective</w:t>
      </w:r>
      <w:r w:rsidRPr="000549E0">
        <w:rPr>
          <w:sz w:val="24"/>
          <w:szCs w:val="24"/>
        </w:rPr>
        <w:t>. London: Routledge.</w:t>
      </w:r>
    </w:p>
    <w:p w14:paraId="7F317F90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28F7C155" w14:textId="77777777" w:rsidR="0043280E" w:rsidRPr="000549E0" w:rsidRDefault="0043280E" w:rsidP="0043280E">
      <w:pPr>
        <w:spacing w:line="360" w:lineRule="auto"/>
        <w:rPr>
          <w:rFonts w:eastAsia="Aptos"/>
          <w:sz w:val="24"/>
          <w:szCs w:val="24"/>
        </w:rPr>
      </w:pPr>
      <w:r w:rsidRPr="000549E0">
        <w:rPr>
          <w:sz w:val="24"/>
          <w:szCs w:val="24"/>
        </w:rPr>
        <w:t xml:space="preserve">Madigan, S., Deneault, A.-A., Duschinsky, R., </w:t>
      </w:r>
      <w:proofErr w:type="spellStart"/>
      <w:r w:rsidRPr="000549E0">
        <w:rPr>
          <w:sz w:val="24"/>
          <w:szCs w:val="24"/>
        </w:rPr>
        <w:t>Bakermans</w:t>
      </w:r>
      <w:proofErr w:type="spellEnd"/>
      <w:r w:rsidRPr="000549E0">
        <w:rPr>
          <w:sz w:val="24"/>
          <w:szCs w:val="24"/>
        </w:rPr>
        <w:t xml:space="preserve">-Kranenburg, M. J., </w:t>
      </w:r>
      <w:proofErr w:type="spellStart"/>
      <w:r w:rsidRPr="000549E0">
        <w:rPr>
          <w:sz w:val="24"/>
          <w:szCs w:val="24"/>
        </w:rPr>
        <w:t>Schuengel</w:t>
      </w:r>
      <w:proofErr w:type="spellEnd"/>
      <w:r w:rsidRPr="000549E0">
        <w:rPr>
          <w:sz w:val="24"/>
          <w:szCs w:val="24"/>
        </w:rPr>
        <w:t xml:space="preserve">, C., van </w:t>
      </w:r>
      <w:proofErr w:type="spellStart"/>
      <w:r w:rsidRPr="000549E0">
        <w:rPr>
          <w:sz w:val="24"/>
          <w:szCs w:val="24"/>
        </w:rPr>
        <w:t>IJzendoorn</w:t>
      </w:r>
      <w:proofErr w:type="spellEnd"/>
      <w:r w:rsidRPr="000549E0">
        <w:rPr>
          <w:sz w:val="24"/>
          <w:szCs w:val="24"/>
        </w:rPr>
        <w:t>, M. H., Ly, A., Fearon, R. M. P., Eirich, R., &amp; Verhage, M. L. (2024). Maternal and paternal sensitivity: Key determinants of child attachment security examined through meta-analysis. </w:t>
      </w:r>
      <w:r w:rsidRPr="000549E0">
        <w:rPr>
          <w:i/>
          <w:iCs/>
          <w:sz w:val="24"/>
          <w:szCs w:val="24"/>
        </w:rPr>
        <w:t>Psychological Bulletin</w:t>
      </w:r>
      <w:r w:rsidRPr="000549E0">
        <w:rPr>
          <w:sz w:val="24"/>
          <w:szCs w:val="24"/>
        </w:rPr>
        <w:t>, 150(7), 839–872. https://doi.org/10.1037/bul0000433</w:t>
      </w:r>
      <w:r w:rsidRPr="000549E0">
        <w:rPr>
          <w:rFonts w:eastAsia="Aptos"/>
          <w:sz w:val="24"/>
          <w:szCs w:val="24"/>
        </w:rPr>
        <w:t xml:space="preserve"> </w:t>
      </w:r>
    </w:p>
    <w:p w14:paraId="43C0A3D5" w14:textId="77777777" w:rsidR="0043280E" w:rsidRPr="000549E0" w:rsidRDefault="0043280E" w:rsidP="0043280E">
      <w:pPr>
        <w:spacing w:line="360" w:lineRule="auto"/>
        <w:rPr>
          <w:rFonts w:eastAsia="Aptos"/>
          <w:sz w:val="24"/>
          <w:szCs w:val="24"/>
        </w:rPr>
      </w:pPr>
    </w:p>
    <w:p w14:paraId="505A06EF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  <w:r w:rsidRPr="000549E0">
        <w:rPr>
          <w:i/>
          <w:iCs/>
          <w:sz w:val="24"/>
          <w:szCs w:val="24"/>
        </w:rPr>
        <w:t>Masten, A (</w:t>
      </w:r>
      <w:hyperlink r:id="rId13" w:history="1">
        <w:r w:rsidRPr="000549E0">
          <w:rPr>
            <w:rStyle w:val="Hyperlink"/>
            <w:rFonts w:eastAsiaTheme="majorEastAsia"/>
            <w:i/>
            <w:iCs/>
            <w:color w:val="000000" w:themeColor="text1"/>
            <w:sz w:val="24"/>
            <w:szCs w:val="24"/>
          </w:rPr>
          <w:t>2014</w:t>
        </w:r>
      </w:hyperlink>
      <w:r w:rsidRPr="000549E0">
        <w:rPr>
          <w:i/>
          <w:iCs/>
          <w:color w:val="000000" w:themeColor="text1"/>
          <w:sz w:val="24"/>
          <w:szCs w:val="24"/>
        </w:rPr>
        <w:t xml:space="preserve">) </w:t>
      </w:r>
      <w:hyperlink r:id="rId14" w:history="1">
        <w:r w:rsidRPr="000549E0">
          <w:rPr>
            <w:rStyle w:val="Hyperlink"/>
            <w:rFonts w:eastAsiaTheme="majorEastAsia"/>
            <w:i/>
            <w:iCs/>
            <w:color w:val="000000" w:themeColor="text1"/>
            <w:sz w:val="24"/>
            <w:szCs w:val="24"/>
          </w:rPr>
          <w:t>Resilience (Personality trait) in children</w:t>
        </w:r>
      </w:hyperlink>
      <w:r w:rsidRPr="000549E0">
        <w:rPr>
          <w:i/>
          <w:iCs/>
          <w:color w:val="000000" w:themeColor="text1"/>
          <w:sz w:val="24"/>
          <w:szCs w:val="24"/>
        </w:rPr>
        <w:t>, </w:t>
      </w:r>
      <w:hyperlink r:id="rId15" w:history="1">
        <w:r w:rsidRPr="000549E0">
          <w:rPr>
            <w:rStyle w:val="Hyperlink"/>
            <w:rFonts w:eastAsiaTheme="majorEastAsia"/>
            <w:i/>
            <w:iCs/>
            <w:color w:val="000000" w:themeColor="text1"/>
            <w:sz w:val="24"/>
            <w:szCs w:val="24"/>
          </w:rPr>
          <w:t>Child psychology</w:t>
        </w:r>
      </w:hyperlink>
      <w:r w:rsidRPr="000549E0">
        <w:rPr>
          <w:i/>
          <w:iCs/>
          <w:color w:val="000000" w:themeColor="text1"/>
          <w:sz w:val="24"/>
          <w:szCs w:val="24"/>
        </w:rPr>
        <w:t>, </w:t>
      </w:r>
      <w:hyperlink r:id="rId16" w:history="1">
        <w:r w:rsidRPr="000549E0">
          <w:rPr>
            <w:rStyle w:val="Hyperlink"/>
            <w:rFonts w:eastAsiaTheme="majorEastAsia"/>
            <w:i/>
            <w:iCs/>
            <w:color w:val="000000" w:themeColor="text1"/>
            <w:sz w:val="24"/>
            <w:szCs w:val="24"/>
          </w:rPr>
          <w:t>Child welfare</w:t>
        </w:r>
      </w:hyperlink>
      <w:r w:rsidRPr="000549E0">
        <w:rPr>
          <w:i/>
          <w:iCs/>
          <w:color w:val="000000" w:themeColor="text1"/>
          <w:sz w:val="24"/>
          <w:szCs w:val="24"/>
        </w:rPr>
        <w:t xml:space="preserve">. </w:t>
      </w:r>
      <w:r w:rsidRPr="000549E0">
        <w:rPr>
          <w:i/>
          <w:iCs/>
          <w:sz w:val="24"/>
          <w:szCs w:val="24"/>
        </w:rPr>
        <w:t xml:space="preserve">New </w:t>
      </w:r>
      <w:proofErr w:type="gramStart"/>
      <w:r w:rsidRPr="000549E0">
        <w:rPr>
          <w:i/>
          <w:iCs/>
          <w:sz w:val="24"/>
          <w:szCs w:val="24"/>
        </w:rPr>
        <w:t>York :</w:t>
      </w:r>
      <w:proofErr w:type="gramEnd"/>
      <w:r w:rsidRPr="000549E0">
        <w:rPr>
          <w:i/>
          <w:iCs/>
          <w:sz w:val="24"/>
          <w:szCs w:val="24"/>
        </w:rPr>
        <w:t xml:space="preserve"> The Guilford Press</w:t>
      </w:r>
    </w:p>
    <w:p w14:paraId="28C8CF86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</w:p>
    <w:p w14:paraId="3ACE1335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  <w:r w:rsidRPr="000549E0">
        <w:rPr>
          <w:i/>
          <w:iCs/>
          <w:sz w:val="24"/>
          <w:szCs w:val="24"/>
        </w:rPr>
        <w:t>Masten, A.S. (2014) Ordinary Magic: Resilience in Development. New York: Guilford Press.</w:t>
      </w:r>
    </w:p>
    <w:p w14:paraId="0EC3B5B1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</w:p>
    <w:p w14:paraId="051E0E30" w14:textId="77777777" w:rsidR="0043280E" w:rsidRPr="000549E0" w:rsidRDefault="0043280E" w:rsidP="0043280E">
      <w:pPr>
        <w:spacing w:line="360" w:lineRule="auto"/>
        <w:jc w:val="both"/>
        <w:rPr>
          <w:sz w:val="24"/>
          <w:szCs w:val="24"/>
        </w:rPr>
      </w:pPr>
      <w:r w:rsidRPr="000549E0">
        <w:rPr>
          <w:sz w:val="24"/>
          <w:szCs w:val="24"/>
        </w:rPr>
        <w:lastRenderedPageBreak/>
        <w:t xml:space="preserve">Mental Capacity Act 2005. (2005) </w:t>
      </w:r>
      <w:r w:rsidRPr="000549E0">
        <w:rPr>
          <w:i/>
          <w:iCs/>
          <w:sz w:val="24"/>
          <w:szCs w:val="24"/>
        </w:rPr>
        <w:t>c.9</w:t>
      </w:r>
      <w:r w:rsidRPr="000549E0">
        <w:rPr>
          <w:sz w:val="24"/>
          <w:szCs w:val="24"/>
        </w:rPr>
        <w:t xml:space="preserve">. London: The Stationery Office. Available at: https://www.legislation.gov.uk/ukpga/2005/9/contents (Accessed: 12 October 2025). </w:t>
      </w:r>
    </w:p>
    <w:p w14:paraId="6D12F478" w14:textId="77777777" w:rsidR="0043280E" w:rsidRPr="000549E0" w:rsidRDefault="0043280E" w:rsidP="0043280E">
      <w:pPr>
        <w:spacing w:line="360" w:lineRule="auto"/>
        <w:jc w:val="both"/>
        <w:rPr>
          <w:sz w:val="24"/>
          <w:szCs w:val="24"/>
        </w:rPr>
      </w:pPr>
    </w:p>
    <w:p w14:paraId="0B397FCE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Munro, E. (2011) </w:t>
      </w:r>
      <w:r w:rsidRPr="000549E0">
        <w:rPr>
          <w:i/>
          <w:iCs/>
          <w:sz w:val="24"/>
          <w:szCs w:val="24"/>
        </w:rPr>
        <w:t>The Munro Review of Child Protection: Final Report – A Child-Centred System</w:t>
      </w:r>
      <w:r w:rsidRPr="000549E0">
        <w:rPr>
          <w:sz w:val="24"/>
          <w:szCs w:val="24"/>
        </w:rPr>
        <w:t>. London: Department for Education.</w:t>
      </w:r>
    </w:p>
    <w:p w14:paraId="37E8BE0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6CE00B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Munro, E. (2011). </w:t>
      </w:r>
      <w:r w:rsidRPr="000549E0">
        <w:rPr>
          <w:i/>
          <w:iCs/>
          <w:sz w:val="24"/>
          <w:szCs w:val="24"/>
        </w:rPr>
        <w:t>The Munro Review of Child Protection: Final Report</w:t>
      </w:r>
      <w:r w:rsidRPr="000549E0">
        <w:rPr>
          <w:sz w:val="24"/>
          <w:szCs w:val="24"/>
        </w:rPr>
        <w:t>. London: Department for Education. Available at: https://www.gov.uk/government/publications/munro-review-of-child-protection-final-report (Accessed 6</w:t>
      </w:r>
      <w:r w:rsidRPr="000549E0">
        <w:rPr>
          <w:sz w:val="24"/>
          <w:szCs w:val="24"/>
          <w:vertAlign w:val="superscript"/>
        </w:rPr>
        <w:t>th</w:t>
      </w:r>
      <w:r w:rsidRPr="000549E0">
        <w:rPr>
          <w:sz w:val="24"/>
          <w:szCs w:val="24"/>
        </w:rPr>
        <w:t xml:space="preserve"> of October. 2025).</w:t>
      </w:r>
    </w:p>
    <w:p w14:paraId="57FEF40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6AE39DC2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National Independent Safeguarding Board Wales. (2022). </w:t>
      </w:r>
      <w:r w:rsidRPr="000549E0">
        <w:rPr>
          <w:i/>
          <w:iCs/>
          <w:sz w:val="24"/>
          <w:szCs w:val="24"/>
        </w:rPr>
        <w:t>Annual Report 2021–2022</w:t>
      </w:r>
      <w:r w:rsidRPr="000549E0">
        <w:rPr>
          <w:sz w:val="24"/>
          <w:szCs w:val="24"/>
        </w:rPr>
        <w:t>. Available at: https://safeguardingboard.wales (Accessed 12 Oct. 2025).</w:t>
      </w:r>
    </w:p>
    <w:p w14:paraId="3927FBAF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4DEF4B1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NSPCC. (2024). </w:t>
      </w:r>
      <w:r w:rsidRPr="000549E0">
        <w:rPr>
          <w:i/>
          <w:iCs/>
          <w:sz w:val="24"/>
          <w:szCs w:val="24"/>
        </w:rPr>
        <w:t>Gillick competence and Fraser guidelines</w:t>
      </w:r>
      <w:r w:rsidRPr="000549E0">
        <w:rPr>
          <w:sz w:val="24"/>
          <w:szCs w:val="24"/>
        </w:rPr>
        <w:t>. Available at: https://www.nspcc.org.uk (Accessed 12 Oct. 2025).</w:t>
      </w:r>
    </w:p>
    <w:p w14:paraId="70211F2D" w14:textId="77777777" w:rsidR="0043280E" w:rsidRPr="000549E0" w:rsidRDefault="0043280E" w:rsidP="0043280E">
      <w:pPr>
        <w:spacing w:line="360" w:lineRule="auto"/>
        <w:rPr>
          <w:i/>
          <w:iCs/>
          <w:sz w:val="24"/>
          <w:szCs w:val="24"/>
        </w:rPr>
      </w:pPr>
    </w:p>
    <w:p w14:paraId="41B5EF6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NSPCC (2024) </w:t>
      </w:r>
      <w:r w:rsidRPr="000549E0">
        <w:rPr>
          <w:i/>
          <w:iCs/>
          <w:sz w:val="24"/>
          <w:szCs w:val="24"/>
        </w:rPr>
        <w:t>Child protection system for Wales</w:t>
      </w:r>
      <w:r w:rsidRPr="000549E0">
        <w:rPr>
          <w:sz w:val="24"/>
          <w:szCs w:val="24"/>
        </w:rPr>
        <w:t>. NSPCC Learning. Available at: https://learning.nspcc.org.uk/child-protection-system/wales (Accessed 6 Oct. 2025).</w:t>
      </w:r>
    </w:p>
    <w:p w14:paraId="7BAEAF43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786A3E8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Renn, P. (2009) 'Violence as Attachment Gone Wrong: Three Case Vignettes', </w:t>
      </w:r>
      <w:r w:rsidRPr="000549E0">
        <w:rPr>
          <w:i/>
          <w:iCs/>
          <w:sz w:val="24"/>
          <w:szCs w:val="24"/>
        </w:rPr>
        <w:t>Counselling Directory</w:t>
      </w:r>
      <w:r w:rsidRPr="000549E0">
        <w:rPr>
          <w:sz w:val="24"/>
          <w:szCs w:val="24"/>
        </w:rPr>
        <w:t xml:space="preserve">. Available at: </w:t>
      </w:r>
      <w:hyperlink r:id="rId17" w:history="1">
        <w:r w:rsidRPr="000549E0">
          <w:rPr>
            <w:rStyle w:val="Hyperlink"/>
            <w:rFonts w:eastAsiaTheme="majorEastAsia"/>
            <w:sz w:val="24"/>
            <w:szCs w:val="24"/>
          </w:rPr>
          <w:t>https://www.counselling-directory.org.uk/articles/violence-as-attachment-gone-wrong-three-case-vignettes</w:t>
        </w:r>
      </w:hyperlink>
      <w:r w:rsidRPr="000549E0">
        <w:rPr>
          <w:sz w:val="24"/>
          <w:szCs w:val="24"/>
        </w:rPr>
        <w:t xml:space="preserve">.  (Accessed 8 Oct. 2025). </w:t>
      </w:r>
    </w:p>
    <w:p w14:paraId="034B042E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6FEC06CA" w14:textId="77777777" w:rsidR="0043280E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Rogers, C.R. (1951) </w:t>
      </w:r>
      <w:r w:rsidRPr="000549E0">
        <w:rPr>
          <w:i/>
          <w:iCs/>
          <w:sz w:val="24"/>
          <w:szCs w:val="24"/>
        </w:rPr>
        <w:t>Client-</w:t>
      </w:r>
      <w:proofErr w:type="spellStart"/>
      <w:r w:rsidRPr="000549E0">
        <w:rPr>
          <w:i/>
          <w:iCs/>
          <w:sz w:val="24"/>
          <w:szCs w:val="24"/>
        </w:rPr>
        <w:t>Centered</w:t>
      </w:r>
      <w:proofErr w:type="spellEnd"/>
      <w:r w:rsidRPr="000549E0">
        <w:rPr>
          <w:i/>
          <w:iCs/>
          <w:sz w:val="24"/>
          <w:szCs w:val="24"/>
        </w:rPr>
        <w:t xml:space="preserve"> Therapy</w:t>
      </w:r>
      <w:r w:rsidRPr="000549E0">
        <w:rPr>
          <w:sz w:val="24"/>
          <w:szCs w:val="24"/>
        </w:rPr>
        <w:t xml:space="preserve">. Boston: Houghton Mifflin. Thompson, N. (2016) </w:t>
      </w:r>
      <w:r w:rsidRPr="000549E0">
        <w:rPr>
          <w:i/>
          <w:iCs/>
          <w:sz w:val="24"/>
          <w:szCs w:val="24"/>
        </w:rPr>
        <w:t>Person-Centred Practice: A Guide for Social Workers</w:t>
      </w:r>
      <w:r w:rsidRPr="000549E0">
        <w:rPr>
          <w:sz w:val="24"/>
          <w:szCs w:val="24"/>
        </w:rPr>
        <w:t>. Basingstoke: Palgrave Macmillan.</w:t>
      </w:r>
    </w:p>
    <w:p w14:paraId="4CCD686C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F2BDD82" w14:textId="77777777" w:rsidR="0043280E" w:rsidRDefault="0043280E" w:rsidP="0043280E">
      <w:pPr>
        <w:spacing w:line="360" w:lineRule="auto"/>
        <w:jc w:val="both"/>
        <w:rPr>
          <w:sz w:val="24"/>
          <w:szCs w:val="24"/>
        </w:rPr>
      </w:pPr>
      <w:r w:rsidRPr="00B95FE1">
        <w:rPr>
          <w:sz w:val="24"/>
          <w:szCs w:val="24"/>
        </w:rPr>
        <w:t xml:space="preserve">Ruch, G. (2007) ‘Reflective practice in contemporary child-care social work: The role of containment’, </w:t>
      </w:r>
      <w:r w:rsidRPr="00B95FE1">
        <w:rPr>
          <w:i/>
          <w:iCs/>
          <w:sz w:val="24"/>
          <w:szCs w:val="24"/>
        </w:rPr>
        <w:t>British Journal of Social Work</w:t>
      </w:r>
      <w:r w:rsidRPr="00B95FE1">
        <w:rPr>
          <w:sz w:val="24"/>
          <w:szCs w:val="24"/>
        </w:rPr>
        <w:t>, 37(4), pp. 659–680.</w:t>
      </w:r>
    </w:p>
    <w:p w14:paraId="50DDC21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666C65A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Social Care Wales (2021). </w:t>
      </w:r>
      <w:r w:rsidRPr="000549E0">
        <w:rPr>
          <w:i/>
          <w:iCs/>
          <w:sz w:val="24"/>
          <w:szCs w:val="24"/>
        </w:rPr>
        <w:t>Code of Professional Practice for Social Care</w:t>
      </w:r>
      <w:r w:rsidRPr="000549E0">
        <w:rPr>
          <w:sz w:val="24"/>
          <w:szCs w:val="24"/>
        </w:rPr>
        <w:t>.</w:t>
      </w:r>
    </w:p>
    <w:p w14:paraId="67842AA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lastRenderedPageBreak/>
        <w:t xml:space="preserve">United Nations (1989) </w:t>
      </w:r>
      <w:r w:rsidRPr="000549E0">
        <w:rPr>
          <w:i/>
          <w:iCs/>
          <w:sz w:val="24"/>
          <w:szCs w:val="24"/>
        </w:rPr>
        <w:t>Convention on the Rights of the Child</w:t>
      </w:r>
      <w:r w:rsidRPr="000549E0">
        <w:rPr>
          <w:sz w:val="24"/>
          <w:szCs w:val="24"/>
        </w:rPr>
        <w:t>. Available at: https://www.ohchr.org/en/instruments-mechanisms/instruments/convention-rights-child (Accessed: 8 October 2025).</w:t>
      </w:r>
    </w:p>
    <w:p w14:paraId="54644B76" w14:textId="77777777" w:rsidR="0043280E" w:rsidRDefault="0043280E" w:rsidP="0043280E">
      <w:pPr>
        <w:spacing w:line="360" w:lineRule="auto"/>
        <w:rPr>
          <w:sz w:val="24"/>
          <w:szCs w:val="24"/>
        </w:rPr>
      </w:pPr>
    </w:p>
    <w:p w14:paraId="26AFDA11" w14:textId="77777777" w:rsidR="0043280E" w:rsidRDefault="0043280E" w:rsidP="0043280E">
      <w:pPr>
        <w:spacing w:line="360" w:lineRule="auto"/>
        <w:rPr>
          <w:sz w:val="24"/>
          <w:szCs w:val="24"/>
        </w:rPr>
      </w:pPr>
      <w:r w:rsidRPr="00B95FE1">
        <w:rPr>
          <w:sz w:val="24"/>
          <w:szCs w:val="24"/>
        </w:rPr>
        <w:t xml:space="preserve">Social Care Wales (2025) </w:t>
      </w:r>
      <w:r w:rsidRPr="00B95FE1">
        <w:rPr>
          <w:i/>
          <w:iCs/>
          <w:sz w:val="24"/>
          <w:szCs w:val="24"/>
        </w:rPr>
        <w:t>Supervision for social workers</w:t>
      </w:r>
      <w:r w:rsidRPr="00B95FE1">
        <w:rPr>
          <w:sz w:val="24"/>
          <w:szCs w:val="24"/>
        </w:rPr>
        <w:t xml:space="preserve">. Available at: </w:t>
      </w:r>
      <w:hyperlink r:id="rId18" w:history="1">
        <w:r w:rsidRPr="0088543F">
          <w:rPr>
            <w:rStyle w:val="Hyperlink"/>
            <w:rFonts w:eastAsiaTheme="majorEastAsia"/>
            <w:sz w:val="24"/>
            <w:szCs w:val="24"/>
          </w:rPr>
          <w:t>https://socialcare.wales/service-improvement/supervision-for-social-workers</w:t>
        </w:r>
      </w:hyperlink>
      <w:r>
        <w:rPr>
          <w:sz w:val="24"/>
          <w:szCs w:val="24"/>
        </w:rPr>
        <w:t xml:space="preserve"> </w:t>
      </w:r>
      <w:r w:rsidRPr="00B95FE1">
        <w:rPr>
          <w:sz w:val="24"/>
          <w:szCs w:val="24"/>
        </w:rPr>
        <w:t>(Accessed: 8 October 2025).</w:t>
      </w:r>
    </w:p>
    <w:p w14:paraId="434D7CBE" w14:textId="77777777" w:rsidR="0043280E" w:rsidRPr="00B95FE1" w:rsidRDefault="0043280E" w:rsidP="0043280E">
      <w:pPr>
        <w:spacing w:line="360" w:lineRule="auto"/>
        <w:rPr>
          <w:sz w:val="24"/>
          <w:szCs w:val="24"/>
        </w:rPr>
      </w:pPr>
    </w:p>
    <w:p w14:paraId="0EB7523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Social Care Institute for Excellence (2022) </w:t>
      </w:r>
      <w:r w:rsidRPr="000549E0">
        <w:rPr>
          <w:i/>
          <w:iCs/>
          <w:sz w:val="24"/>
          <w:szCs w:val="24"/>
        </w:rPr>
        <w:t xml:space="preserve">Mental Capacity Act 2005 </w:t>
      </w:r>
      <w:proofErr w:type="gramStart"/>
      <w:r w:rsidRPr="000549E0">
        <w:rPr>
          <w:i/>
          <w:iCs/>
          <w:sz w:val="24"/>
          <w:szCs w:val="24"/>
        </w:rPr>
        <w:t>at a glance</w:t>
      </w:r>
      <w:proofErr w:type="gramEnd"/>
      <w:r w:rsidRPr="000549E0">
        <w:rPr>
          <w:sz w:val="24"/>
          <w:szCs w:val="24"/>
        </w:rPr>
        <w:t>. Available at: https://www.scie.org.uk/mca/introduction/mental-capacity-act-2005-at-a-glance/ (Accessed: 12 October 2025).</w:t>
      </w:r>
    </w:p>
    <w:p w14:paraId="29D94BD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103E49E0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Social Care Wales (2021) </w:t>
      </w:r>
      <w:r w:rsidRPr="000549E0">
        <w:rPr>
          <w:i/>
          <w:iCs/>
          <w:sz w:val="24"/>
          <w:szCs w:val="24"/>
        </w:rPr>
        <w:t>Code of Professional Practice for Social Care</w:t>
      </w:r>
      <w:r w:rsidRPr="000549E0">
        <w:rPr>
          <w:sz w:val="24"/>
          <w:szCs w:val="24"/>
        </w:rPr>
        <w:t>. Cardiff: SCW.</w:t>
      </w:r>
    </w:p>
    <w:p w14:paraId="40A4CBA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0D257EC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Social Care Wales. (2023). </w:t>
      </w:r>
      <w:r w:rsidRPr="000549E0">
        <w:rPr>
          <w:i/>
          <w:iCs/>
          <w:sz w:val="24"/>
          <w:szCs w:val="24"/>
        </w:rPr>
        <w:t>Code of Professional Practice for Social Care</w:t>
      </w:r>
      <w:r w:rsidRPr="000549E0">
        <w:rPr>
          <w:sz w:val="24"/>
          <w:szCs w:val="24"/>
        </w:rPr>
        <w:t>. Social Care Wales. Available at: https://socialcare.wales/cms_assets/file-uploads/Code-of-Professional-Practice-2023.pdf (Accessed 7 Oct. 2025).</w:t>
      </w:r>
    </w:p>
    <w:p w14:paraId="727CE869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3CED01BA" w14:textId="77777777" w:rsidR="0043280E" w:rsidRPr="00EB44DB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Thompson, N. (2016) </w:t>
      </w:r>
      <w:r w:rsidRPr="000549E0">
        <w:rPr>
          <w:i/>
          <w:iCs/>
          <w:sz w:val="24"/>
          <w:szCs w:val="24"/>
        </w:rPr>
        <w:t>Person-Centred Practice: A Guide for Social Workers</w:t>
      </w:r>
      <w:r w:rsidRPr="000549E0">
        <w:rPr>
          <w:sz w:val="24"/>
          <w:szCs w:val="24"/>
        </w:rPr>
        <w:t>. Basingstoke: Palgrave Macmillan.</w:t>
      </w:r>
    </w:p>
    <w:p w14:paraId="6B680087" w14:textId="77777777" w:rsidR="0043280E" w:rsidRDefault="0043280E" w:rsidP="0043280E">
      <w:pPr>
        <w:spacing w:line="360" w:lineRule="auto"/>
        <w:rPr>
          <w:rFonts w:eastAsia="Aptos"/>
          <w:sz w:val="24"/>
          <w:szCs w:val="24"/>
        </w:rPr>
      </w:pPr>
    </w:p>
    <w:p w14:paraId="0FE93195" w14:textId="77777777" w:rsidR="0043280E" w:rsidRDefault="0043280E" w:rsidP="0043280E">
      <w:pPr>
        <w:spacing w:line="360" w:lineRule="auto"/>
        <w:rPr>
          <w:rFonts w:eastAsia="Aptos"/>
          <w:sz w:val="24"/>
          <w:szCs w:val="24"/>
        </w:rPr>
      </w:pPr>
      <w:r w:rsidRPr="00EF756E">
        <w:rPr>
          <w:rFonts w:eastAsia="Aptos"/>
          <w:sz w:val="24"/>
          <w:szCs w:val="24"/>
        </w:rPr>
        <w:t xml:space="preserve">Van Breda, A.D. (2018) ‘A critical review of resilience theory and its relevance for social work’, </w:t>
      </w:r>
      <w:r w:rsidRPr="00EF756E">
        <w:rPr>
          <w:rFonts w:eastAsia="Aptos"/>
          <w:i/>
          <w:iCs/>
          <w:sz w:val="24"/>
          <w:szCs w:val="24"/>
        </w:rPr>
        <w:t>Social Work/</w:t>
      </w:r>
      <w:proofErr w:type="spellStart"/>
      <w:r w:rsidRPr="00EF756E">
        <w:rPr>
          <w:rFonts w:eastAsia="Aptos"/>
          <w:i/>
          <w:iCs/>
          <w:sz w:val="24"/>
          <w:szCs w:val="24"/>
        </w:rPr>
        <w:t>Maatskaplike</w:t>
      </w:r>
      <w:proofErr w:type="spellEnd"/>
      <w:r w:rsidRPr="00EF756E">
        <w:rPr>
          <w:rFonts w:eastAsia="Aptos"/>
          <w:i/>
          <w:iCs/>
          <w:sz w:val="24"/>
          <w:szCs w:val="24"/>
        </w:rPr>
        <w:t xml:space="preserve"> Werk</w:t>
      </w:r>
      <w:r w:rsidRPr="00EF756E">
        <w:rPr>
          <w:rFonts w:eastAsia="Aptos"/>
          <w:sz w:val="24"/>
          <w:szCs w:val="24"/>
        </w:rPr>
        <w:t>, 54(1). Available at:</w:t>
      </w:r>
    </w:p>
    <w:p w14:paraId="001FE265" w14:textId="77777777" w:rsidR="0043280E" w:rsidRPr="000549E0" w:rsidRDefault="0043280E" w:rsidP="0043280E">
      <w:pPr>
        <w:spacing w:line="360" w:lineRule="auto"/>
        <w:rPr>
          <w:rFonts w:eastAsia="Aptos"/>
          <w:sz w:val="24"/>
          <w:szCs w:val="24"/>
        </w:rPr>
      </w:pPr>
      <w:r w:rsidRPr="00EF756E">
        <w:rPr>
          <w:rFonts w:eastAsia="Aptos"/>
          <w:sz w:val="24"/>
          <w:szCs w:val="24"/>
        </w:rPr>
        <w:t>https://scielo.org.za/scielo.php?script=sci_arttext&amp;pid=S0037-80542018000100002 (Accessed: 13 October 2025).</w:t>
      </w:r>
    </w:p>
    <w:p w14:paraId="623CF82F" w14:textId="77777777" w:rsidR="0043280E" w:rsidRPr="000549E0" w:rsidRDefault="0043280E" w:rsidP="0043280E">
      <w:pPr>
        <w:spacing w:line="360" w:lineRule="auto"/>
        <w:rPr>
          <w:rFonts w:eastAsia="Aptos"/>
          <w:sz w:val="24"/>
          <w:szCs w:val="24"/>
        </w:rPr>
      </w:pPr>
    </w:p>
    <w:p w14:paraId="580A0575" w14:textId="77777777" w:rsidR="0043280E" w:rsidRDefault="0043280E" w:rsidP="0043280E">
      <w:pPr>
        <w:spacing w:line="360" w:lineRule="auto"/>
        <w:rPr>
          <w:sz w:val="24"/>
          <w:szCs w:val="24"/>
        </w:rPr>
      </w:pPr>
      <w:r w:rsidRPr="00B95FE1">
        <w:rPr>
          <w:sz w:val="24"/>
          <w:szCs w:val="24"/>
        </w:rPr>
        <w:t xml:space="preserve">Welsh Government. (2014). </w:t>
      </w:r>
      <w:r w:rsidRPr="00B95FE1">
        <w:rPr>
          <w:i/>
          <w:iCs/>
          <w:sz w:val="24"/>
          <w:szCs w:val="24"/>
        </w:rPr>
        <w:t>Social Services and Well-being (Wales) Act 2014</w:t>
      </w:r>
      <w:r w:rsidRPr="00B95FE1">
        <w:rPr>
          <w:sz w:val="24"/>
          <w:szCs w:val="24"/>
        </w:rPr>
        <w:t xml:space="preserve">. Available at: https://www.legislation.gov.uk/anaw/2014/4/contents/enacted </w:t>
      </w:r>
      <w:r>
        <w:rPr>
          <w:sz w:val="24"/>
          <w:szCs w:val="24"/>
        </w:rPr>
        <w:t>(</w:t>
      </w:r>
      <w:r w:rsidRPr="00B95FE1">
        <w:rPr>
          <w:sz w:val="24"/>
          <w:szCs w:val="24"/>
        </w:rPr>
        <w:t>Accessed 8 Oc</w:t>
      </w:r>
      <w:r>
        <w:rPr>
          <w:sz w:val="24"/>
          <w:szCs w:val="24"/>
        </w:rPr>
        <w:t>tober</w:t>
      </w:r>
      <w:r w:rsidRPr="00B95FE1">
        <w:rPr>
          <w:sz w:val="24"/>
          <w:szCs w:val="24"/>
        </w:rPr>
        <w:t>. 2025</w:t>
      </w:r>
      <w:r>
        <w:rPr>
          <w:sz w:val="24"/>
          <w:szCs w:val="24"/>
        </w:rPr>
        <w:t>)</w:t>
      </w:r>
    </w:p>
    <w:p w14:paraId="13802E53" w14:textId="77777777" w:rsidR="0043280E" w:rsidRPr="00B95FE1" w:rsidRDefault="0043280E" w:rsidP="0043280E">
      <w:pPr>
        <w:spacing w:line="360" w:lineRule="auto"/>
        <w:rPr>
          <w:sz w:val="24"/>
          <w:szCs w:val="24"/>
        </w:rPr>
      </w:pPr>
    </w:p>
    <w:p w14:paraId="377DF14E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 (2022) </w:t>
      </w:r>
      <w:r w:rsidRPr="000549E0">
        <w:rPr>
          <w:i/>
          <w:iCs/>
          <w:sz w:val="24"/>
          <w:szCs w:val="24"/>
        </w:rPr>
        <w:t>More than just words: Welsh language strategy in health and social care</w:t>
      </w:r>
      <w:r w:rsidRPr="000549E0">
        <w:rPr>
          <w:sz w:val="24"/>
          <w:szCs w:val="24"/>
        </w:rPr>
        <w:t>. Cardiff: Welsh Government.</w:t>
      </w:r>
    </w:p>
    <w:p w14:paraId="759F1E4A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459FEB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lastRenderedPageBreak/>
        <w:t xml:space="preserve">Welsh Government (2014) </w:t>
      </w:r>
      <w:r w:rsidRPr="000549E0">
        <w:rPr>
          <w:i/>
          <w:iCs/>
          <w:sz w:val="24"/>
          <w:szCs w:val="24"/>
        </w:rPr>
        <w:t>Social Services and Well-being (Wales) Act 2014</w:t>
      </w:r>
      <w:r w:rsidRPr="000549E0">
        <w:rPr>
          <w:sz w:val="24"/>
          <w:szCs w:val="24"/>
        </w:rPr>
        <w:t xml:space="preserve">. Cardiff: Welsh Government. Available at: </w:t>
      </w:r>
      <w:hyperlink r:id="rId19" w:history="1">
        <w:r w:rsidRPr="0088543F">
          <w:rPr>
            <w:rStyle w:val="Hyperlink"/>
            <w:rFonts w:eastAsiaTheme="majorEastAsia"/>
            <w:sz w:val="24"/>
            <w:szCs w:val="24"/>
          </w:rPr>
          <w:t>https://www.legislation.gov.uk/anaw/2014/4/contents/enacted</w:t>
        </w:r>
      </w:hyperlink>
      <w:r>
        <w:rPr>
          <w:sz w:val="24"/>
          <w:szCs w:val="24"/>
        </w:rPr>
        <w:t xml:space="preserve">. (Accessed </w:t>
      </w:r>
      <w:proofErr w:type="gramStart"/>
      <w:r>
        <w:rPr>
          <w:sz w:val="24"/>
          <w:szCs w:val="24"/>
        </w:rPr>
        <w:t>on:</w:t>
      </w:r>
      <w:proofErr w:type="gramEnd"/>
      <w:r>
        <w:rPr>
          <w:sz w:val="24"/>
          <w:szCs w:val="24"/>
        </w:rPr>
        <w:t xml:space="preserve"> 9</w:t>
      </w:r>
      <w:r w:rsidRPr="00EB44DB">
        <w:rPr>
          <w:sz w:val="24"/>
          <w:szCs w:val="24"/>
          <w:vertAlign w:val="superscript"/>
        </w:rPr>
        <w:t>th</w:t>
      </w:r>
      <w:r>
        <w:rPr>
          <w:sz w:val="24"/>
          <w:szCs w:val="24"/>
        </w:rPr>
        <w:t xml:space="preserve"> October, 2025),</w:t>
      </w:r>
    </w:p>
    <w:p w14:paraId="3B8E43E5" w14:textId="77777777" w:rsidR="0043280E" w:rsidRPr="000549E0" w:rsidRDefault="0043280E" w:rsidP="0043280E">
      <w:pPr>
        <w:spacing w:line="360" w:lineRule="auto"/>
        <w:jc w:val="both"/>
        <w:rPr>
          <w:i/>
          <w:sz w:val="24"/>
          <w:szCs w:val="24"/>
        </w:rPr>
      </w:pPr>
    </w:p>
    <w:p w14:paraId="5BCF7AB0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Wales Safeguarding Procedures Project Board (2019). </w:t>
      </w:r>
      <w:r w:rsidRPr="000549E0">
        <w:rPr>
          <w:i/>
          <w:iCs/>
          <w:sz w:val="24"/>
          <w:szCs w:val="24"/>
        </w:rPr>
        <w:t>Wales Safeguarding Procedures</w:t>
      </w:r>
      <w:r w:rsidRPr="000549E0">
        <w:rPr>
          <w:sz w:val="24"/>
          <w:szCs w:val="24"/>
        </w:rPr>
        <w:t>.</w:t>
      </w:r>
    </w:p>
    <w:p w14:paraId="41A28B4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 (2019). </w:t>
      </w:r>
      <w:r w:rsidRPr="000549E0">
        <w:rPr>
          <w:i/>
          <w:iCs/>
          <w:sz w:val="24"/>
          <w:szCs w:val="24"/>
        </w:rPr>
        <w:t>National Action Plan: Preventing and Responding to Child Sexual Abuse</w:t>
      </w:r>
      <w:r w:rsidRPr="000549E0">
        <w:rPr>
          <w:sz w:val="24"/>
          <w:szCs w:val="24"/>
        </w:rPr>
        <w:t>.</w:t>
      </w:r>
    </w:p>
    <w:p w14:paraId="13C503E0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083251E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Wales Safeguarding Procedures Project Board. (2019). </w:t>
      </w:r>
      <w:r w:rsidRPr="000549E0">
        <w:rPr>
          <w:i/>
          <w:iCs/>
          <w:sz w:val="24"/>
          <w:szCs w:val="24"/>
        </w:rPr>
        <w:t>Wales Safeguarding Procedures</w:t>
      </w:r>
      <w:r w:rsidRPr="000549E0">
        <w:rPr>
          <w:sz w:val="24"/>
          <w:szCs w:val="24"/>
        </w:rPr>
        <w:t>. Available at: https://www.safeguarding.wales (Accessed 12 Oct. 2025).</w:t>
      </w:r>
    </w:p>
    <w:p w14:paraId="0D7C3D12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23F999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 (2022a) </w:t>
      </w:r>
      <w:r w:rsidRPr="000549E0">
        <w:rPr>
          <w:i/>
          <w:iCs/>
          <w:sz w:val="24"/>
          <w:szCs w:val="24"/>
        </w:rPr>
        <w:t>Working Together to Safeguard People: Volume 1 – Introduction and Overview</w:t>
      </w:r>
      <w:r w:rsidRPr="000549E0">
        <w:rPr>
          <w:sz w:val="24"/>
          <w:szCs w:val="24"/>
        </w:rPr>
        <w:t>. Cardiff: Welsh Government.</w:t>
      </w:r>
    </w:p>
    <w:p w14:paraId="0CF3ABE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B161DA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 (2023) </w:t>
      </w:r>
      <w:r w:rsidRPr="000549E0">
        <w:rPr>
          <w:i/>
          <w:iCs/>
          <w:sz w:val="24"/>
          <w:szCs w:val="24"/>
        </w:rPr>
        <w:t>Multi-agency working: research to support the final report of the evaluation of the Social Services and Well-being (Wales) Act 2014</w:t>
      </w:r>
      <w:r w:rsidRPr="000549E0">
        <w:rPr>
          <w:sz w:val="24"/>
          <w:szCs w:val="24"/>
        </w:rPr>
        <w:t>. Available at: https://www.gov.wales/multi-agency-working-research-support-final-report-evaluation-social-services-and-well-being-wales-act-2014 (Accessed 6 Oct. 2025).</w:t>
      </w:r>
    </w:p>
    <w:p w14:paraId="1A7D3324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501FB608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Government. (2014). </w:t>
      </w:r>
      <w:r w:rsidRPr="000549E0">
        <w:rPr>
          <w:i/>
          <w:iCs/>
          <w:sz w:val="24"/>
          <w:szCs w:val="24"/>
        </w:rPr>
        <w:t>Social Services and Well-being (Wales) Act 2014</w:t>
      </w:r>
      <w:r w:rsidRPr="000549E0">
        <w:rPr>
          <w:sz w:val="24"/>
          <w:szCs w:val="24"/>
        </w:rPr>
        <w:t>. [online] Available at: https://www.legislation.gov.uk/anaw/2014/4/contents/enacted (Accessed 8 Oct. 2025).</w:t>
      </w:r>
    </w:p>
    <w:p w14:paraId="6B973575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22EAC091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Government. (2014). </w:t>
      </w:r>
      <w:r w:rsidRPr="000549E0">
        <w:rPr>
          <w:i/>
          <w:iCs/>
          <w:sz w:val="24"/>
          <w:szCs w:val="24"/>
        </w:rPr>
        <w:t>Social Services and Well-being (Wales) Act 2014</w:t>
      </w:r>
      <w:r w:rsidRPr="000549E0">
        <w:rPr>
          <w:sz w:val="24"/>
          <w:szCs w:val="24"/>
        </w:rPr>
        <w:t>. Available at: https://www.legislation.gov.uk/anaw/2014/4/contents/enacted (Accessed 12 Oct. 2025).</w:t>
      </w:r>
    </w:p>
    <w:p w14:paraId="22EA4648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1096F633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t xml:space="preserve">Welsh Government. (2016). </w:t>
      </w:r>
      <w:r w:rsidRPr="000549E0">
        <w:rPr>
          <w:i/>
          <w:iCs/>
          <w:sz w:val="24"/>
          <w:szCs w:val="24"/>
        </w:rPr>
        <w:t>Working Together to Safeguard People: Volume 6 – Adults</w:t>
      </w:r>
      <w:r w:rsidRPr="000549E0">
        <w:rPr>
          <w:sz w:val="24"/>
          <w:szCs w:val="24"/>
        </w:rPr>
        <w:t>. Available at: https://gov.wales/working-together-safeguard-people-volume-6-adults-risk (Accessed 12 Oct. 2025).</w:t>
      </w:r>
    </w:p>
    <w:p w14:paraId="0A6FC54B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</w:p>
    <w:p w14:paraId="7CF07BA6" w14:textId="77777777" w:rsidR="0043280E" w:rsidRPr="000549E0" w:rsidRDefault="0043280E" w:rsidP="0043280E">
      <w:pPr>
        <w:spacing w:line="360" w:lineRule="auto"/>
        <w:rPr>
          <w:sz w:val="24"/>
          <w:szCs w:val="24"/>
        </w:rPr>
      </w:pPr>
      <w:r w:rsidRPr="000549E0">
        <w:rPr>
          <w:sz w:val="24"/>
          <w:szCs w:val="24"/>
        </w:rPr>
        <w:lastRenderedPageBreak/>
        <w:t xml:space="preserve">Welsh Government (2019) </w:t>
      </w:r>
      <w:r w:rsidRPr="000549E0">
        <w:rPr>
          <w:i/>
          <w:iCs/>
          <w:sz w:val="24"/>
          <w:szCs w:val="24"/>
        </w:rPr>
        <w:t>Working Together to Safeguard People: Volume I</w:t>
      </w:r>
      <w:r w:rsidRPr="000549E0">
        <w:rPr>
          <w:sz w:val="24"/>
          <w:szCs w:val="24"/>
        </w:rPr>
        <w:t xml:space="preserve">. Available at: https://www.gov.wales/sites/default/files/publications/2019-05/working-together-to-safeguard-people-volume-i-introduction-and-overview.pdf (Accessed: 12 October 2025). </w:t>
      </w:r>
    </w:p>
    <w:p w14:paraId="30C4925B" w14:textId="77777777" w:rsidR="0043280E" w:rsidRPr="00BE5BAD" w:rsidRDefault="0043280E" w:rsidP="0043280E">
      <w:pPr>
        <w:spacing w:line="360" w:lineRule="auto"/>
        <w:rPr>
          <w:sz w:val="24"/>
          <w:szCs w:val="24"/>
        </w:rPr>
      </w:pPr>
    </w:p>
    <w:p w14:paraId="002F7B10" w14:textId="77777777" w:rsidR="0043280E" w:rsidRDefault="0043280E" w:rsidP="0043280E">
      <w:pPr>
        <w:spacing w:line="360" w:lineRule="auto"/>
      </w:pPr>
    </w:p>
    <w:p w14:paraId="3890CBA9" w14:textId="77777777" w:rsidR="0043280E" w:rsidRPr="00F80463" w:rsidRDefault="0043280E" w:rsidP="0043280E">
      <w:pPr>
        <w:spacing w:line="360" w:lineRule="auto"/>
      </w:pPr>
    </w:p>
    <w:p w14:paraId="25E1EABD" w14:textId="77777777" w:rsidR="0043280E" w:rsidRPr="003C2537" w:rsidRDefault="0043280E" w:rsidP="0043280E">
      <w:pPr>
        <w:spacing w:line="360" w:lineRule="auto"/>
        <w:rPr>
          <w:sz w:val="24"/>
          <w:szCs w:val="24"/>
        </w:rPr>
      </w:pPr>
    </w:p>
    <w:p w14:paraId="66F71C70" w14:textId="77777777" w:rsidR="0043280E" w:rsidRPr="003C2537" w:rsidRDefault="0043280E" w:rsidP="0043280E">
      <w:pPr>
        <w:spacing w:line="360" w:lineRule="auto"/>
        <w:rPr>
          <w:b/>
          <w:bCs/>
          <w:i/>
          <w:iCs/>
          <w:sz w:val="24"/>
          <w:szCs w:val="24"/>
        </w:rPr>
      </w:pPr>
    </w:p>
    <w:p w14:paraId="310AF557" w14:textId="77777777" w:rsidR="0043280E" w:rsidRDefault="0043280E" w:rsidP="0043280E">
      <w:pPr>
        <w:spacing w:line="360" w:lineRule="auto"/>
        <w:rPr>
          <w:b/>
          <w:bCs/>
        </w:rPr>
      </w:pPr>
    </w:p>
    <w:p w14:paraId="0C72DFBA" w14:textId="77777777" w:rsidR="0043280E" w:rsidRDefault="0043280E" w:rsidP="0043280E">
      <w:pPr>
        <w:spacing w:line="360" w:lineRule="auto"/>
        <w:rPr>
          <w:b/>
          <w:bCs/>
        </w:rPr>
      </w:pPr>
    </w:p>
    <w:p w14:paraId="2DFDA33C" w14:textId="77777777" w:rsidR="0043280E" w:rsidRDefault="0043280E" w:rsidP="0043280E">
      <w:pPr>
        <w:spacing w:line="360" w:lineRule="auto"/>
        <w:rPr>
          <w:b/>
          <w:bCs/>
        </w:rPr>
      </w:pPr>
    </w:p>
    <w:p w14:paraId="766C0544" w14:textId="77777777" w:rsidR="0043280E" w:rsidRDefault="0043280E" w:rsidP="0043280E">
      <w:pPr>
        <w:rPr>
          <w:b/>
          <w:bCs/>
        </w:rPr>
      </w:pPr>
    </w:p>
    <w:p w14:paraId="2913050E" w14:textId="77777777" w:rsidR="0043280E" w:rsidRPr="007D2D9A" w:rsidRDefault="0043280E" w:rsidP="0043280E">
      <w:pPr>
        <w:spacing w:line="360" w:lineRule="auto"/>
        <w:rPr>
          <w:sz w:val="24"/>
          <w:szCs w:val="24"/>
        </w:rPr>
      </w:pPr>
    </w:p>
    <w:p w14:paraId="59B5AD98" w14:textId="77777777" w:rsidR="0043280E" w:rsidRDefault="0043280E" w:rsidP="0043280E">
      <w:pPr>
        <w:jc w:val="both"/>
        <w:rPr>
          <w:i/>
          <w:sz w:val="24"/>
          <w:szCs w:val="24"/>
        </w:rPr>
      </w:pPr>
    </w:p>
    <w:p w14:paraId="29D1934F" w14:textId="77777777" w:rsidR="0043280E" w:rsidRDefault="0043280E" w:rsidP="0043280E">
      <w:pPr>
        <w:jc w:val="both"/>
        <w:rPr>
          <w:i/>
          <w:sz w:val="24"/>
          <w:szCs w:val="24"/>
        </w:rPr>
      </w:pPr>
    </w:p>
    <w:p w14:paraId="680D1789" w14:textId="77777777" w:rsidR="0043280E" w:rsidRDefault="0043280E" w:rsidP="0043280E">
      <w:pPr>
        <w:jc w:val="both"/>
        <w:rPr>
          <w:i/>
          <w:sz w:val="24"/>
          <w:szCs w:val="24"/>
        </w:rPr>
      </w:pPr>
    </w:p>
    <w:p w14:paraId="594CDACE" w14:textId="77777777" w:rsidR="0043280E" w:rsidRDefault="0043280E" w:rsidP="0043280E">
      <w:pPr>
        <w:jc w:val="both"/>
        <w:rPr>
          <w:i/>
          <w:sz w:val="24"/>
          <w:szCs w:val="24"/>
        </w:rPr>
      </w:pPr>
    </w:p>
    <w:p w14:paraId="7472EA39" w14:textId="77777777" w:rsidR="0043280E" w:rsidRDefault="0043280E" w:rsidP="0043280E">
      <w:pPr>
        <w:jc w:val="both"/>
        <w:rPr>
          <w:i/>
          <w:sz w:val="24"/>
          <w:szCs w:val="24"/>
        </w:rPr>
      </w:pPr>
    </w:p>
    <w:p w14:paraId="7790814B" w14:textId="77777777" w:rsidR="0043280E" w:rsidRPr="000440E7" w:rsidRDefault="0043280E" w:rsidP="0043280E">
      <w:pPr>
        <w:jc w:val="both"/>
        <w:rPr>
          <w:i/>
          <w:sz w:val="24"/>
          <w:szCs w:val="24"/>
        </w:rPr>
      </w:pPr>
    </w:p>
    <w:p w14:paraId="7DBD0C5C" w14:textId="77777777" w:rsidR="0043280E" w:rsidRPr="000440E7" w:rsidRDefault="0043280E" w:rsidP="0043280E">
      <w:pPr>
        <w:jc w:val="both"/>
        <w:rPr>
          <w:i/>
          <w:sz w:val="24"/>
          <w:szCs w:val="24"/>
        </w:rPr>
      </w:pPr>
    </w:p>
    <w:p w14:paraId="589017D6" w14:textId="77777777" w:rsidR="0043280E" w:rsidRPr="000440E7" w:rsidRDefault="0043280E" w:rsidP="0043280E">
      <w:pPr>
        <w:jc w:val="both"/>
        <w:rPr>
          <w:i/>
          <w:sz w:val="24"/>
          <w:szCs w:val="24"/>
        </w:rPr>
      </w:pPr>
    </w:p>
    <w:p w14:paraId="2AEF54AB" w14:textId="77777777" w:rsidR="0043280E" w:rsidRPr="000440E7" w:rsidRDefault="0043280E" w:rsidP="0043280E">
      <w:pPr>
        <w:jc w:val="both"/>
        <w:rPr>
          <w:i/>
          <w:sz w:val="24"/>
          <w:szCs w:val="24"/>
        </w:rPr>
      </w:pPr>
    </w:p>
    <w:p w14:paraId="3A8FFB7D" w14:textId="77777777" w:rsidR="0043280E" w:rsidRDefault="0043280E" w:rsidP="0043280E">
      <w:pPr>
        <w:jc w:val="both"/>
        <w:rPr>
          <w:sz w:val="24"/>
          <w:szCs w:val="24"/>
        </w:rPr>
      </w:pPr>
    </w:p>
    <w:p w14:paraId="40AFBC4F" w14:textId="77777777" w:rsidR="0043280E" w:rsidRDefault="0043280E" w:rsidP="0043280E">
      <w:pPr>
        <w:jc w:val="both"/>
        <w:rPr>
          <w:sz w:val="24"/>
          <w:szCs w:val="24"/>
        </w:rPr>
      </w:pPr>
    </w:p>
    <w:p w14:paraId="30D7EAA2" w14:textId="77777777" w:rsidR="0043280E" w:rsidRDefault="0043280E" w:rsidP="0043280E">
      <w:pPr>
        <w:jc w:val="both"/>
        <w:rPr>
          <w:sz w:val="24"/>
          <w:szCs w:val="24"/>
        </w:rPr>
      </w:pPr>
    </w:p>
    <w:p w14:paraId="66510AB6" w14:textId="77777777" w:rsidR="0043280E" w:rsidRDefault="0043280E" w:rsidP="0043280E">
      <w:pPr>
        <w:jc w:val="both"/>
        <w:rPr>
          <w:sz w:val="24"/>
          <w:szCs w:val="24"/>
        </w:rPr>
      </w:pPr>
    </w:p>
    <w:p w14:paraId="4E14DB5B" w14:textId="77777777" w:rsidR="0043280E" w:rsidRDefault="0043280E" w:rsidP="0043280E">
      <w:pPr>
        <w:jc w:val="both"/>
        <w:rPr>
          <w:sz w:val="24"/>
          <w:szCs w:val="24"/>
        </w:rPr>
      </w:pPr>
    </w:p>
    <w:p w14:paraId="113019D6" w14:textId="77777777" w:rsidR="0043280E" w:rsidRDefault="0043280E" w:rsidP="0043280E">
      <w:pPr>
        <w:jc w:val="both"/>
        <w:rPr>
          <w:sz w:val="24"/>
          <w:szCs w:val="24"/>
        </w:rPr>
      </w:pPr>
    </w:p>
    <w:p w14:paraId="65DC9CA1" w14:textId="77777777" w:rsidR="007D5050" w:rsidRDefault="007D5050"/>
    <w:sectPr w:rsidR="007D505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3280E"/>
    <w:rsid w:val="00305D5D"/>
    <w:rsid w:val="0043280E"/>
    <w:rsid w:val="007D5050"/>
    <w:rsid w:val="00802D31"/>
    <w:rsid w:val="00C743F5"/>
    <w:rsid w:val="00D82BD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AA8BB2"/>
  <w15:chartTrackingRefBased/>
  <w15:docId w15:val="{9EDBB625-7FCB-49A8-9D20-780B9065D90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iPriority="0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3280E"/>
    <w:pPr>
      <w:overflowPunct w:val="0"/>
      <w:autoSpaceDE w:val="0"/>
      <w:autoSpaceDN w:val="0"/>
      <w:adjustRightInd w:val="0"/>
      <w:spacing w:after="0" w:line="240" w:lineRule="auto"/>
      <w:textAlignment w:val="baseline"/>
    </w:pPr>
    <w:rPr>
      <w:rFonts w:ascii="Arial" w:eastAsia="Times New Roman" w:hAnsi="Arial" w:cs="Arial"/>
      <w:color w:val="000000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43280E"/>
    <w:pPr>
      <w:keepNext/>
      <w:keepLines/>
      <w:overflowPunct/>
      <w:autoSpaceDE/>
      <w:autoSpaceDN/>
      <w:adjustRightInd/>
      <w:spacing w:before="360" w:after="80" w:line="259" w:lineRule="auto"/>
      <w:textAlignment w:val="auto"/>
      <w:outlineLvl w:val="0"/>
    </w:pPr>
    <w:rPr>
      <w:rFonts w:asciiTheme="majorHAnsi" w:eastAsiaTheme="majorEastAsia" w:hAnsiTheme="majorHAnsi" w:cstheme="majorBidi"/>
      <w:color w:val="0F4761" w:themeColor="accent1" w:themeShade="BF"/>
      <w:kern w:val="2"/>
      <w:sz w:val="40"/>
      <w:szCs w:val="40"/>
      <w:lang w:eastAsia="en-US"/>
      <w14:ligatures w14:val="standardContextual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before="160" w:after="80" w:line="259" w:lineRule="auto"/>
      <w:textAlignment w:val="auto"/>
      <w:outlineLvl w:val="1"/>
    </w:pPr>
    <w:rPr>
      <w:rFonts w:asciiTheme="majorHAnsi" w:eastAsiaTheme="majorEastAsia" w:hAnsiTheme="majorHAnsi" w:cstheme="majorBidi"/>
      <w:color w:val="0F4761" w:themeColor="accent1" w:themeShade="BF"/>
      <w:kern w:val="2"/>
      <w:sz w:val="32"/>
      <w:szCs w:val="32"/>
      <w:lang w:eastAsia="en-US"/>
      <w14:ligatures w14:val="standardContextual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before="160" w:after="80" w:line="259" w:lineRule="auto"/>
      <w:textAlignment w:val="auto"/>
      <w:outlineLvl w:val="2"/>
    </w:pPr>
    <w:rPr>
      <w:rFonts w:asciiTheme="minorHAnsi" w:eastAsiaTheme="majorEastAsia" w:hAnsiTheme="minorHAnsi" w:cstheme="majorBidi"/>
      <w:color w:val="0F4761" w:themeColor="accent1" w:themeShade="BF"/>
      <w:kern w:val="2"/>
      <w:sz w:val="28"/>
      <w:szCs w:val="28"/>
      <w:lang w:eastAsia="en-US"/>
      <w14:ligatures w14:val="standardContextual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before="80" w:after="40" w:line="259" w:lineRule="auto"/>
      <w:textAlignment w:val="auto"/>
      <w:outlineLvl w:val="3"/>
    </w:pPr>
    <w:rPr>
      <w:rFonts w:asciiTheme="minorHAnsi" w:eastAsiaTheme="majorEastAsia" w:hAnsiTheme="minorHAnsi" w:cstheme="maj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before="80" w:after="40" w:line="259" w:lineRule="auto"/>
      <w:textAlignment w:val="auto"/>
      <w:outlineLvl w:val="4"/>
    </w:pPr>
    <w:rPr>
      <w:rFonts w:asciiTheme="minorHAnsi" w:eastAsiaTheme="majorEastAsia" w:hAnsiTheme="minorHAnsi" w:cstheme="majorBidi"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before="40" w:line="259" w:lineRule="auto"/>
      <w:textAlignment w:val="auto"/>
      <w:outlineLvl w:val="5"/>
    </w:pPr>
    <w:rPr>
      <w:rFonts w:asciiTheme="minorHAnsi" w:eastAsiaTheme="majorEastAsia" w:hAnsiTheme="minorHAnsi" w:cstheme="majorBidi"/>
      <w:i/>
      <w:iCs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before="40" w:line="259" w:lineRule="auto"/>
      <w:textAlignment w:val="auto"/>
      <w:outlineLvl w:val="6"/>
    </w:pPr>
    <w:rPr>
      <w:rFonts w:asciiTheme="minorHAnsi" w:eastAsiaTheme="majorEastAsia" w:hAnsiTheme="minorHAnsi" w:cstheme="majorBidi"/>
      <w:color w:val="595959" w:themeColor="text1" w:themeTint="A6"/>
      <w:kern w:val="2"/>
      <w:sz w:val="22"/>
      <w:szCs w:val="22"/>
      <w:lang w:eastAsia="en-US"/>
      <w14:ligatures w14:val="standardContextual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line="259" w:lineRule="auto"/>
      <w:textAlignment w:val="auto"/>
      <w:outlineLvl w:val="7"/>
    </w:pPr>
    <w:rPr>
      <w:rFonts w:asciiTheme="minorHAnsi" w:eastAsiaTheme="majorEastAsia" w:hAnsiTheme="minorHAnsi" w:cstheme="majorBidi"/>
      <w:i/>
      <w:iCs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43280E"/>
    <w:pPr>
      <w:keepNext/>
      <w:keepLines/>
      <w:overflowPunct/>
      <w:autoSpaceDE/>
      <w:autoSpaceDN/>
      <w:adjustRightInd/>
      <w:spacing w:line="259" w:lineRule="auto"/>
      <w:textAlignment w:val="auto"/>
      <w:outlineLvl w:val="8"/>
    </w:pPr>
    <w:rPr>
      <w:rFonts w:asciiTheme="minorHAnsi" w:eastAsiaTheme="majorEastAsia" w:hAnsiTheme="minorHAnsi" w:cstheme="majorBidi"/>
      <w:color w:val="272727" w:themeColor="text1" w:themeTint="D8"/>
      <w:kern w:val="2"/>
      <w:sz w:val="22"/>
      <w:szCs w:val="22"/>
      <w:lang w:eastAsia="en-US"/>
      <w14:ligatures w14:val="standardContextual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3280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43280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3280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43280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3280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43280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43280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43280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43280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43280E"/>
    <w:pPr>
      <w:overflowPunct/>
      <w:autoSpaceDE/>
      <w:autoSpaceDN/>
      <w:adjustRightInd/>
      <w:spacing w:after="80"/>
      <w:contextualSpacing/>
      <w:textAlignment w:val="auto"/>
    </w:pPr>
    <w:rPr>
      <w:rFonts w:asciiTheme="majorHAnsi" w:eastAsiaTheme="majorEastAsia" w:hAnsiTheme="majorHAnsi" w:cstheme="majorBidi"/>
      <w:color w:val="auto"/>
      <w:spacing w:val="-10"/>
      <w:kern w:val="28"/>
      <w:sz w:val="56"/>
      <w:szCs w:val="56"/>
      <w:lang w:eastAsia="en-US"/>
      <w14:ligatures w14:val="standardContextual"/>
    </w:rPr>
  </w:style>
  <w:style w:type="character" w:customStyle="1" w:styleId="TitleChar">
    <w:name w:val="Title Char"/>
    <w:basedOn w:val="DefaultParagraphFont"/>
    <w:link w:val="Title"/>
    <w:uiPriority w:val="10"/>
    <w:rsid w:val="0043280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43280E"/>
    <w:pPr>
      <w:numPr>
        <w:ilvl w:val="1"/>
      </w:numPr>
      <w:overflowPunct/>
      <w:autoSpaceDE/>
      <w:autoSpaceDN/>
      <w:adjustRightInd/>
      <w:spacing w:after="160" w:line="259" w:lineRule="auto"/>
      <w:textAlignment w:val="auto"/>
    </w:pPr>
    <w:rPr>
      <w:rFonts w:asciiTheme="minorHAnsi" w:eastAsiaTheme="majorEastAsia" w:hAnsiTheme="minorHAnsi" w:cstheme="majorBidi"/>
      <w:color w:val="595959" w:themeColor="text1" w:themeTint="A6"/>
      <w:spacing w:val="15"/>
      <w:kern w:val="2"/>
      <w:sz w:val="28"/>
      <w:szCs w:val="28"/>
      <w:lang w:eastAsia="en-US"/>
      <w14:ligatures w14:val="standardContextual"/>
    </w:rPr>
  </w:style>
  <w:style w:type="character" w:customStyle="1" w:styleId="SubtitleChar">
    <w:name w:val="Subtitle Char"/>
    <w:basedOn w:val="DefaultParagraphFont"/>
    <w:link w:val="Subtitle"/>
    <w:uiPriority w:val="11"/>
    <w:rsid w:val="0043280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43280E"/>
    <w:pPr>
      <w:overflowPunct/>
      <w:autoSpaceDE/>
      <w:autoSpaceDN/>
      <w:adjustRightInd/>
      <w:spacing w:before="160" w:after="160" w:line="259" w:lineRule="auto"/>
      <w:jc w:val="center"/>
      <w:textAlignment w:val="auto"/>
    </w:pPr>
    <w:rPr>
      <w:rFonts w:asciiTheme="minorHAnsi" w:eastAsiaTheme="minorHAnsi" w:hAnsiTheme="minorHAnsi" w:cstheme="minorBidi"/>
      <w:i/>
      <w:iCs/>
      <w:color w:val="404040" w:themeColor="text1" w:themeTint="BF"/>
      <w:kern w:val="2"/>
      <w:sz w:val="22"/>
      <w:szCs w:val="22"/>
      <w:lang w:eastAsia="en-US"/>
      <w14:ligatures w14:val="standardContextual"/>
    </w:rPr>
  </w:style>
  <w:style w:type="character" w:customStyle="1" w:styleId="QuoteChar">
    <w:name w:val="Quote Char"/>
    <w:basedOn w:val="DefaultParagraphFont"/>
    <w:link w:val="Quote"/>
    <w:uiPriority w:val="29"/>
    <w:rsid w:val="0043280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43280E"/>
    <w:pPr>
      <w:overflowPunct/>
      <w:autoSpaceDE/>
      <w:autoSpaceDN/>
      <w:adjustRightInd/>
      <w:spacing w:after="160" w:line="259" w:lineRule="auto"/>
      <w:ind w:left="720"/>
      <w:contextualSpacing/>
      <w:textAlignment w:val="auto"/>
    </w:pPr>
    <w:rPr>
      <w:rFonts w:asciiTheme="minorHAnsi" w:eastAsiaTheme="minorHAnsi" w:hAnsiTheme="minorHAnsi" w:cstheme="minorBidi"/>
      <w:color w:val="auto"/>
      <w:kern w:val="2"/>
      <w:sz w:val="22"/>
      <w:szCs w:val="22"/>
      <w:lang w:eastAsia="en-US"/>
      <w14:ligatures w14:val="standardContextual"/>
    </w:rPr>
  </w:style>
  <w:style w:type="character" w:styleId="IntenseEmphasis">
    <w:name w:val="Intense Emphasis"/>
    <w:basedOn w:val="DefaultParagraphFont"/>
    <w:uiPriority w:val="21"/>
    <w:qFormat/>
    <w:rsid w:val="0043280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3280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overflowPunct/>
      <w:autoSpaceDE/>
      <w:autoSpaceDN/>
      <w:adjustRightInd/>
      <w:spacing w:before="360" w:after="360" w:line="259" w:lineRule="auto"/>
      <w:ind w:left="864" w:right="864"/>
      <w:jc w:val="center"/>
      <w:textAlignment w:val="auto"/>
    </w:pPr>
    <w:rPr>
      <w:rFonts w:asciiTheme="minorHAnsi" w:eastAsiaTheme="minorHAnsi" w:hAnsiTheme="minorHAnsi" w:cstheme="minorBidi"/>
      <w:i/>
      <w:iCs/>
      <w:color w:val="0F4761" w:themeColor="accent1" w:themeShade="BF"/>
      <w:kern w:val="2"/>
      <w:sz w:val="22"/>
      <w:szCs w:val="22"/>
      <w:lang w:eastAsia="en-US"/>
      <w14:ligatures w14:val="standardContextual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3280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43280E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rsid w:val="0043280E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childcomwales.org.uk/resources/the-right-way-a-childrens-rights-approach/" TargetMode="External"/><Relationship Id="rId13" Type="http://schemas.openxmlformats.org/officeDocument/2006/relationships/hyperlink" Target="https://archive.org/search.php?query=date:2014" TargetMode="External"/><Relationship Id="rId18" Type="http://schemas.openxmlformats.org/officeDocument/2006/relationships/hyperlink" Target="https://socialcare.wales/service-improvement/supervision-for-social-workers" TargetMode="External"/><Relationship Id="rId3" Type="http://schemas.openxmlformats.org/officeDocument/2006/relationships/webSettings" Target="webSettings.xml"/><Relationship Id="rId21" Type="http://schemas.openxmlformats.org/officeDocument/2006/relationships/theme" Target="theme/theme1.xml"/><Relationship Id="rId7" Type="http://schemas.openxmlformats.org/officeDocument/2006/relationships/hyperlink" Target="https://www.legislation.gov.uk/ukpga/1989/41/section/31" TargetMode="External"/><Relationship Id="rId12" Type="http://schemas.openxmlformats.org/officeDocument/2006/relationships/hyperlink" Target="https://www.legislation.gov.uk/ukpga/1998/42/contents" TargetMode="External"/><Relationship Id="rId17" Type="http://schemas.openxmlformats.org/officeDocument/2006/relationships/hyperlink" Target="https://www.counselling-directory.org.uk/articles/violence-as-attachment-gone-wrong-three-case-vignettes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archive.org/search.php?query=subject%3A%22Child+welfare%22" TargetMode="External"/><Relationship Id="rId20" Type="http://schemas.openxmlformats.org/officeDocument/2006/relationships/fontTable" Target="fontTable.xml"/><Relationship Id="rId1" Type="http://schemas.openxmlformats.org/officeDocument/2006/relationships/styles" Target="styles.xml"/><Relationship Id="rId6" Type="http://schemas.openxmlformats.org/officeDocument/2006/relationships/hyperlink" Target="https://learning.nspcc.org.uk/research-resources/2013/no-one-noticed-no-one-heard" TargetMode="External"/><Relationship Id="rId11" Type="http://schemas.openxmlformats.org/officeDocument/2006/relationships/hyperlink" Target="https://gov.wales/integrated-approach-improving-educational-outcomes-looked-afterchildren" TargetMode="External"/><Relationship Id="rId5" Type="http://schemas.openxmlformats.org/officeDocument/2006/relationships/hyperlink" Target="https://aimproject.org.uk" TargetMode="External"/><Relationship Id="rId15" Type="http://schemas.openxmlformats.org/officeDocument/2006/relationships/hyperlink" Target="https://archive.org/search.php?query=subject%3A%22Child+psychology%22" TargetMode="External"/><Relationship Id="rId10" Type="http://schemas.openxmlformats.org/officeDocument/2006/relationships/hyperlink" Target="https://www.gov.uk/government/publications/social-work-and-autistic-young-people-an-exploratory-study/a-spectrum-of-opportunity-an-exploratory-study-of-social-work-practice-with-autistic-young-adults-and-their-families" TargetMode="External"/><Relationship Id="rId19" Type="http://schemas.openxmlformats.org/officeDocument/2006/relationships/hyperlink" Target="https://www.legislation.gov.uk/anaw/2014/4/contents/enacted" TargetMode="External"/><Relationship Id="rId4" Type="http://schemas.openxmlformats.org/officeDocument/2006/relationships/hyperlink" Target="https://bmchealthservres.biomedcentral.com/articles/10.1186/s12913-015-1024-8" TargetMode="External"/><Relationship Id="rId9" Type="http://schemas.openxmlformats.org/officeDocument/2006/relationships/hyperlink" Target="https://www.college.police.uk/app/major-investigation-and-public-protection/investigating-child-abuse-and-safeguarding-children" TargetMode="External"/><Relationship Id="rId14" Type="http://schemas.openxmlformats.org/officeDocument/2006/relationships/hyperlink" Target="https://archive.org/search.php?query=subject%3A%22Resilience+%28Personality+trait%29+in+children%22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8</Pages>
  <Words>1936</Words>
  <Characters>11039</Characters>
  <Application>Microsoft Office Word</Application>
  <DocSecurity>0</DocSecurity>
  <Lines>91</Lines>
  <Paragraphs>25</Paragraphs>
  <ScaleCrop>false</ScaleCrop>
  <Company/>
  <LinksUpToDate>false</LinksUpToDate>
  <CharactersWithSpaces>12950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Kerry Mckinley</dc:creator>
  <cp:keywords/>
  <dc:description/>
  <cp:lastModifiedBy>Kerry Mckinley</cp:lastModifiedBy>
  <cp:revision>1</cp:revision>
  <dcterms:created xsi:type="dcterms:W3CDTF">2026-03-11T11:50:00Z</dcterms:created>
  <dcterms:modified xsi:type="dcterms:W3CDTF">2026-03-11T11:52:00Z</dcterms:modified>
</cp:coreProperties>
</file>