
<file path=[Content_Types].xml><?xml version="1.0" encoding="utf-8"?>
<Types xmlns="http://schemas.openxmlformats.org/package/2006/content-types">
  <Default ContentType="application/xml" Extension="xml"/>
  <Default ContentType="application/x-font-ttf" Extension="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0">
      <w:pPr>
        <w:rPr>
          <w:sz w:val="24"/>
          <w:szCs w:val="24"/>
          <w:highlight w:val="white"/>
          <w:u w:val="single"/>
        </w:rPr>
      </w:pPr>
      <w:r w:rsidDel="00000000" w:rsidR="00000000" w:rsidRPr="00000000">
        <w:rPr>
          <w:rtl w:val="0"/>
        </w:rPr>
      </w:r>
    </w:p>
    <w:p w:rsidR="00000000" w:rsidDel="00000000" w:rsidP="00000000" w:rsidRDefault="00000000" w:rsidRPr="00000000" w14:paraId="00000001">
      <w:pPr>
        <w:rPr>
          <w:sz w:val="24"/>
          <w:szCs w:val="24"/>
          <w:highlight w:val="white"/>
          <w:u w:val="single"/>
        </w:rPr>
      </w:pPr>
      <w:r w:rsidDel="00000000" w:rsidR="00000000" w:rsidRPr="00000000">
        <w:rPr>
          <w:rtl w:val="0"/>
        </w:rPr>
      </w:r>
    </w:p>
    <w:p w:rsidR="00000000" w:rsidDel="00000000" w:rsidP="00000000" w:rsidRDefault="00000000" w:rsidRPr="00000000" w14:paraId="00000002">
      <w:pPr>
        <w:jc w:val="center"/>
        <w:rPr>
          <w:sz w:val="24"/>
          <w:szCs w:val="24"/>
          <w:highlight w:val="white"/>
          <w:u w:val="single"/>
        </w:rPr>
      </w:pPr>
      <w:r w:rsidDel="00000000" w:rsidR="00000000" w:rsidRPr="00000000">
        <w:rPr>
          <w:sz w:val="24"/>
          <w:szCs w:val="24"/>
          <w:highlight w:val="white"/>
          <w:u w:val="single"/>
          <w:rtl w:val="0"/>
        </w:rPr>
        <w:t xml:space="preserve">Using key themes from at least 3 GDAT debates critically consider the value of Anthropological knowledge in today’s rapidly changing world</w:t>
      </w:r>
    </w:p>
    <w:p w:rsidR="00000000" w:rsidDel="00000000" w:rsidP="00000000" w:rsidRDefault="00000000" w:rsidRPr="00000000" w14:paraId="00000003">
      <w:pPr>
        <w:spacing w:line="480" w:lineRule="auto"/>
        <w:jc w:val="both"/>
        <w:rPr>
          <w:sz w:val="24"/>
          <w:szCs w:val="24"/>
          <w:highlight w:val="white"/>
        </w:rPr>
      </w:pPr>
      <w:r w:rsidDel="00000000" w:rsidR="00000000" w:rsidRPr="00000000">
        <w:rPr>
          <w:rtl w:val="0"/>
        </w:rPr>
      </w:r>
    </w:p>
    <w:p w:rsidR="00000000" w:rsidDel="00000000" w:rsidP="00000000" w:rsidRDefault="00000000" w:rsidRPr="00000000" w14:paraId="00000004">
      <w:pPr>
        <w:spacing w:line="480" w:lineRule="auto"/>
        <w:jc w:val="both"/>
        <w:rPr>
          <w:sz w:val="24"/>
          <w:szCs w:val="24"/>
          <w:highlight w:val="white"/>
        </w:rPr>
      </w:pPr>
      <w:r w:rsidDel="00000000" w:rsidR="00000000" w:rsidRPr="00000000">
        <w:rPr>
          <w:sz w:val="24"/>
          <w:szCs w:val="24"/>
          <w:highlight w:val="white"/>
          <w:rtl w:val="0"/>
        </w:rPr>
        <w:t xml:space="preserve">Anthropology champions methods of understanding social and cultural perspectives, ideologies and difference in reality. From 1988, the Group Debates for Anthropological Theory (known as GDAT debates) aim to showcase differences in perspectives, create cross cultural dialogue and investigate new directions for anthropology. Anthropological knowledge is indeed valuable, as is seen in the debates and methodology shown through </w:t>
      </w:r>
      <w:r w:rsidDel="00000000" w:rsidR="00000000" w:rsidRPr="00000000">
        <w:rPr>
          <w:i w:val="1"/>
          <w:sz w:val="24"/>
          <w:szCs w:val="24"/>
          <w:highlight w:val="white"/>
          <w:rtl w:val="0"/>
        </w:rPr>
        <w:t xml:space="preserve">Key Debates In Anthropology</w:t>
      </w:r>
      <w:r w:rsidDel="00000000" w:rsidR="00000000" w:rsidRPr="00000000">
        <w:rPr>
          <w:sz w:val="24"/>
          <w:szCs w:val="24"/>
          <w:highlight w:val="white"/>
          <w:rtl w:val="0"/>
        </w:rPr>
        <w:t xml:space="preserve"> (Ingold, 1996). </w:t>
      </w:r>
      <w:r w:rsidDel="00000000" w:rsidR="00000000" w:rsidRPr="00000000">
        <w:rPr>
          <w:i w:val="1"/>
          <w:sz w:val="24"/>
          <w:szCs w:val="24"/>
          <w:highlight w:val="white"/>
          <w:rtl w:val="0"/>
        </w:rPr>
        <w:t xml:space="preserve">The Right to Difference is a Fundamental Human Right</w:t>
      </w:r>
      <w:r w:rsidDel="00000000" w:rsidR="00000000" w:rsidRPr="00000000">
        <w:rPr>
          <w:sz w:val="24"/>
          <w:szCs w:val="24"/>
          <w:highlight w:val="white"/>
          <w:rtl w:val="0"/>
        </w:rPr>
        <w:t xml:space="preserve"> (1999), </w:t>
      </w:r>
      <w:r w:rsidDel="00000000" w:rsidR="00000000" w:rsidRPr="00000000">
        <w:rPr>
          <w:sz w:val="24"/>
          <w:szCs w:val="24"/>
          <w:highlight w:val="white"/>
          <w:rtl w:val="0"/>
        </w:rPr>
        <w:t xml:space="preserve"> </w:t>
      </w:r>
      <w:r w:rsidDel="00000000" w:rsidR="00000000" w:rsidRPr="00000000">
        <w:rPr>
          <w:i w:val="1"/>
          <w:sz w:val="24"/>
          <w:szCs w:val="24"/>
          <w:highlight w:val="white"/>
          <w:rtl w:val="0"/>
        </w:rPr>
        <w:t xml:space="preserve">Advocacy is a Personal Commitment for Anthropologist, Not an Institutional Imperative for Anthropology </w:t>
      </w:r>
      <w:r w:rsidDel="00000000" w:rsidR="00000000" w:rsidRPr="00000000">
        <w:rPr>
          <w:sz w:val="24"/>
          <w:szCs w:val="24"/>
          <w:highlight w:val="white"/>
          <w:rtl w:val="0"/>
        </w:rPr>
        <w:t xml:space="preserve">(1995) and </w:t>
      </w:r>
      <w:r w:rsidDel="00000000" w:rsidR="00000000" w:rsidRPr="00000000">
        <w:rPr>
          <w:i w:val="1"/>
          <w:sz w:val="24"/>
          <w:szCs w:val="24"/>
          <w:highlight w:val="white"/>
          <w:rtl w:val="0"/>
        </w:rPr>
        <w:t xml:space="preserve">Non-dualism is Philosophy Not Ethnography</w:t>
      </w:r>
      <w:r w:rsidDel="00000000" w:rsidR="00000000" w:rsidRPr="00000000">
        <w:rPr>
          <w:sz w:val="24"/>
          <w:szCs w:val="24"/>
          <w:highlight w:val="white"/>
          <w:rtl w:val="0"/>
        </w:rPr>
        <w:t xml:space="preserve"> (2011) </w:t>
      </w:r>
      <w:r w:rsidDel="00000000" w:rsidR="00000000" w:rsidRPr="00000000">
        <w:rPr>
          <w:sz w:val="24"/>
          <w:szCs w:val="24"/>
          <w:highlight w:val="white"/>
          <w:rtl w:val="0"/>
        </w:rPr>
        <w:t xml:space="preserve">were chosen for this essay to critically consider the value of anthropological knowledge.</w:t>
      </w:r>
    </w:p>
    <w:p w:rsidR="00000000" w:rsidDel="00000000" w:rsidP="00000000" w:rsidRDefault="00000000" w:rsidRPr="00000000" w14:paraId="00000005">
      <w:pPr>
        <w:spacing w:line="480" w:lineRule="auto"/>
        <w:jc w:val="both"/>
        <w:rPr>
          <w:sz w:val="24"/>
          <w:szCs w:val="24"/>
          <w:highlight w:val="white"/>
        </w:rPr>
      </w:pPr>
      <w:r w:rsidDel="00000000" w:rsidR="00000000" w:rsidRPr="00000000">
        <w:rPr>
          <w:rtl w:val="0"/>
        </w:rPr>
      </w:r>
    </w:p>
    <w:p w:rsidR="00000000" w:rsidDel="00000000" w:rsidP="00000000" w:rsidRDefault="00000000" w:rsidRPr="00000000" w14:paraId="00000006">
      <w:pPr>
        <w:spacing w:line="480" w:lineRule="auto"/>
        <w:jc w:val="both"/>
        <w:rPr>
          <w:sz w:val="24"/>
          <w:szCs w:val="24"/>
          <w:highlight w:val="white"/>
        </w:rPr>
      </w:pPr>
      <w:r w:rsidDel="00000000" w:rsidR="00000000" w:rsidRPr="00000000">
        <w:rPr>
          <w:sz w:val="24"/>
          <w:szCs w:val="24"/>
          <w:highlight w:val="white"/>
          <w:rtl w:val="0"/>
        </w:rPr>
        <w:t xml:space="preserve">This knowledge will be examined when applied to two main themes that this paper will use to show the value of anthropological theory. Using the specific perspectives seen in the consideration of anthropology and belief systems, this paper will look at examples of belief and knowledge structures, which refers to</w:t>
      </w:r>
      <w:r w:rsidDel="00000000" w:rsidR="00000000" w:rsidRPr="00000000">
        <w:rPr>
          <w:sz w:val="24"/>
          <w:szCs w:val="24"/>
          <w:highlight w:val="white"/>
          <w:rtl w:val="0"/>
        </w:rPr>
        <w:t xml:space="preserve"> patterns of thought and logic. </w:t>
      </w:r>
      <w:r w:rsidDel="00000000" w:rsidR="00000000" w:rsidRPr="00000000">
        <w:rPr>
          <w:sz w:val="24"/>
          <w:szCs w:val="24"/>
          <w:highlight w:val="white"/>
          <w:rtl w:val="0"/>
        </w:rPr>
        <w:t xml:space="preserve">Also, it will cover human responsibility within the age of the anthropocene in relation to global warming. </w:t>
      </w:r>
    </w:p>
    <w:p w:rsidR="00000000" w:rsidDel="00000000" w:rsidP="00000000" w:rsidRDefault="00000000" w:rsidRPr="00000000" w14:paraId="00000007">
      <w:pPr>
        <w:spacing w:line="480" w:lineRule="auto"/>
        <w:jc w:val="both"/>
        <w:rPr>
          <w:sz w:val="24"/>
          <w:szCs w:val="24"/>
          <w:highlight w:val="white"/>
        </w:rPr>
      </w:pPr>
      <w:r w:rsidDel="00000000" w:rsidR="00000000" w:rsidRPr="00000000">
        <w:rPr>
          <w:sz w:val="24"/>
          <w:szCs w:val="24"/>
          <w:highlight w:val="white"/>
          <w:rtl w:val="0"/>
        </w:rPr>
        <w:t xml:space="preserve">This paper will address this firstly with an overview of each debate, and the key points therein. The themes as mentioned above of belief systems and global warming. Which will then be applied to the thematic issues of belief systems, human responsibility, ‘the anthropocene’ and global warming. </w:t>
        <w:br w:type="textWrapping"/>
      </w:r>
    </w:p>
    <w:p w:rsidR="00000000" w:rsidDel="00000000" w:rsidP="00000000" w:rsidRDefault="00000000" w:rsidRPr="00000000" w14:paraId="00000008">
      <w:pPr>
        <w:spacing w:line="480" w:lineRule="auto"/>
        <w:jc w:val="both"/>
        <w:rPr>
          <w:sz w:val="24"/>
          <w:szCs w:val="24"/>
          <w:highlight w:val="white"/>
          <w:u w:val="single"/>
        </w:rPr>
      </w:pPr>
      <w:r w:rsidDel="00000000" w:rsidR="00000000" w:rsidRPr="00000000">
        <w:rPr>
          <w:sz w:val="24"/>
          <w:szCs w:val="24"/>
          <w:highlight w:val="white"/>
          <w:u w:val="single"/>
          <w:rtl w:val="0"/>
        </w:rPr>
        <w:t xml:space="preserve">An overview of the debates considered</w:t>
      </w:r>
    </w:p>
    <w:p w:rsidR="00000000" w:rsidDel="00000000" w:rsidP="00000000" w:rsidRDefault="00000000" w:rsidRPr="00000000" w14:paraId="00000009">
      <w:pPr>
        <w:spacing w:line="480" w:lineRule="auto"/>
        <w:jc w:val="both"/>
        <w:rPr>
          <w:sz w:val="24"/>
          <w:szCs w:val="24"/>
          <w:highlight w:val="white"/>
        </w:rPr>
      </w:pPr>
      <w:r w:rsidDel="00000000" w:rsidR="00000000" w:rsidRPr="00000000">
        <w:rPr>
          <w:sz w:val="24"/>
          <w:szCs w:val="24"/>
          <w:highlight w:val="white"/>
          <w:rtl w:val="0"/>
        </w:rPr>
        <w:t xml:space="preserve">T</w:t>
      </w:r>
      <w:r w:rsidDel="00000000" w:rsidR="00000000" w:rsidRPr="00000000">
        <w:rPr>
          <w:sz w:val="24"/>
          <w:szCs w:val="24"/>
          <w:highlight w:val="white"/>
          <w:rtl w:val="0"/>
        </w:rPr>
        <w:t xml:space="preserve">he first debate</w:t>
      </w:r>
      <w:r w:rsidDel="00000000" w:rsidR="00000000" w:rsidRPr="00000000">
        <w:rPr>
          <w:sz w:val="24"/>
          <w:szCs w:val="24"/>
          <w:highlight w:val="white"/>
          <w:rtl w:val="0"/>
        </w:rPr>
        <w:t xml:space="preserve"> this paper will look at is </w:t>
      </w:r>
      <w:r w:rsidDel="00000000" w:rsidR="00000000" w:rsidRPr="00000000">
        <w:rPr>
          <w:i w:val="1"/>
          <w:sz w:val="24"/>
          <w:szCs w:val="24"/>
          <w:highlight w:val="white"/>
          <w:rtl w:val="0"/>
        </w:rPr>
        <w:t xml:space="preserve">The Right To Difference is a Fundamental Right, </w:t>
      </w:r>
      <w:r w:rsidDel="00000000" w:rsidR="00000000" w:rsidRPr="00000000">
        <w:rPr>
          <w:sz w:val="24"/>
          <w:szCs w:val="24"/>
          <w:highlight w:val="white"/>
          <w:rtl w:val="0"/>
        </w:rPr>
        <w:t xml:space="preserve">posed in 1999 by </w:t>
      </w:r>
      <w:r w:rsidDel="00000000" w:rsidR="00000000" w:rsidRPr="00000000">
        <w:rPr>
          <w:sz w:val="24"/>
          <w:szCs w:val="24"/>
          <w:highlight w:val="white"/>
          <w:rtl w:val="0"/>
        </w:rPr>
        <w:t xml:space="preserve">Stephen Corry, Richard Wilson, Iris Jean-Klein and John Hutnyk.</w:t>
      </w:r>
      <w:r w:rsidDel="00000000" w:rsidR="00000000" w:rsidRPr="00000000">
        <w:rPr>
          <w:sz w:val="24"/>
          <w:szCs w:val="24"/>
          <w:highlight w:val="white"/>
          <w:rtl w:val="0"/>
        </w:rPr>
        <w:t xml:space="preserve"> Corry (1999) argues for the motion, that difference is a fundamental right. He states that beliefs are both relativist and universalist by nature, however ‘</w:t>
      </w:r>
      <w:r w:rsidDel="00000000" w:rsidR="00000000" w:rsidRPr="00000000">
        <w:rPr>
          <w:sz w:val="24"/>
          <w:szCs w:val="24"/>
          <w:highlight w:val="white"/>
          <w:rtl w:val="0"/>
        </w:rPr>
        <w:t xml:space="preserve">people do not all want to become the same, they value their cultures’ (1999:12)</w:t>
      </w:r>
      <w:r w:rsidDel="00000000" w:rsidR="00000000" w:rsidRPr="00000000">
        <w:rPr>
          <w:sz w:val="24"/>
          <w:szCs w:val="24"/>
          <w:highlight w:val="white"/>
          <w:rtl w:val="0"/>
        </w:rPr>
        <w:t xml:space="preserve"> The rise of identity politics shows the paradoxes of human culture. </w:t>
      </w:r>
      <w:r w:rsidDel="00000000" w:rsidR="00000000" w:rsidRPr="00000000">
        <w:rPr>
          <w:sz w:val="24"/>
          <w:szCs w:val="24"/>
          <w:highlight w:val="white"/>
          <w:rtl w:val="0"/>
        </w:rPr>
        <w:t xml:space="preserve">Corry</w:t>
      </w:r>
      <w:r w:rsidDel="00000000" w:rsidR="00000000" w:rsidRPr="00000000">
        <w:rPr>
          <w:sz w:val="24"/>
          <w:szCs w:val="24"/>
          <w:highlight w:val="white"/>
          <w:rtl w:val="0"/>
        </w:rPr>
        <w:t xml:space="preserve"> (1999) argues that humans possess</w:t>
      </w:r>
      <w:r w:rsidDel="00000000" w:rsidR="00000000" w:rsidRPr="00000000">
        <w:rPr>
          <w:sz w:val="24"/>
          <w:szCs w:val="24"/>
          <w:highlight w:val="white"/>
          <w:rtl w:val="0"/>
        </w:rPr>
        <w:t xml:space="preserve"> ‘more similarities than difference’ (Corry at GDAT 1999:10) giving the example of physical anatomical comparison. In regards to cultures Cory (1999) considers the obvious point ‘the notion that anyone has the right to foist their own model on others is one of the world’s worst qualities’ (Corry at GDAT, 1999:15).</w:t>
      </w:r>
      <w:r w:rsidDel="00000000" w:rsidR="00000000" w:rsidRPr="00000000">
        <w:rPr>
          <w:sz w:val="24"/>
          <w:szCs w:val="24"/>
          <w:highlight w:val="white"/>
          <w:rtl w:val="0"/>
        </w:rPr>
        <w:t xml:space="preserve"> </w:t>
        <w:br w:type="textWrapping"/>
        <w:br w:type="textWrapping"/>
        <w:t xml:space="preserve">Following on from this, Jean-Klein (1999), for the motion, states that anthropologists can have a ‘have our cake and eat it too’ (Jean-Klein at GDAT, 1999:28) attitude which ‘retains the critical, comparative, shifting understanding of “difference” (the ontology of it, not any particular instance)’ (1999:29), alongside having political narratives. Her key point, is that the ideas surrounding ‘individual autonomy, freedom, self-control and self-gratification’ (Jean-Klein at GDATD, 1999:30) that are the basis of human rights acts across the world. </w:t>
      </w:r>
      <w:r w:rsidDel="00000000" w:rsidR="00000000" w:rsidRPr="00000000">
        <w:rPr>
          <w:sz w:val="24"/>
          <w:szCs w:val="24"/>
          <w:highlight w:val="white"/>
          <w:rtl w:val="0"/>
        </w:rPr>
        <w:t xml:space="preserve">However, these</w:t>
      </w:r>
      <w:r w:rsidDel="00000000" w:rsidR="00000000" w:rsidRPr="00000000">
        <w:rPr>
          <w:sz w:val="24"/>
          <w:szCs w:val="24"/>
          <w:highlight w:val="white"/>
          <w:rtl w:val="0"/>
        </w:rPr>
        <w:t xml:space="preserve"> are not universals and therefore do not necessarily allow for difference. </w:t>
        <w:br w:type="textWrapping"/>
        <w:br w:type="textWrapping"/>
        <w:t xml:space="preserve">On the subject of difference, Hutnyk quoted Slavoj Zizek, stating that ‘the respect for the Other’s specificity [as] the very form of asserting one’s own superiority’ (Hutnyk at GDAT, 1999:35). Individuals in this case are seen to be tolerably mindful of the “other” but not the</w:t>
      </w:r>
      <w:r w:rsidDel="00000000" w:rsidR="00000000" w:rsidRPr="00000000">
        <w:rPr>
          <w:sz w:val="24"/>
          <w:szCs w:val="24"/>
          <w:highlight w:val="white"/>
          <w:rtl w:val="0"/>
        </w:rPr>
        <w:t xml:space="preserve"> ‘true other’ (Hutnyk at GDAT, 1999:35).</w:t>
      </w:r>
      <w:r w:rsidDel="00000000" w:rsidR="00000000" w:rsidRPr="00000000">
        <w:rPr>
          <w:sz w:val="24"/>
          <w:szCs w:val="24"/>
          <w:highlight w:val="white"/>
          <w:rtl w:val="0"/>
        </w:rPr>
        <w:t xml:space="preserve"> Hutnyk’s further point is that distinctions themselves between cultures and peoples are constructed, both locally and globally. He considers difference to be a ‘fetishised’ (Hutnyk at GDAT, 1999:39) idea, otherwise ‘there would be no “other” to study’ (Hutnyk at GDAT, 1999:39). It is constructed relative to context, and ‘not a property of any person, group or culture’ (Hutnyk at GDAT, 1999:39). </w:t>
        <w:br w:type="textWrapping"/>
        <w:br w:type="textWrapping"/>
        <w:t xml:space="preserve">Following this, the second debate in question is the </w:t>
      </w:r>
      <w:r w:rsidDel="00000000" w:rsidR="00000000" w:rsidRPr="00000000">
        <w:rPr>
          <w:sz w:val="24"/>
          <w:szCs w:val="24"/>
          <w:highlight w:val="white"/>
          <w:rtl w:val="0"/>
        </w:rPr>
        <w:t xml:space="preserve">1995 debate between Chris Fuller, Robert Layton, Jane Parish and Michael Rowlands, which is </w:t>
      </w:r>
      <w:r w:rsidDel="00000000" w:rsidR="00000000" w:rsidRPr="00000000">
        <w:rPr>
          <w:i w:val="1"/>
          <w:sz w:val="24"/>
          <w:szCs w:val="24"/>
          <w:highlight w:val="white"/>
          <w:rtl w:val="0"/>
        </w:rPr>
        <w:t xml:space="preserve">Advocacy is a Personal Commitment for Anthropologist, Not an Institutional Imperative for Anthropology</w:t>
      </w:r>
      <w:r w:rsidDel="00000000" w:rsidR="00000000" w:rsidRPr="00000000">
        <w:rPr>
          <w:sz w:val="24"/>
          <w:szCs w:val="24"/>
          <w:highlight w:val="white"/>
          <w:rtl w:val="0"/>
        </w:rPr>
        <w:t xml:space="preserve">. </w:t>
      </w:r>
      <w:r w:rsidDel="00000000" w:rsidR="00000000" w:rsidRPr="00000000">
        <w:rPr>
          <w:sz w:val="24"/>
          <w:szCs w:val="24"/>
          <w:highlight w:val="white"/>
          <w:rtl w:val="0"/>
        </w:rPr>
        <w:t xml:space="preserve">Fuller (1995), for the motion (that advocacy is a personal commitment), considers that advocacy through anthropology ‘will always be on behalf of the oppressed rather than the oppressors’ (Fuller at GDAT, 1995:6), especially in relation to power dynamics within the ethnographic situation. Also, all anthropological knowledge is political according to Fuller (1995), and the impartial representation of ethnographic subjects  is vital, even when those ideologies held are ‘morally unacceptable to us’ (Fuller at GDAT, 1995:9). Furthermore Layton (1995) argues that mistakes in anthropology occur when in the ‘exotic is appropriated, and reconstituted within our own system of cognitive oppositions’ (Layton at GDAT, 1995:14). </w:t>
      </w:r>
      <w:r w:rsidDel="00000000" w:rsidR="00000000" w:rsidRPr="00000000">
        <w:rPr>
          <w:sz w:val="24"/>
          <w:szCs w:val="24"/>
          <w:highlight w:val="white"/>
          <w:rtl w:val="0"/>
        </w:rPr>
        <w:t xml:space="preserve">For the motion, Parish states that advocacy also could be considered to ‘imply a morality market of approval and disapproval’ (Layton at GDAT, 1995:17) by the very nature of standing against another party relative to the ethnographic situation.</w:t>
      </w:r>
    </w:p>
    <w:p w:rsidR="00000000" w:rsidDel="00000000" w:rsidP="00000000" w:rsidRDefault="00000000" w:rsidRPr="00000000" w14:paraId="0000000A">
      <w:pPr>
        <w:spacing w:line="480" w:lineRule="auto"/>
        <w:jc w:val="both"/>
        <w:rPr>
          <w:sz w:val="24"/>
          <w:szCs w:val="24"/>
          <w:highlight w:val="white"/>
          <w:u w:val="single"/>
        </w:rPr>
      </w:pPr>
      <w:r w:rsidDel="00000000" w:rsidR="00000000" w:rsidRPr="00000000">
        <w:rPr>
          <w:sz w:val="24"/>
          <w:szCs w:val="24"/>
          <w:highlight w:val="white"/>
          <w:rtl w:val="0"/>
        </w:rPr>
        <w:br w:type="textWrapping"/>
        <w:t xml:space="preserve">The final main debate to consider critically is </w:t>
      </w:r>
      <w:r w:rsidDel="00000000" w:rsidR="00000000" w:rsidRPr="00000000">
        <w:rPr>
          <w:sz w:val="24"/>
          <w:szCs w:val="24"/>
          <w:highlight w:val="white"/>
          <w:rtl w:val="0"/>
        </w:rPr>
        <w:t xml:space="preserve">Non-dualism is Philosophy not Ethnography, as debated in 2011 by Keir Martin, Michael W Scott, Christopher Pinney, Nikolai Ssorin-Chaikov, Joanna Cook and Marilyn Strathern. </w:t>
      </w:r>
      <w:r w:rsidDel="00000000" w:rsidR="00000000" w:rsidRPr="00000000">
        <w:rPr>
          <w:sz w:val="24"/>
          <w:szCs w:val="24"/>
          <w:highlight w:val="white"/>
          <w:rtl w:val="0"/>
        </w:rPr>
        <w:t xml:space="preserve">Arguing for the motion, Ssorin-Chaikov (2011) highlights the capacities of Latour’s (2005) Actor-Network Theory (known as ANT) to illustrate a new way forward as ‘a non-dualistic alternative to the intrinsically dualistic modern science’ (Ssorin-Chaikov at GDAT, 2011:314). </w:t>
        <w:br w:type="textWrapping"/>
        <w:br w:type="textWrapping"/>
        <w:t xml:space="preserve">ANT critiques dualism suggesting that ‘network is a concept, not a thing out there’ and that it is ‘a tool to help describe something, not what is being described’ (Ssorin-Chaikov at GDAT, 2005: 131). In relation to Actor Network Theory (Latour, 2005), Cook (2011) sites the ethnographic example of ‘co-dependent origination’ (Cook at GDAT, 2011:331), Pan˜icca-samuppa`da, in Theravada Buddhism whereby ‘everything is interconnected and that everything affects everything else, thus  no phenomena are independent or self-originating’ (Cook at GDAT, 2011:331). However, Cook thinks of ANT in a different light, suggesting that ethnography must be inherently non-dualist because of this. This is because ‘non-dualism is not the opposite of dualism and separate from monism; phenomena are separate, that does not make them all the same’ (Cook at GDAT, 2011:302).</w:t>
      </w:r>
      <w:r w:rsidDel="00000000" w:rsidR="00000000" w:rsidRPr="00000000">
        <w:rPr>
          <w:sz w:val="24"/>
          <w:szCs w:val="24"/>
          <w:highlight w:val="white"/>
          <w:rtl w:val="0"/>
        </w:rPr>
        <w:t xml:space="preserve"> </w:t>
        <w:br w:type="textWrapping"/>
        <w:br w:type="textWrapping"/>
      </w:r>
      <w:r w:rsidDel="00000000" w:rsidR="00000000" w:rsidRPr="00000000">
        <w:rPr>
          <w:sz w:val="24"/>
          <w:szCs w:val="24"/>
          <w:highlight w:val="white"/>
          <w:rtl w:val="0"/>
        </w:rPr>
        <w:t xml:space="preserve">Whether philosophical ethnography is as Cook or Ssorin-Chaikov suggests,</w:t>
      </w:r>
      <w:r w:rsidDel="00000000" w:rsidR="00000000" w:rsidRPr="00000000">
        <w:rPr>
          <w:sz w:val="24"/>
          <w:szCs w:val="24"/>
          <w:highlight w:val="white"/>
          <w:rtl w:val="0"/>
        </w:rPr>
        <w:t xml:space="preserve"> is not within the scope of this argument.</w:t>
      </w:r>
      <w:r w:rsidDel="00000000" w:rsidR="00000000" w:rsidRPr="00000000">
        <w:rPr>
          <w:sz w:val="24"/>
          <w:szCs w:val="24"/>
          <w:highlight w:val="white"/>
          <w:rtl w:val="0"/>
        </w:rPr>
        <w:t xml:space="preserve"> It is relevant, however, to point out that such differences exist. In relation to this, </w:t>
      </w:r>
      <w:r w:rsidDel="00000000" w:rsidR="00000000" w:rsidRPr="00000000">
        <w:rPr>
          <w:sz w:val="24"/>
          <w:szCs w:val="24"/>
          <w:highlight w:val="white"/>
          <w:rtl w:val="0"/>
        </w:rPr>
        <w:t xml:space="preserve">Scott that anthropology must ‘compare rather than conflate’ (Scott at GDAT, 2011: 306) when we make relations between any kind of philosophy and native ontologies. In a world full of different ideologies and therefore ontologies, anthropology can offer each philosophy ‘not to impose itself globally, but to grant them equal possibility’ (Scott at GDAT, 2011: 306). An anthropologist  cannot assume that other cultures can be described using the categories that western philosophy has created. </w:t>
        <w:br w:type="textWrapping"/>
      </w:r>
      <w:r w:rsidDel="00000000" w:rsidR="00000000" w:rsidRPr="00000000">
        <w:rPr>
          <w:rtl w:val="0"/>
        </w:rPr>
      </w:r>
    </w:p>
    <w:p w:rsidR="00000000" w:rsidDel="00000000" w:rsidP="00000000" w:rsidRDefault="00000000" w:rsidRPr="00000000" w14:paraId="0000000B">
      <w:pPr>
        <w:spacing w:line="480" w:lineRule="auto"/>
        <w:jc w:val="both"/>
        <w:rPr>
          <w:sz w:val="24"/>
          <w:szCs w:val="24"/>
          <w:highlight w:val="white"/>
        </w:rPr>
      </w:pPr>
      <w:r w:rsidDel="00000000" w:rsidR="00000000" w:rsidRPr="00000000">
        <w:rPr>
          <w:sz w:val="24"/>
          <w:szCs w:val="24"/>
          <w:highlight w:val="white"/>
          <w:u w:val="single"/>
          <w:rtl w:val="0"/>
        </w:rPr>
        <w:t xml:space="preserve">The purpose of belief systems and systems of knowledge</w:t>
      </w:r>
      <w:r w:rsidDel="00000000" w:rsidR="00000000" w:rsidRPr="00000000">
        <w:rPr>
          <w:sz w:val="24"/>
          <w:szCs w:val="24"/>
          <w:highlight w:val="white"/>
          <w:rtl w:val="0"/>
        </w:rPr>
        <w:br w:type="textWrapping"/>
        <w:t xml:space="preserve">The first theme this paper will consider is belief systems, referring to ‘beliefs’ as patterns of thought and logic that assist individuals with identifying, distinguishing and structuring human understanding. Humans encounter changes and challenges in a number of ways, specifically with their social environments, and have a natural inclination to navigate situations through evolving identities throughout life. Ideologies and beliefs develop identities and roles methods of resolving the challenges by providing structure to this understanding. Beliefs refer to forms of logic in spirituality, organised religion and personal narratives on the purpose of life.</w:t>
        <w:br w:type="textWrapping"/>
        <w:t xml:space="preserve">Cultural attitudes concerning autonomy and individuality that we understand in Western culture, specifically the Cartesian dualism of mind and body, do not necessarily exist elsewhere in the world. Western beliefs position humans as special because of their ingrained belief of being fully autonomous individuals </w:t>
      </w:r>
      <w:r w:rsidDel="00000000" w:rsidR="00000000" w:rsidRPr="00000000">
        <w:rPr>
          <w:sz w:val="24"/>
          <w:szCs w:val="24"/>
          <w:highlight w:val="white"/>
          <w:rtl w:val="0"/>
        </w:rPr>
        <w:t xml:space="preserve">(Morris, 1994; Liang et. a.l, 2011</w:t>
      </w:r>
      <w:r w:rsidDel="00000000" w:rsidR="00000000" w:rsidRPr="00000000">
        <w:rPr>
          <w:sz w:val="24"/>
          <w:szCs w:val="24"/>
          <w:highlight w:val="white"/>
          <w:rtl w:val="0"/>
        </w:rPr>
        <w:t xml:space="preserve">). Assumptions about the Western dualism of the “self” in relationship to the “other” cannot be generalised to other cultures and social belief systems. This has significant effects on the notions of community philosophically, and the differences cross culturally in how we perceive and create relations. </w:t>
        <w:br w:type="textWrapping"/>
        <w:t xml:space="preserve">For example, </w:t>
      </w:r>
      <w:r w:rsidDel="00000000" w:rsidR="00000000" w:rsidRPr="00000000">
        <w:rPr>
          <w:sz w:val="24"/>
          <w:szCs w:val="24"/>
          <w:highlight w:val="white"/>
          <w:rtl w:val="0"/>
        </w:rPr>
        <w:t xml:space="preserve">Nobles (1991) </w:t>
      </w:r>
      <w:r w:rsidDel="00000000" w:rsidR="00000000" w:rsidRPr="00000000">
        <w:rPr>
          <w:sz w:val="24"/>
          <w:szCs w:val="24"/>
          <w:highlight w:val="white"/>
          <w:rtl w:val="0"/>
        </w:rPr>
        <w:t xml:space="preserve">describes African Ubuntu philosophical systems of belief as ‘not placing heavy emphasis on the individual- whatever happened to the individual happened to the group, the tribe, a</w:t>
      </w:r>
      <w:r w:rsidDel="00000000" w:rsidR="00000000" w:rsidRPr="00000000">
        <w:rPr>
          <w:sz w:val="24"/>
          <w:szCs w:val="24"/>
          <w:highlight w:val="white"/>
          <w:rtl w:val="0"/>
        </w:rPr>
        <w:t xml:space="preserve">nd whatever happened to the tribe happened to the individual. This is to say, “I am, because we are”’ (Nobles (1991:55). </w:t>
      </w:r>
      <w:r w:rsidDel="00000000" w:rsidR="00000000" w:rsidRPr="00000000">
        <w:rPr>
          <w:sz w:val="24"/>
          <w:szCs w:val="24"/>
          <w:highlight w:val="white"/>
          <w:rtl w:val="0"/>
        </w:rPr>
        <w:t xml:space="preserve">Nobles goes on to say that in this system does not value self-preservation, which is perceived to go hand in hand with individualism, instead favouring the group.</w:t>
      </w:r>
      <w:r w:rsidDel="00000000" w:rsidR="00000000" w:rsidRPr="00000000">
        <w:rPr>
          <w:sz w:val="24"/>
          <w:szCs w:val="24"/>
          <w:highlight w:val="white"/>
          <w:rtl w:val="0"/>
        </w:rPr>
        <w:t xml:space="preserve"> Different frames of logic from which to approach issues facing humanity can allow for cross cultural understanding as humans across the globe must work together to resolve this climate crisis, and we may come to understand our humanity more in the face of such a large scale adjustment to our social and environmental global situation. </w:t>
        <w:br w:type="textWrapping"/>
        <w:t xml:space="preserve">We restructure human history, for example, the slave trade and the anthropocene angle. </w:t>
      </w:r>
    </w:p>
    <w:p w:rsidR="00000000" w:rsidDel="00000000" w:rsidP="00000000" w:rsidRDefault="00000000" w:rsidRPr="00000000" w14:paraId="0000000C">
      <w:pPr>
        <w:spacing w:line="480" w:lineRule="auto"/>
        <w:jc w:val="both"/>
        <w:rPr>
          <w:sz w:val="24"/>
          <w:szCs w:val="24"/>
          <w:highlight w:val="white"/>
        </w:rPr>
      </w:pPr>
      <w:r w:rsidDel="00000000" w:rsidR="00000000" w:rsidRPr="00000000">
        <w:rPr>
          <w:sz w:val="24"/>
          <w:szCs w:val="24"/>
          <w:highlight w:val="white"/>
          <w:rtl w:val="0"/>
        </w:rPr>
        <w:t xml:space="preserve">Anthropology can assert these narratives the value of the human. This can be done without being anthropocentric. Ideology of cultural and group ways of thinking affect what it means to be human within these, details how we respond to non-human animals and the environment around us.</w:t>
      </w:r>
    </w:p>
    <w:p w:rsidR="00000000" w:rsidDel="00000000" w:rsidP="00000000" w:rsidRDefault="00000000" w:rsidRPr="00000000" w14:paraId="0000000D">
      <w:pPr>
        <w:spacing w:line="480" w:lineRule="auto"/>
        <w:jc w:val="both"/>
        <w:rPr>
          <w:sz w:val="24"/>
          <w:szCs w:val="24"/>
          <w:highlight w:val="white"/>
        </w:rPr>
      </w:pPr>
      <w:r w:rsidDel="00000000" w:rsidR="00000000" w:rsidRPr="00000000">
        <w:rPr>
          <w:rtl w:val="0"/>
        </w:rPr>
      </w:r>
    </w:p>
    <w:p w:rsidR="00000000" w:rsidDel="00000000" w:rsidP="00000000" w:rsidRDefault="00000000" w:rsidRPr="00000000" w14:paraId="0000000E">
      <w:pPr>
        <w:spacing w:line="480" w:lineRule="auto"/>
        <w:jc w:val="both"/>
        <w:rPr>
          <w:sz w:val="24"/>
          <w:szCs w:val="24"/>
          <w:highlight w:val="white"/>
        </w:rPr>
      </w:pPr>
      <w:r w:rsidDel="00000000" w:rsidR="00000000" w:rsidRPr="00000000">
        <w:rPr>
          <w:rtl w:val="0"/>
        </w:rPr>
      </w:r>
    </w:p>
    <w:p w:rsidR="00000000" w:rsidDel="00000000" w:rsidP="00000000" w:rsidRDefault="00000000" w:rsidRPr="00000000" w14:paraId="0000000F">
      <w:pPr>
        <w:spacing w:line="480" w:lineRule="auto"/>
        <w:jc w:val="both"/>
        <w:rPr>
          <w:sz w:val="24"/>
          <w:szCs w:val="24"/>
          <w:highlight w:val="white"/>
          <w:u w:val="single"/>
        </w:rPr>
      </w:pPr>
      <w:r w:rsidDel="00000000" w:rsidR="00000000" w:rsidRPr="00000000">
        <w:rPr>
          <w:rtl w:val="0"/>
        </w:rPr>
      </w:r>
    </w:p>
    <w:p w:rsidR="00000000" w:rsidDel="00000000" w:rsidP="00000000" w:rsidRDefault="00000000" w:rsidRPr="00000000" w14:paraId="00000010">
      <w:pPr>
        <w:spacing w:line="480" w:lineRule="auto"/>
        <w:jc w:val="both"/>
        <w:rPr>
          <w:sz w:val="24"/>
          <w:szCs w:val="24"/>
          <w:highlight w:val="white"/>
        </w:rPr>
      </w:pPr>
      <w:r w:rsidDel="00000000" w:rsidR="00000000" w:rsidRPr="00000000">
        <w:rPr>
          <w:sz w:val="24"/>
          <w:szCs w:val="24"/>
          <w:highlight w:val="white"/>
          <w:u w:val="single"/>
          <w:rtl w:val="0"/>
        </w:rPr>
        <w:t xml:space="preserve">Environment and ‘The Anthropocene’ </w:t>
      </w:r>
      <w:r w:rsidDel="00000000" w:rsidR="00000000" w:rsidRPr="00000000">
        <w:rPr>
          <w:rtl w:val="0"/>
        </w:rPr>
      </w:r>
    </w:p>
    <w:p w:rsidR="00000000" w:rsidDel="00000000" w:rsidP="00000000" w:rsidRDefault="00000000" w:rsidRPr="00000000" w14:paraId="00000011">
      <w:pPr>
        <w:spacing w:line="480" w:lineRule="auto"/>
        <w:jc w:val="both"/>
        <w:rPr>
          <w:sz w:val="24"/>
          <w:szCs w:val="24"/>
          <w:highlight w:val="white"/>
        </w:rPr>
      </w:pPr>
      <w:r w:rsidDel="00000000" w:rsidR="00000000" w:rsidRPr="00000000">
        <w:rPr>
          <w:rtl w:val="0"/>
        </w:rPr>
      </w:r>
    </w:p>
    <w:p w:rsidR="00000000" w:rsidDel="00000000" w:rsidP="00000000" w:rsidRDefault="00000000" w:rsidRPr="00000000" w14:paraId="00000012">
      <w:pPr>
        <w:spacing w:line="480" w:lineRule="auto"/>
        <w:jc w:val="both"/>
        <w:rPr>
          <w:sz w:val="24"/>
          <w:szCs w:val="24"/>
          <w:highlight w:val="white"/>
          <w:u w:val="single"/>
        </w:rPr>
      </w:pPr>
      <w:r w:rsidDel="00000000" w:rsidR="00000000" w:rsidRPr="00000000">
        <w:rPr>
          <w:sz w:val="24"/>
          <w:szCs w:val="24"/>
          <w:highlight w:val="white"/>
          <w:rtl w:val="0"/>
        </w:rPr>
        <w:t xml:space="preserve">The “Anthropocene” a geological term that has come into use in anthropology through paleontology and geology. Kolbert (2014) states that other similar events, the first dated sixty-six million years previous, called the Cretaceous–Tertiary boundary, which saw the worldwide extinction of most species of dinosaurs. Immensely larger than that, there was also the Permian–Triassic extinction event two hundred and fifty million years ago, and also the Great Permian extinction (Kolbert 2014). Uniquely ‘human-induced’ (Ceballos et al 2015; Pimm et al 2014), the anthropocene is not a new geological epoch, nor just an environmental issue, or a social and cultural issue, but it is a transit, also to anthropology in particular (Latour 2014). Bruno Latour (2014) considers the anthropocene; ‘a poisonous gift to the world in general’ (Latour, 2014).  The anthropocene is presented as a double edged sword, the promise of knowledge in the face of destruction. Anthropological knowledge is key, and should stand distinct from all kinds of knowledge because of this anthropological method.</w:t>
      </w:r>
      <w:r w:rsidDel="00000000" w:rsidR="00000000" w:rsidRPr="00000000">
        <w:rPr>
          <w:sz w:val="24"/>
          <w:szCs w:val="24"/>
          <w:highlight w:val="white"/>
          <w:u w:val="single"/>
          <w:rtl w:val="0"/>
        </w:rPr>
        <w:t xml:space="preserve"> </w:t>
      </w:r>
      <w:r w:rsidDel="00000000" w:rsidR="00000000" w:rsidRPr="00000000">
        <w:rPr>
          <w:sz w:val="24"/>
          <w:szCs w:val="24"/>
          <w:highlight w:val="white"/>
          <w:rtl w:val="0"/>
        </w:rPr>
        <w:t xml:space="preserve">In this new era, what western science has considered natural must be reinterpreted,  since ‘the notion of a pure nature-an-Sich has died in the Anthropocene’ (Haraway, 2015), and importantly no human culture or society that will be untouched by the transition. This gives way to what is truly foreign, because it is foreign to all of us. The anthropocene may induce a different kind of Othering; those that can adapt to the change and those that do not. </w:t>
      </w:r>
      <w:r w:rsidDel="00000000" w:rsidR="00000000" w:rsidRPr="00000000">
        <w:rPr>
          <w:sz w:val="24"/>
          <w:szCs w:val="24"/>
          <w:highlight w:val="white"/>
          <w:u w:val="single"/>
          <w:rtl w:val="0"/>
        </w:rPr>
        <w:br w:type="textWrapping"/>
      </w:r>
    </w:p>
    <w:p w:rsidR="00000000" w:rsidDel="00000000" w:rsidP="00000000" w:rsidRDefault="00000000" w:rsidRPr="00000000" w14:paraId="00000013">
      <w:pPr>
        <w:spacing w:line="480" w:lineRule="auto"/>
        <w:jc w:val="both"/>
        <w:rPr>
          <w:sz w:val="24"/>
          <w:szCs w:val="24"/>
          <w:highlight w:val="white"/>
          <w:u w:val="single"/>
        </w:rPr>
      </w:pPr>
      <w:r w:rsidDel="00000000" w:rsidR="00000000" w:rsidRPr="00000000">
        <w:rPr>
          <w:rtl w:val="0"/>
        </w:rPr>
      </w:r>
    </w:p>
    <w:p w:rsidR="00000000" w:rsidDel="00000000" w:rsidP="00000000" w:rsidRDefault="00000000" w:rsidRPr="00000000" w14:paraId="00000014">
      <w:pPr>
        <w:spacing w:line="480" w:lineRule="auto"/>
        <w:jc w:val="both"/>
        <w:rPr>
          <w:sz w:val="24"/>
          <w:szCs w:val="24"/>
          <w:highlight w:val="white"/>
          <w:u w:val="single"/>
        </w:rPr>
      </w:pPr>
      <w:r w:rsidDel="00000000" w:rsidR="00000000" w:rsidRPr="00000000">
        <w:rPr>
          <w:rtl w:val="0"/>
        </w:rPr>
      </w:r>
    </w:p>
    <w:p w:rsidR="00000000" w:rsidDel="00000000" w:rsidP="00000000" w:rsidRDefault="00000000" w:rsidRPr="00000000" w14:paraId="00000015">
      <w:pPr>
        <w:spacing w:line="480" w:lineRule="auto"/>
        <w:jc w:val="both"/>
        <w:rPr>
          <w:sz w:val="24"/>
          <w:szCs w:val="24"/>
          <w:highlight w:val="white"/>
          <w:u w:val="single"/>
        </w:rPr>
      </w:pPr>
      <w:r w:rsidDel="00000000" w:rsidR="00000000" w:rsidRPr="00000000">
        <w:rPr>
          <w:sz w:val="24"/>
          <w:szCs w:val="24"/>
          <w:highlight w:val="white"/>
          <w:u w:val="single"/>
          <w:rtl w:val="0"/>
        </w:rPr>
        <w:t xml:space="preserve">Critical analysis: value of anthropology relating to belief systems and the anthropocene</w:t>
      </w:r>
    </w:p>
    <w:p w:rsidR="00000000" w:rsidDel="00000000" w:rsidP="00000000" w:rsidRDefault="00000000" w:rsidRPr="00000000" w14:paraId="00000016">
      <w:pPr>
        <w:spacing w:line="480" w:lineRule="auto"/>
        <w:jc w:val="both"/>
        <w:rPr>
          <w:sz w:val="24"/>
          <w:szCs w:val="24"/>
          <w:highlight w:val="white"/>
        </w:rPr>
      </w:pPr>
      <w:r w:rsidDel="00000000" w:rsidR="00000000" w:rsidRPr="00000000">
        <w:rPr>
          <w:sz w:val="24"/>
          <w:szCs w:val="24"/>
          <w:highlight w:val="white"/>
          <w:rtl w:val="0"/>
        </w:rPr>
        <w:br w:type="textWrapping"/>
        <w:t xml:space="preserve">Relating to the </w:t>
      </w:r>
      <w:r w:rsidDel="00000000" w:rsidR="00000000" w:rsidRPr="00000000">
        <w:rPr>
          <w:sz w:val="24"/>
          <w:szCs w:val="24"/>
          <w:highlight w:val="white"/>
          <w:rtl w:val="0"/>
        </w:rPr>
        <w:t xml:space="preserve">1999 debate, </w:t>
      </w:r>
      <w:r w:rsidDel="00000000" w:rsidR="00000000" w:rsidRPr="00000000">
        <w:rPr>
          <w:i w:val="1"/>
          <w:sz w:val="24"/>
          <w:szCs w:val="24"/>
          <w:highlight w:val="white"/>
          <w:rtl w:val="0"/>
        </w:rPr>
        <w:t xml:space="preserve">The Right to Difference is a Fundamental Human Right</w:t>
      </w:r>
      <w:r w:rsidDel="00000000" w:rsidR="00000000" w:rsidRPr="00000000">
        <w:rPr>
          <w:sz w:val="24"/>
          <w:szCs w:val="24"/>
          <w:highlight w:val="white"/>
          <w:rtl w:val="0"/>
        </w:rPr>
        <w:t xml:space="preserve">, </w:t>
      </w:r>
      <w:r w:rsidDel="00000000" w:rsidR="00000000" w:rsidRPr="00000000">
        <w:rPr>
          <w:sz w:val="24"/>
          <w:szCs w:val="24"/>
          <w:rtl w:val="0"/>
        </w:rPr>
        <w:t xml:space="preserve">a</w:t>
      </w:r>
      <w:r w:rsidDel="00000000" w:rsidR="00000000" w:rsidRPr="00000000">
        <w:rPr>
          <w:sz w:val="24"/>
          <w:szCs w:val="24"/>
          <w:rtl w:val="0"/>
        </w:rPr>
        <w:t xml:space="preserve">ll belief systems are relative to the bounds of the culture and the social network that the beliefs originate from (Levy-Bruhl, 1979) and the logic of which does not necessarily work outside of these. Other kinds of cultures exist through people participating in their logic structures and knowledge, such as schemas (Garrow, 2000), communicating belief frameworks and linking individuals with shared familiar knowledge on certain topics. Both sociological and anthropological knowledge is valuable because it can offer readily available information on cultural differences, however anthropological knowledge is more valuable specifically because it is by nature holistic and applies cultural relativism to cultural groups as well as social groups. Anthropology provides an essential contribution in the form of understanding cultural differences. Anthropological method is the most efficient as it works in more qualitative than in quantitative data. The data is related specifically to narratives it is not so easy to over-generalise.</w:t>
      </w:r>
      <w:r w:rsidDel="00000000" w:rsidR="00000000" w:rsidRPr="00000000">
        <w:rPr>
          <w:rtl w:val="0"/>
        </w:rPr>
      </w:r>
    </w:p>
    <w:p w:rsidR="00000000" w:rsidDel="00000000" w:rsidP="00000000" w:rsidRDefault="00000000" w:rsidRPr="00000000" w14:paraId="00000017">
      <w:pPr>
        <w:spacing w:line="480" w:lineRule="auto"/>
        <w:jc w:val="both"/>
        <w:rPr>
          <w:sz w:val="24"/>
          <w:szCs w:val="24"/>
          <w:highlight w:val="white"/>
        </w:rPr>
      </w:pPr>
      <w:r w:rsidDel="00000000" w:rsidR="00000000" w:rsidRPr="00000000">
        <w:rPr>
          <w:rtl w:val="0"/>
        </w:rPr>
      </w:r>
    </w:p>
    <w:p w:rsidR="00000000" w:rsidDel="00000000" w:rsidP="00000000" w:rsidRDefault="00000000" w:rsidRPr="00000000" w14:paraId="00000018">
      <w:pPr>
        <w:spacing w:line="480" w:lineRule="auto"/>
        <w:jc w:val="both"/>
        <w:rPr>
          <w:sz w:val="24"/>
          <w:szCs w:val="24"/>
        </w:rPr>
      </w:pPr>
      <w:r w:rsidDel="00000000" w:rsidR="00000000" w:rsidRPr="00000000">
        <w:rPr>
          <w:sz w:val="24"/>
          <w:szCs w:val="24"/>
          <w:highlight w:val="white"/>
          <w:rtl w:val="0"/>
        </w:rPr>
        <w:t xml:space="preserve">The 1995 debate, </w:t>
      </w:r>
      <w:r w:rsidDel="00000000" w:rsidR="00000000" w:rsidRPr="00000000">
        <w:rPr>
          <w:i w:val="1"/>
          <w:sz w:val="24"/>
          <w:szCs w:val="24"/>
          <w:highlight w:val="white"/>
          <w:rtl w:val="0"/>
        </w:rPr>
        <w:t xml:space="preserve">Advocacy is a Personal Commitment for Anthropologist, Not an Institutional Imperative for Anthropology, </w:t>
      </w:r>
      <w:r w:rsidDel="00000000" w:rsidR="00000000" w:rsidRPr="00000000">
        <w:rPr>
          <w:sz w:val="24"/>
          <w:szCs w:val="24"/>
          <w:highlight w:val="white"/>
          <w:rtl w:val="0"/>
        </w:rPr>
        <w:t xml:space="preserve">highlights the value of anthropology as a method of advocacy.</w:t>
      </w:r>
      <w:r w:rsidDel="00000000" w:rsidR="00000000" w:rsidRPr="00000000">
        <w:rPr>
          <w:i w:val="1"/>
          <w:sz w:val="24"/>
          <w:szCs w:val="24"/>
          <w:highlight w:val="white"/>
          <w:rtl w:val="0"/>
        </w:rPr>
        <w:t xml:space="preserve"> </w:t>
      </w:r>
      <w:r w:rsidDel="00000000" w:rsidR="00000000" w:rsidRPr="00000000">
        <w:rPr>
          <w:sz w:val="24"/>
          <w:szCs w:val="24"/>
          <w:highlight w:val="white"/>
          <w:rtl w:val="0"/>
        </w:rPr>
        <w:t xml:space="preserve">Advocacy is essential since the wronged parties are therefore everybody, following the debate on difference. Human and non-human animals, and the planet itself can be advocated for by anthropological theory, and multispecies ethnographic research (Kirksey and Helmreich 2010) illustrates the entanglements of other species with humanity. </w:t>
      </w:r>
      <w:r w:rsidDel="00000000" w:rsidR="00000000" w:rsidRPr="00000000">
        <w:rPr>
          <w:sz w:val="24"/>
          <w:szCs w:val="24"/>
          <w:highlight w:val="white"/>
          <w:rtl w:val="0"/>
        </w:rPr>
        <w:br w:type="textWrapping"/>
      </w:r>
      <w:r w:rsidDel="00000000" w:rsidR="00000000" w:rsidRPr="00000000">
        <w:rPr>
          <w:sz w:val="24"/>
          <w:szCs w:val="24"/>
          <w:rtl w:val="0"/>
        </w:rPr>
        <w:t xml:space="preserve">Advocating belief systems concerning a multispecies view of the anthropocene can help ‘reimagine the human, culturally and politically in terms of its relation with the Earth’ (Delanty and Mota, 2017:9). </w:t>
      </w:r>
      <w:r w:rsidDel="00000000" w:rsidR="00000000" w:rsidRPr="00000000">
        <w:rPr>
          <w:sz w:val="24"/>
          <w:szCs w:val="24"/>
          <w:rtl w:val="0"/>
        </w:rPr>
        <w:t xml:space="preserve">As mentioned, anthropology is also valuable because can not just expose the inaccuracies of history, and rewrite it in this time of upheaval, such as seen in </w:t>
      </w:r>
      <w:r w:rsidDel="00000000" w:rsidR="00000000" w:rsidRPr="00000000">
        <w:rPr>
          <w:sz w:val="24"/>
          <w:szCs w:val="24"/>
          <w:rtl w:val="0"/>
        </w:rPr>
        <w:t xml:space="preserve">Kathryn Yusoff’s </w:t>
      </w:r>
      <w:r w:rsidDel="00000000" w:rsidR="00000000" w:rsidRPr="00000000">
        <w:rPr>
          <w:i w:val="1"/>
          <w:sz w:val="24"/>
          <w:szCs w:val="24"/>
          <w:rtl w:val="0"/>
        </w:rPr>
        <w:t xml:space="preserve">A Billion Black Anthropocenes,</w:t>
      </w:r>
      <w:r w:rsidDel="00000000" w:rsidR="00000000" w:rsidRPr="00000000">
        <w:rPr>
          <w:sz w:val="24"/>
          <w:szCs w:val="24"/>
          <w:rtl w:val="0"/>
        </w:rPr>
        <w:t xml:space="preserve"> which is about the racialized “Anthropos” (meaning “man).</w:t>
      </w:r>
      <w:r w:rsidDel="00000000" w:rsidR="00000000" w:rsidRPr="00000000">
        <w:rPr>
          <w:i w:val="1"/>
          <w:sz w:val="24"/>
          <w:szCs w:val="24"/>
          <w:rtl w:val="0"/>
        </w:rPr>
        <w:t xml:space="preserve"> </w:t>
      </w:r>
      <w:r w:rsidDel="00000000" w:rsidR="00000000" w:rsidRPr="00000000">
        <w:rPr>
          <w:sz w:val="24"/>
          <w:szCs w:val="24"/>
          <w:rtl w:val="0"/>
        </w:rPr>
        <w:t xml:space="preserve">Anthropologists</w:t>
      </w:r>
      <w:r w:rsidDel="00000000" w:rsidR="00000000" w:rsidRPr="00000000">
        <w:rPr>
          <w:sz w:val="24"/>
          <w:szCs w:val="24"/>
          <w:highlight w:val="white"/>
          <w:rtl w:val="0"/>
        </w:rPr>
        <w:t xml:space="preserve"> aim to “understand,” cultural differences and “bridge through translation”</w:t>
      </w:r>
      <w:r w:rsidDel="00000000" w:rsidR="00000000" w:rsidRPr="00000000">
        <w:rPr>
          <w:sz w:val="24"/>
          <w:szCs w:val="24"/>
          <w:rtl w:val="0"/>
        </w:rPr>
        <w:t xml:space="preserve"> but also may go one step further to advocate and navigate changing power dynamics. </w:t>
      </w:r>
      <w:r w:rsidDel="00000000" w:rsidR="00000000" w:rsidRPr="00000000">
        <w:rPr>
          <w:sz w:val="24"/>
          <w:szCs w:val="24"/>
          <w:rtl w:val="0"/>
        </w:rPr>
        <w:t xml:space="preserve">While advocacy in anthropology is concerned with the oppressors and the oppressed in a cultural setting, however these dynamics are also now affected by the global pressure of the anthropocene. Accurate representation of the cultures affected by the anthropocene is important and valuable as more and more disasters are reported in the world, protecting the “other” from being ‘reconstituted within our own system [which does] not translate as an accurate representations of culture’ (</w:t>
      </w:r>
      <w:r w:rsidDel="00000000" w:rsidR="00000000" w:rsidRPr="00000000">
        <w:rPr>
          <w:sz w:val="24"/>
          <w:szCs w:val="24"/>
          <w:highlight w:val="white"/>
          <w:rtl w:val="0"/>
        </w:rPr>
        <w:t xml:space="preserve">Layton at GDAT, 1995:14)</w:t>
      </w:r>
      <w:r w:rsidDel="00000000" w:rsidR="00000000" w:rsidRPr="00000000">
        <w:rPr>
          <w:sz w:val="24"/>
          <w:szCs w:val="24"/>
          <w:rtl w:val="0"/>
        </w:rPr>
        <w:t xml:space="preserve">. Everyone is now under the influence of the anthropocene, and anthropological knowledge, especially materialities and multispecies ethnography in anthropology is incredibly valuable because we are aware that humans caused the anthropocene, and has already provided a non-anthropocentric view of the world. There is perhaps more value than ever before in anthropological knowledge to advocate for cultures that are worse affected by global warming than others. Anthropological advocacy still enables the nuances of the situation to not be lost in quantitative data.</w:t>
      </w:r>
    </w:p>
    <w:p w:rsidR="00000000" w:rsidDel="00000000" w:rsidP="00000000" w:rsidRDefault="00000000" w:rsidRPr="00000000" w14:paraId="00000019">
      <w:pPr>
        <w:spacing w:line="480" w:lineRule="auto"/>
        <w:jc w:val="both"/>
        <w:rPr>
          <w:sz w:val="24"/>
          <w:szCs w:val="24"/>
          <w:highlight w:val="white"/>
          <w:u w:val="single"/>
        </w:rPr>
      </w:pPr>
      <w:r w:rsidDel="00000000" w:rsidR="00000000" w:rsidRPr="00000000">
        <w:rPr>
          <w:sz w:val="24"/>
          <w:szCs w:val="24"/>
          <w:rtl w:val="0"/>
        </w:rPr>
        <w:t xml:space="preserve"> </w:t>
      </w:r>
      <w:r w:rsidDel="00000000" w:rsidR="00000000" w:rsidRPr="00000000">
        <w:rPr>
          <w:rtl w:val="0"/>
        </w:rPr>
      </w:r>
    </w:p>
    <w:p w:rsidR="00000000" w:rsidDel="00000000" w:rsidP="00000000" w:rsidRDefault="00000000" w:rsidRPr="00000000" w14:paraId="0000001A">
      <w:pPr>
        <w:spacing w:line="480" w:lineRule="auto"/>
        <w:jc w:val="both"/>
        <w:rPr>
          <w:sz w:val="24"/>
          <w:szCs w:val="24"/>
        </w:rPr>
      </w:pPr>
      <w:r w:rsidDel="00000000" w:rsidR="00000000" w:rsidRPr="00000000">
        <w:rPr>
          <w:sz w:val="24"/>
          <w:szCs w:val="24"/>
          <w:highlight w:val="white"/>
          <w:rtl w:val="0"/>
        </w:rPr>
        <w:t xml:space="preserve">Finally, the 2011 debate, Non-dualism is philosophy not ethnography highlights the value of </w:t>
      </w:r>
      <w:r w:rsidDel="00000000" w:rsidR="00000000" w:rsidRPr="00000000">
        <w:rPr>
          <w:sz w:val="24"/>
          <w:szCs w:val="24"/>
          <w:rtl w:val="0"/>
        </w:rPr>
        <w:t xml:space="preserve">anthropology creating a bridge between systems of knowledge, as seen in the use of ANT. Anthropology is valuable because it offers a knowledge system in its own right that does not need to get all parties that it represents to agree on the meaning of actions needed to deal with the anthropocene as long as we actually do something, and they fit within systems of knowledge without being philosophically compromised or asked to agree or bend for the other. Anthropology can advocate to rebalance power dynamics, and can show how valuable difference is, especially in philosophies. With books aimed at utilising cultural diversity on the rise, such as </w:t>
      </w:r>
      <w:hyperlink r:id="rId6">
        <w:r w:rsidDel="00000000" w:rsidR="00000000" w:rsidRPr="00000000">
          <w:rPr>
            <w:sz w:val="24"/>
            <w:szCs w:val="24"/>
            <w:highlight w:val="white"/>
            <w:rtl w:val="0"/>
          </w:rPr>
          <w:t xml:space="preserve">Patti McCarthy</w:t>
        </w:r>
      </w:hyperlink>
      <w:r w:rsidDel="00000000" w:rsidR="00000000" w:rsidRPr="00000000">
        <w:rPr>
          <w:sz w:val="24"/>
          <w:szCs w:val="24"/>
          <w:rtl w:val="0"/>
        </w:rPr>
        <w:t xml:space="preserve">’s </w:t>
      </w:r>
      <w:r w:rsidDel="00000000" w:rsidR="00000000" w:rsidRPr="00000000">
        <w:rPr>
          <w:i w:val="1"/>
          <w:sz w:val="24"/>
          <w:szCs w:val="24"/>
          <w:rtl w:val="0"/>
        </w:rPr>
        <w:t xml:space="preserve">Cultural Chemistry: Simple Strategies for Bridging Cultural Gaps</w:t>
      </w:r>
      <w:r w:rsidDel="00000000" w:rsidR="00000000" w:rsidRPr="00000000">
        <w:rPr>
          <w:sz w:val="24"/>
          <w:szCs w:val="24"/>
          <w:rtl w:val="0"/>
        </w:rPr>
        <w:t xml:space="preserve"> (2016), there is a market for anthropology to meet a public need. Being able to understand different culture’s common sense is something valuable and unique to the study of anthropology.</w:t>
      </w:r>
    </w:p>
    <w:p w:rsidR="00000000" w:rsidDel="00000000" w:rsidP="00000000" w:rsidRDefault="00000000" w:rsidRPr="00000000" w14:paraId="0000001B">
      <w:pPr>
        <w:spacing w:line="480" w:lineRule="auto"/>
        <w:rPr>
          <w:sz w:val="24"/>
          <w:szCs w:val="24"/>
        </w:rPr>
      </w:pPr>
      <w:r w:rsidDel="00000000" w:rsidR="00000000" w:rsidRPr="00000000">
        <w:rPr>
          <w:sz w:val="24"/>
          <w:szCs w:val="24"/>
          <w:highlight w:val="white"/>
          <w:rtl w:val="0"/>
        </w:rPr>
        <w:t xml:space="preserve">Common sense is completely culturally relative, according to Geertz (1983), who says it</w:t>
      </w:r>
      <w:r w:rsidDel="00000000" w:rsidR="00000000" w:rsidRPr="00000000">
        <w:rPr>
          <w:sz w:val="24"/>
          <w:szCs w:val="24"/>
          <w:highlight w:val="white"/>
          <w:rtl w:val="0"/>
        </w:rPr>
        <w:t xml:space="preserve"> ‘can be questioned, disputed, affirmed, developed, formalized, contemplated, even taught, and it can vary dramatically from one people to the next. It is, in short, a cultural system.... Here, as elsewhere, things are what you make of them’ (Geertz, 1983). </w:t>
      </w:r>
      <w:r w:rsidDel="00000000" w:rsidR="00000000" w:rsidRPr="00000000">
        <w:rPr>
          <w:sz w:val="24"/>
          <w:szCs w:val="24"/>
          <w:rtl w:val="0"/>
        </w:rPr>
        <w:t xml:space="preserve">The most obvious point is that through investigating new philosophies we may find new ways of approaching the value of the human that is not anthropocentric, </w:t>
      </w:r>
      <w:r w:rsidDel="00000000" w:rsidR="00000000" w:rsidRPr="00000000">
        <w:rPr>
          <w:sz w:val="24"/>
          <w:szCs w:val="24"/>
          <w:rtl w:val="0"/>
        </w:rPr>
        <w:t xml:space="preserve">as seen in </w:t>
      </w:r>
      <w:r w:rsidDel="00000000" w:rsidR="00000000" w:rsidRPr="00000000">
        <w:rPr>
          <w:sz w:val="24"/>
          <w:szCs w:val="24"/>
          <w:highlight w:val="white"/>
          <w:rtl w:val="0"/>
        </w:rPr>
        <w:t xml:space="preserve">Nobles’ (1991) </w:t>
      </w:r>
      <w:r w:rsidDel="00000000" w:rsidR="00000000" w:rsidRPr="00000000">
        <w:rPr>
          <w:sz w:val="24"/>
          <w:szCs w:val="24"/>
          <w:rtl w:val="0"/>
        </w:rPr>
        <w:t xml:space="preserve">example.</w:t>
      </w:r>
    </w:p>
    <w:p w:rsidR="00000000" w:rsidDel="00000000" w:rsidP="00000000" w:rsidRDefault="00000000" w:rsidRPr="00000000" w14:paraId="0000001C">
      <w:pPr>
        <w:spacing w:line="480" w:lineRule="auto"/>
        <w:jc w:val="both"/>
        <w:rPr>
          <w:sz w:val="24"/>
          <w:szCs w:val="24"/>
          <w:highlight w:val="white"/>
        </w:rPr>
      </w:pPr>
      <w:r w:rsidDel="00000000" w:rsidR="00000000" w:rsidRPr="00000000">
        <w:rPr>
          <w:sz w:val="24"/>
          <w:szCs w:val="24"/>
          <w:highlight w:val="white"/>
          <w:rtl w:val="0"/>
        </w:rPr>
        <w:br w:type="textWrapping"/>
        <w:t xml:space="preserve">To conclude, this paper shows examples of</w:t>
      </w:r>
      <w:r w:rsidDel="00000000" w:rsidR="00000000" w:rsidRPr="00000000">
        <w:rPr>
          <w:color w:val="ff0000"/>
          <w:sz w:val="24"/>
          <w:szCs w:val="24"/>
          <w:highlight w:val="white"/>
          <w:rtl w:val="0"/>
        </w:rPr>
        <w:t xml:space="preserve"> </w:t>
      </w:r>
      <w:r w:rsidDel="00000000" w:rsidR="00000000" w:rsidRPr="00000000">
        <w:rPr>
          <w:sz w:val="24"/>
          <w:szCs w:val="24"/>
          <w:highlight w:val="white"/>
          <w:rtl w:val="0"/>
        </w:rPr>
        <w:t xml:space="preserve">belief and knowledge structures in relation to the anthropocene and global warming. Key points from the debates mentioned in this essay, namely, </w:t>
      </w:r>
      <w:r w:rsidDel="00000000" w:rsidR="00000000" w:rsidRPr="00000000">
        <w:rPr>
          <w:i w:val="1"/>
          <w:sz w:val="24"/>
          <w:szCs w:val="24"/>
          <w:highlight w:val="white"/>
          <w:rtl w:val="0"/>
        </w:rPr>
        <w:t xml:space="preserve">The Right to Difference is a Fundamental Human Right</w:t>
      </w:r>
      <w:r w:rsidDel="00000000" w:rsidR="00000000" w:rsidRPr="00000000">
        <w:rPr>
          <w:sz w:val="24"/>
          <w:szCs w:val="24"/>
          <w:highlight w:val="white"/>
          <w:rtl w:val="0"/>
        </w:rPr>
        <w:t xml:space="preserve"> (1999),  </w:t>
      </w:r>
      <w:r w:rsidDel="00000000" w:rsidR="00000000" w:rsidRPr="00000000">
        <w:rPr>
          <w:i w:val="1"/>
          <w:sz w:val="24"/>
          <w:szCs w:val="24"/>
          <w:highlight w:val="white"/>
          <w:rtl w:val="0"/>
        </w:rPr>
        <w:t xml:space="preserve">Advocacy is a Personal Commitment for Anthropologist, Not an Institutional Imperative for Anthropology </w:t>
      </w:r>
      <w:r w:rsidDel="00000000" w:rsidR="00000000" w:rsidRPr="00000000">
        <w:rPr>
          <w:sz w:val="24"/>
          <w:szCs w:val="24"/>
          <w:highlight w:val="white"/>
          <w:rtl w:val="0"/>
        </w:rPr>
        <w:t xml:space="preserve">(1995) and </w:t>
      </w:r>
      <w:r w:rsidDel="00000000" w:rsidR="00000000" w:rsidRPr="00000000">
        <w:rPr>
          <w:i w:val="1"/>
          <w:sz w:val="24"/>
          <w:szCs w:val="24"/>
          <w:highlight w:val="white"/>
          <w:rtl w:val="0"/>
        </w:rPr>
        <w:t xml:space="preserve">Non-dualism is Philosophy Not Ethnography</w:t>
      </w:r>
      <w:r w:rsidDel="00000000" w:rsidR="00000000" w:rsidRPr="00000000">
        <w:rPr>
          <w:sz w:val="24"/>
          <w:szCs w:val="24"/>
          <w:highlight w:val="white"/>
          <w:rtl w:val="0"/>
        </w:rPr>
        <w:t xml:space="preserve"> (2011) assisted in critically considering the value of anthropological knowledge. </w:t>
      </w:r>
    </w:p>
    <w:p w:rsidR="00000000" w:rsidDel="00000000" w:rsidP="00000000" w:rsidRDefault="00000000" w:rsidRPr="00000000" w14:paraId="0000001D">
      <w:pPr>
        <w:spacing w:line="480" w:lineRule="auto"/>
        <w:jc w:val="both"/>
        <w:rPr>
          <w:sz w:val="24"/>
          <w:szCs w:val="24"/>
          <w:highlight w:val="white"/>
        </w:rPr>
      </w:pPr>
      <w:r w:rsidDel="00000000" w:rsidR="00000000" w:rsidRPr="00000000">
        <w:rPr>
          <w:rtl w:val="0"/>
        </w:rPr>
      </w:r>
    </w:p>
    <w:p w:rsidR="00000000" w:rsidDel="00000000" w:rsidP="00000000" w:rsidRDefault="00000000" w:rsidRPr="00000000" w14:paraId="0000001E">
      <w:pPr>
        <w:spacing w:line="480" w:lineRule="auto"/>
        <w:jc w:val="both"/>
        <w:rPr>
          <w:sz w:val="24"/>
          <w:szCs w:val="24"/>
          <w:highlight w:val="white"/>
        </w:rPr>
      </w:pPr>
      <w:r w:rsidDel="00000000" w:rsidR="00000000" w:rsidRPr="00000000">
        <w:rPr>
          <w:rtl w:val="0"/>
        </w:rPr>
      </w:r>
    </w:p>
    <w:p w:rsidR="00000000" w:rsidDel="00000000" w:rsidP="00000000" w:rsidRDefault="00000000" w:rsidRPr="00000000" w14:paraId="0000001F">
      <w:pPr>
        <w:spacing w:line="480" w:lineRule="auto"/>
        <w:jc w:val="both"/>
        <w:rPr>
          <w:rFonts w:ascii="Georgia" w:cs="Georgia" w:eastAsia="Georgia" w:hAnsi="Georgia"/>
          <w:color w:val="373a3c"/>
          <w:highlight w:val="white"/>
        </w:rPr>
      </w:pPr>
      <w:r w:rsidDel="00000000" w:rsidR="00000000" w:rsidRPr="00000000">
        <w:rPr>
          <w:rtl w:val="0"/>
        </w:rPr>
      </w:r>
    </w:p>
    <w:p w:rsidR="00000000" w:rsidDel="00000000" w:rsidP="00000000" w:rsidRDefault="00000000" w:rsidRPr="00000000" w14:paraId="00000020">
      <w:pPr>
        <w:rPr>
          <w:rFonts w:ascii="Georgia" w:cs="Georgia" w:eastAsia="Georgia" w:hAnsi="Georgia"/>
          <w:color w:val="373a3c"/>
          <w:highlight w:val="white"/>
        </w:rPr>
      </w:pPr>
      <w:r w:rsidDel="00000000" w:rsidR="00000000" w:rsidRPr="00000000">
        <w:rPr>
          <w:rtl w:val="0"/>
        </w:rPr>
      </w:r>
    </w:p>
    <w:p w:rsidR="00000000" w:rsidDel="00000000" w:rsidP="00000000" w:rsidRDefault="00000000" w:rsidRPr="00000000" w14:paraId="00000021">
      <w:pPr>
        <w:rPr>
          <w:rFonts w:ascii="Georgia" w:cs="Georgia" w:eastAsia="Georgia" w:hAnsi="Georgia"/>
          <w:color w:val="373a3c"/>
          <w:highlight w:val="white"/>
        </w:rPr>
      </w:pPr>
      <w:r w:rsidDel="00000000" w:rsidR="00000000" w:rsidRPr="00000000">
        <w:rPr>
          <w:rtl w:val="0"/>
        </w:rPr>
      </w:r>
    </w:p>
    <w:p w:rsidR="00000000" w:rsidDel="00000000" w:rsidP="00000000" w:rsidRDefault="00000000" w:rsidRPr="00000000" w14:paraId="00000022">
      <w:pPr>
        <w:rPr>
          <w:rFonts w:ascii="Georgia" w:cs="Georgia" w:eastAsia="Georgia" w:hAnsi="Georgia"/>
          <w:color w:val="373a3c"/>
          <w:highlight w:val="white"/>
        </w:rPr>
      </w:pPr>
      <w:r w:rsidDel="00000000" w:rsidR="00000000" w:rsidRPr="00000000">
        <w:rPr>
          <w:rtl w:val="0"/>
        </w:rPr>
      </w:r>
    </w:p>
    <w:p w:rsidR="00000000" w:rsidDel="00000000" w:rsidP="00000000" w:rsidRDefault="00000000" w:rsidRPr="00000000" w14:paraId="00000023">
      <w:pPr>
        <w:rPr>
          <w:rFonts w:ascii="Georgia" w:cs="Georgia" w:eastAsia="Georgia" w:hAnsi="Georgia"/>
          <w:color w:val="373a3c"/>
          <w:highlight w:val="white"/>
        </w:rPr>
      </w:pPr>
      <w:r w:rsidDel="00000000" w:rsidR="00000000" w:rsidRPr="00000000">
        <w:rPr>
          <w:rtl w:val="0"/>
        </w:rPr>
      </w:r>
    </w:p>
    <w:p w:rsidR="00000000" w:rsidDel="00000000" w:rsidP="00000000" w:rsidRDefault="00000000" w:rsidRPr="00000000" w14:paraId="00000024">
      <w:pPr>
        <w:rPr>
          <w:rFonts w:ascii="Georgia" w:cs="Georgia" w:eastAsia="Georgia" w:hAnsi="Georgia"/>
          <w:color w:val="373a3c"/>
          <w:highlight w:val="white"/>
        </w:rPr>
      </w:pPr>
      <w:r w:rsidDel="00000000" w:rsidR="00000000" w:rsidRPr="00000000">
        <w:rPr>
          <w:rtl w:val="0"/>
        </w:rPr>
      </w:r>
    </w:p>
    <w:p w:rsidR="00000000" w:rsidDel="00000000" w:rsidP="00000000" w:rsidRDefault="00000000" w:rsidRPr="00000000" w14:paraId="00000025">
      <w:pPr>
        <w:rPr>
          <w:rFonts w:ascii="Georgia" w:cs="Georgia" w:eastAsia="Georgia" w:hAnsi="Georgia"/>
          <w:color w:val="373a3c"/>
          <w:highlight w:val="white"/>
        </w:rPr>
      </w:pPr>
      <w:r w:rsidDel="00000000" w:rsidR="00000000" w:rsidRPr="00000000">
        <w:rPr>
          <w:rtl w:val="0"/>
        </w:rPr>
      </w:r>
    </w:p>
    <w:p w:rsidR="00000000" w:rsidDel="00000000" w:rsidP="00000000" w:rsidRDefault="00000000" w:rsidRPr="00000000" w14:paraId="00000026">
      <w:pPr>
        <w:rPr>
          <w:rFonts w:ascii="Georgia" w:cs="Georgia" w:eastAsia="Georgia" w:hAnsi="Georgia"/>
          <w:color w:val="373a3c"/>
          <w:highlight w:val="white"/>
        </w:rPr>
      </w:pPr>
      <w:r w:rsidDel="00000000" w:rsidR="00000000" w:rsidRPr="00000000">
        <w:rPr>
          <w:rtl w:val="0"/>
        </w:rPr>
      </w:r>
    </w:p>
    <w:p w:rsidR="00000000" w:rsidDel="00000000" w:rsidP="00000000" w:rsidRDefault="00000000" w:rsidRPr="00000000" w14:paraId="00000027">
      <w:pPr>
        <w:rPr>
          <w:rFonts w:ascii="Georgia" w:cs="Georgia" w:eastAsia="Georgia" w:hAnsi="Georgia"/>
          <w:color w:val="373a3c"/>
          <w:highlight w:val="white"/>
        </w:rPr>
      </w:pPr>
      <w:r w:rsidDel="00000000" w:rsidR="00000000" w:rsidRPr="00000000">
        <w:rPr>
          <w:rtl w:val="0"/>
        </w:rPr>
      </w:r>
    </w:p>
    <w:p w:rsidR="00000000" w:rsidDel="00000000" w:rsidP="00000000" w:rsidRDefault="00000000" w:rsidRPr="00000000" w14:paraId="00000028">
      <w:pPr>
        <w:rPr>
          <w:rFonts w:ascii="Georgia" w:cs="Georgia" w:eastAsia="Georgia" w:hAnsi="Georgia"/>
          <w:color w:val="373a3c"/>
          <w:highlight w:val="white"/>
        </w:rPr>
      </w:pPr>
      <w:r w:rsidDel="00000000" w:rsidR="00000000" w:rsidRPr="00000000">
        <w:rPr>
          <w:rtl w:val="0"/>
        </w:rPr>
      </w:r>
    </w:p>
    <w:p w:rsidR="00000000" w:rsidDel="00000000" w:rsidP="00000000" w:rsidRDefault="00000000" w:rsidRPr="00000000" w14:paraId="00000029">
      <w:pPr>
        <w:rPr>
          <w:rFonts w:ascii="Georgia" w:cs="Georgia" w:eastAsia="Georgia" w:hAnsi="Georgia"/>
          <w:color w:val="373a3c"/>
          <w:highlight w:val="white"/>
        </w:rPr>
      </w:pPr>
      <w:r w:rsidDel="00000000" w:rsidR="00000000" w:rsidRPr="00000000">
        <w:rPr>
          <w:rtl w:val="0"/>
        </w:rPr>
      </w:r>
    </w:p>
    <w:p w:rsidR="00000000" w:rsidDel="00000000" w:rsidP="00000000" w:rsidRDefault="00000000" w:rsidRPr="00000000" w14:paraId="0000002A">
      <w:pPr>
        <w:rPr>
          <w:rFonts w:ascii="Georgia" w:cs="Georgia" w:eastAsia="Georgia" w:hAnsi="Georgia"/>
          <w:color w:val="373a3c"/>
          <w:highlight w:val="white"/>
        </w:rPr>
      </w:pPr>
      <w:r w:rsidDel="00000000" w:rsidR="00000000" w:rsidRPr="00000000">
        <w:rPr>
          <w:rtl w:val="0"/>
        </w:rPr>
      </w:r>
    </w:p>
    <w:p w:rsidR="00000000" w:rsidDel="00000000" w:rsidP="00000000" w:rsidRDefault="00000000" w:rsidRPr="00000000" w14:paraId="0000002B">
      <w:pPr>
        <w:rPr>
          <w:rFonts w:ascii="Georgia" w:cs="Georgia" w:eastAsia="Georgia" w:hAnsi="Georgia"/>
          <w:color w:val="373a3c"/>
          <w:highlight w:val="white"/>
        </w:rPr>
      </w:pPr>
      <w:r w:rsidDel="00000000" w:rsidR="00000000" w:rsidRPr="00000000">
        <w:rPr>
          <w:rtl w:val="0"/>
        </w:rPr>
      </w:r>
    </w:p>
    <w:p w:rsidR="00000000" w:rsidDel="00000000" w:rsidP="00000000" w:rsidRDefault="00000000" w:rsidRPr="00000000" w14:paraId="0000002C">
      <w:pPr>
        <w:rPr>
          <w:rFonts w:ascii="Georgia" w:cs="Georgia" w:eastAsia="Georgia" w:hAnsi="Georgia"/>
          <w:color w:val="373a3c"/>
          <w:highlight w:val="white"/>
        </w:rPr>
      </w:pPr>
      <w:r w:rsidDel="00000000" w:rsidR="00000000" w:rsidRPr="00000000">
        <w:rPr>
          <w:rtl w:val="0"/>
        </w:rPr>
      </w:r>
    </w:p>
    <w:p w:rsidR="00000000" w:rsidDel="00000000" w:rsidP="00000000" w:rsidRDefault="00000000" w:rsidRPr="00000000" w14:paraId="0000002D">
      <w:pPr>
        <w:rPr>
          <w:rFonts w:ascii="Georgia" w:cs="Georgia" w:eastAsia="Georgia" w:hAnsi="Georgia"/>
          <w:color w:val="373a3c"/>
          <w:highlight w:val="white"/>
        </w:rPr>
      </w:pPr>
      <w:r w:rsidDel="00000000" w:rsidR="00000000" w:rsidRPr="00000000">
        <w:rPr>
          <w:rtl w:val="0"/>
        </w:rPr>
      </w:r>
    </w:p>
    <w:p w:rsidR="00000000" w:rsidDel="00000000" w:rsidP="00000000" w:rsidRDefault="00000000" w:rsidRPr="00000000" w14:paraId="0000002E">
      <w:pPr>
        <w:rPr>
          <w:rFonts w:ascii="Georgia" w:cs="Georgia" w:eastAsia="Georgia" w:hAnsi="Georgia"/>
          <w:color w:val="373a3c"/>
          <w:highlight w:val="white"/>
        </w:rPr>
      </w:pPr>
      <w:r w:rsidDel="00000000" w:rsidR="00000000" w:rsidRPr="00000000">
        <w:rPr>
          <w:rtl w:val="0"/>
        </w:rPr>
      </w:r>
    </w:p>
    <w:p w:rsidR="00000000" w:rsidDel="00000000" w:rsidP="00000000" w:rsidRDefault="00000000" w:rsidRPr="00000000" w14:paraId="0000002F">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Georgia" w:cs="Georgia" w:eastAsia="Georgia" w:hAnsi="Georgia"/>
          <w:color w:val="373a3c"/>
          <w:highlight w:val="white"/>
        </w:rPr>
      </w:pPr>
      <w:r w:rsidDel="00000000" w:rsidR="00000000" w:rsidRPr="00000000">
        <w:rPr>
          <w:rFonts w:ascii="Georgia" w:cs="Georgia" w:eastAsia="Georgia" w:hAnsi="Georgia"/>
          <w:color w:val="373a3c"/>
          <w:highlight w:val="white"/>
          <w:rtl w:val="0"/>
        </w:rPr>
        <w:t xml:space="preserve"> </w:t>
      </w:r>
      <w:r w:rsidDel="00000000" w:rsidR="00000000" w:rsidRPr="00000000">
        <w:rPr>
          <w:rtl w:val="0"/>
        </w:rPr>
      </w:r>
    </w:p>
    <w:p w:rsidR="00000000" w:rsidDel="00000000" w:rsidP="00000000" w:rsidRDefault="00000000" w:rsidRPr="00000000" w14:paraId="00000030">
      <w:pPr>
        <w:keepNext w:val="0"/>
        <w:keepLines w:val="0"/>
        <w:widowControl w:val="0"/>
        <w:pBdr>
          <w:top w:space="0" w:sz="0" w:val="nil"/>
          <w:left w:space="0" w:sz="0" w:val="nil"/>
          <w:bottom w:space="0" w:sz="0" w:val="nil"/>
          <w:right w:space="0" w:sz="0" w:val="nil"/>
          <w:between w:space="0" w:sz="0" w:val="nil"/>
        </w:pBdr>
        <w:shd w:fill="auto" w:val="clear"/>
        <w:spacing w:after="0" w:before="0" w:line="480" w:lineRule="auto"/>
        <w:ind w:left="0" w:right="0" w:firstLine="0"/>
        <w:jc w:val="center"/>
        <w:rPr>
          <w:rFonts w:ascii="Georgia" w:cs="Georgia" w:eastAsia="Georgia" w:hAnsi="Georgia"/>
          <w:color w:val="373a3c"/>
          <w:highlight w:val="white"/>
          <w:u w:val="single"/>
        </w:rPr>
      </w:pPr>
      <w:r w:rsidDel="00000000" w:rsidR="00000000" w:rsidRPr="00000000">
        <w:rPr>
          <w:rFonts w:ascii="Georgia" w:cs="Georgia" w:eastAsia="Georgia" w:hAnsi="Georgia"/>
          <w:color w:val="373a3c"/>
          <w:highlight w:val="white"/>
          <w:u w:val="single"/>
          <w:rtl w:val="0"/>
        </w:rPr>
        <w:t xml:space="preserve">Bibliography</w:t>
      </w:r>
    </w:p>
    <w:p w:rsidR="00000000" w:rsidDel="00000000" w:rsidP="00000000" w:rsidRDefault="00000000" w:rsidRPr="00000000" w14:paraId="00000031">
      <w:pPr>
        <w:spacing w:line="480" w:lineRule="auto"/>
        <w:ind w:left="0" w:firstLine="0"/>
        <w:rPr>
          <w:rFonts w:ascii="Georgia" w:cs="Georgia" w:eastAsia="Georgia" w:hAnsi="Georgia"/>
          <w:color w:val="222222"/>
          <w:highlight w:val="white"/>
        </w:rPr>
      </w:pPr>
      <w:r w:rsidDel="00000000" w:rsidR="00000000" w:rsidRPr="00000000">
        <w:rPr>
          <w:rFonts w:ascii="Georgia" w:cs="Georgia" w:eastAsia="Georgia" w:hAnsi="Georgia"/>
          <w:color w:val="222222"/>
          <w:highlight w:val="white"/>
          <w:rtl w:val="0"/>
        </w:rPr>
        <w:t xml:space="preserve">Ceballos, G., Ehrlich, P.R., Barnosky, A.D., García, A., Pringle, R.M., and Palmer, T.M. (2015).   </w:t>
      </w:r>
    </w:p>
    <w:p w:rsidR="00000000" w:rsidDel="00000000" w:rsidP="00000000" w:rsidRDefault="00000000" w:rsidRPr="00000000" w14:paraId="00000032">
      <w:pPr>
        <w:spacing w:line="480" w:lineRule="auto"/>
        <w:ind w:left="0" w:firstLine="720"/>
        <w:rPr>
          <w:rFonts w:ascii="Georgia" w:cs="Georgia" w:eastAsia="Georgia" w:hAnsi="Georgia"/>
          <w:color w:val="222222"/>
          <w:highlight w:val="white"/>
        </w:rPr>
      </w:pPr>
      <w:r w:rsidDel="00000000" w:rsidR="00000000" w:rsidRPr="00000000">
        <w:rPr>
          <w:rFonts w:ascii="Georgia" w:cs="Georgia" w:eastAsia="Georgia" w:hAnsi="Georgia"/>
          <w:color w:val="222222"/>
          <w:highlight w:val="white"/>
          <w:rtl w:val="0"/>
        </w:rPr>
        <w:t xml:space="preserve">Accelerated modern human–induced species losses: Entering the sixth mass extinction.</w:t>
      </w:r>
    </w:p>
    <w:p w:rsidR="00000000" w:rsidDel="00000000" w:rsidP="00000000" w:rsidRDefault="00000000" w:rsidRPr="00000000" w14:paraId="00000033">
      <w:pPr>
        <w:spacing w:line="480" w:lineRule="auto"/>
        <w:ind w:left="0" w:firstLine="720"/>
        <w:rPr>
          <w:rFonts w:ascii="Georgia" w:cs="Georgia" w:eastAsia="Georgia" w:hAnsi="Georgia"/>
          <w:color w:val="373a3c"/>
          <w:highlight w:val="white"/>
        </w:rPr>
      </w:pPr>
      <w:r w:rsidDel="00000000" w:rsidR="00000000" w:rsidRPr="00000000">
        <w:rPr>
          <w:rFonts w:ascii="Georgia" w:cs="Georgia" w:eastAsia="Georgia" w:hAnsi="Georgia"/>
          <w:i w:val="1"/>
          <w:color w:val="222222"/>
          <w:highlight w:val="white"/>
          <w:rtl w:val="0"/>
        </w:rPr>
        <w:t xml:space="preserve">Science Advances</w:t>
      </w:r>
      <w:r w:rsidDel="00000000" w:rsidR="00000000" w:rsidRPr="00000000">
        <w:rPr>
          <w:rFonts w:ascii="Georgia" w:cs="Georgia" w:eastAsia="Georgia" w:hAnsi="Georgia"/>
          <w:color w:val="222222"/>
          <w:highlight w:val="white"/>
          <w:rtl w:val="0"/>
        </w:rPr>
        <w:t xml:space="preserve">, 1 (5).</w:t>
      </w:r>
      <w:r w:rsidDel="00000000" w:rsidR="00000000" w:rsidRPr="00000000">
        <w:rPr>
          <w:rFonts w:ascii="Georgia" w:cs="Georgia" w:eastAsia="Georgia" w:hAnsi="Georgia"/>
          <w:color w:val="373a3c"/>
          <w:highlight w:val="white"/>
          <w:rtl w:val="0"/>
        </w:rPr>
        <w:t xml:space="preserve"> </w:t>
      </w:r>
    </w:p>
    <w:p w:rsidR="00000000" w:rsidDel="00000000" w:rsidP="00000000" w:rsidRDefault="00000000" w:rsidRPr="00000000" w14:paraId="00000034">
      <w:pPr>
        <w:rPr>
          <w:rFonts w:ascii="Georgia" w:cs="Georgia" w:eastAsia="Georgia" w:hAnsi="Georgia"/>
          <w:color w:val="373a3c"/>
          <w:highlight w:val="white"/>
        </w:rPr>
      </w:pPr>
      <w:r w:rsidDel="00000000" w:rsidR="00000000" w:rsidRPr="00000000">
        <w:rPr>
          <w:rtl w:val="0"/>
        </w:rPr>
      </w:r>
    </w:p>
    <w:p w:rsidR="00000000" w:rsidDel="00000000" w:rsidP="00000000" w:rsidRDefault="00000000" w:rsidRPr="00000000" w14:paraId="00000035">
      <w:pPr>
        <w:keepNext w:val="0"/>
        <w:keepLines w:val="0"/>
        <w:widowControl w:val="0"/>
        <w:pBdr>
          <w:top w:space="0" w:sz="0" w:val="nil"/>
          <w:left w:space="0" w:sz="0" w:val="nil"/>
          <w:bottom w:space="0" w:sz="0" w:val="nil"/>
          <w:right w:space="0" w:sz="0" w:val="nil"/>
          <w:between w:space="0" w:sz="0" w:val="nil"/>
        </w:pBdr>
        <w:shd w:fill="auto" w:val="clear"/>
        <w:spacing w:after="0" w:before="0" w:line="480" w:lineRule="auto"/>
        <w:ind w:left="600" w:right="0" w:hanging="600"/>
        <w:jc w:val="left"/>
        <w:rPr>
          <w:rFonts w:ascii="Georgia" w:cs="Georgia" w:eastAsia="Georgia" w:hAnsi="Georgia"/>
          <w:color w:val="373a3c"/>
          <w:highlight w:val="white"/>
        </w:rPr>
      </w:pPr>
      <w:r w:rsidDel="00000000" w:rsidR="00000000" w:rsidRPr="00000000">
        <w:rPr>
          <w:rFonts w:ascii="Georgia" w:cs="Georgia" w:eastAsia="Georgia" w:hAnsi="Georgia"/>
          <w:b w:val="0"/>
          <w:i w:val="0"/>
          <w:color w:val="373a3c"/>
          <w:highlight w:val="white"/>
          <w:rtl w:val="0"/>
        </w:rPr>
        <w:t xml:space="preserve">Delanty, G. and Mota, A.</w:t>
      </w:r>
      <w:r w:rsidDel="00000000" w:rsidR="00000000" w:rsidRPr="00000000">
        <w:rPr>
          <w:rFonts w:ascii="Georgia" w:cs="Georgia" w:eastAsia="Georgia" w:hAnsi="Georgia"/>
          <w:color w:val="373a3c"/>
          <w:highlight w:val="white"/>
          <w:rtl w:val="0"/>
        </w:rPr>
        <w:t xml:space="preserve"> (</w:t>
      </w:r>
      <w:r w:rsidDel="00000000" w:rsidR="00000000" w:rsidRPr="00000000">
        <w:rPr>
          <w:rFonts w:ascii="Georgia" w:cs="Georgia" w:eastAsia="Georgia" w:hAnsi="Georgia"/>
          <w:b w:val="0"/>
          <w:i w:val="0"/>
          <w:color w:val="373a3c"/>
          <w:highlight w:val="white"/>
          <w:rtl w:val="0"/>
        </w:rPr>
        <w:t xml:space="preserve">2017). Governing the Anthropocene. </w:t>
      </w:r>
      <w:r w:rsidDel="00000000" w:rsidR="00000000" w:rsidRPr="00000000">
        <w:rPr>
          <w:rFonts w:ascii="Georgia" w:cs="Georgia" w:eastAsia="Georgia" w:hAnsi="Georgia"/>
          <w:b w:val="0"/>
          <w:i w:val="1"/>
          <w:color w:val="373a3c"/>
          <w:highlight w:val="white"/>
          <w:rtl w:val="0"/>
        </w:rPr>
        <w:t xml:space="preserve">European Journal of Social Theory</w:t>
      </w:r>
      <w:r w:rsidDel="00000000" w:rsidR="00000000" w:rsidRPr="00000000">
        <w:rPr>
          <w:rFonts w:ascii="Georgia" w:cs="Georgia" w:eastAsia="Georgia" w:hAnsi="Georgia"/>
          <w:b w:val="0"/>
          <w:i w:val="0"/>
          <w:color w:val="373a3c"/>
          <w:highlight w:val="white"/>
          <w:rtl w:val="0"/>
        </w:rPr>
        <w:t xml:space="preserve">, 20 (1), 9–38.</w:t>
      </w:r>
      <w:r w:rsidDel="00000000" w:rsidR="00000000" w:rsidRPr="00000000">
        <w:rPr>
          <w:rtl w:val="0"/>
        </w:rPr>
      </w:r>
    </w:p>
    <w:p w:rsidR="00000000" w:rsidDel="00000000" w:rsidP="00000000" w:rsidRDefault="00000000" w:rsidRPr="00000000" w14:paraId="00000036">
      <w:pPr>
        <w:keepNext w:val="0"/>
        <w:keepLines w:val="0"/>
        <w:widowControl w:val="0"/>
        <w:pBdr>
          <w:top w:space="0" w:sz="0" w:val="nil"/>
          <w:left w:space="0" w:sz="0" w:val="nil"/>
          <w:bottom w:space="0" w:sz="0" w:val="nil"/>
          <w:right w:space="0" w:sz="0" w:val="nil"/>
          <w:between w:space="0" w:sz="0" w:val="nil"/>
        </w:pBdr>
        <w:shd w:fill="auto" w:val="clear"/>
        <w:spacing w:after="0" w:before="0" w:line="480" w:lineRule="auto"/>
        <w:ind w:left="600" w:right="0" w:hanging="600"/>
        <w:jc w:val="left"/>
        <w:rPr>
          <w:rFonts w:ascii="Georgia" w:cs="Georgia" w:eastAsia="Georgia" w:hAnsi="Georgia"/>
          <w:color w:val="373a3c"/>
          <w:highlight w:val="white"/>
        </w:rPr>
      </w:pPr>
      <w:r w:rsidDel="00000000" w:rsidR="00000000" w:rsidRPr="00000000">
        <w:rPr>
          <w:rFonts w:ascii="Georgia" w:cs="Georgia" w:eastAsia="Georgia" w:hAnsi="Georgia"/>
          <w:b w:val="0"/>
          <w:i w:val="0"/>
          <w:color w:val="373a3c"/>
          <w:highlight w:val="white"/>
          <w:rtl w:val="0"/>
        </w:rPr>
        <w:t xml:space="preserve">Fuller, C., Layton, R., Parish, J., Rowlands, M., and Wade, P.</w:t>
      </w:r>
      <w:r w:rsidDel="00000000" w:rsidR="00000000" w:rsidRPr="00000000">
        <w:rPr>
          <w:rFonts w:ascii="Georgia" w:cs="Georgia" w:eastAsia="Georgia" w:hAnsi="Georgia"/>
          <w:color w:val="373a3c"/>
          <w:highlight w:val="white"/>
          <w:rtl w:val="0"/>
        </w:rPr>
        <w:t xml:space="preserve"> (</w:t>
      </w:r>
      <w:r w:rsidDel="00000000" w:rsidR="00000000" w:rsidRPr="00000000">
        <w:rPr>
          <w:rFonts w:ascii="Georgia" w:cs="Georgia" w:eastAsia="Georgia" w:hAnsi="Georgia"/>
          <w:b w:val="0"/>
          <w:i w:val="0"/>
          <w:color w:val="373a3c"/>
          <w:highlight w:val="white"/>
          <w:rtl w:val="0"/>
        </w:rPr>
        <w:t xml:space="preserve">1996</w:t>
      </w:r>
      <w:r w:rsidDel="00000000" w:rsidR="00000000" w:rsidRPr="00000000">
        <w:rPr>
          <w:rFonts w:ascii="Georgia" w:cs="Georgia" w:eastAsia="Georgia" w:hAnsi="Georgia"/>
          <w:color w:val="373a3c"/>
          <w:highlight w:val="white"/>
          <w:rtl w:val="0"/>
        </w:rPr>
        <w:t xml:space="preserve">).</w:t>
      </w:r>
      <w:r w:rsidDel="00000000" w:rsidR="00000000" w:rsidRPr="00000000">
        <w:rPr>
          <w:rFonts w:ascii="Georgia" w:cs="Georgia" w:eastAsia="Georgia" w:hAnsi="Georgia"/>
          <w:b w:val="0"/>
          <w:i w:val="0"/>
          <w:color w:val="373a3c"/>
          <w:highlight w:val="white"/>
          <w:rtl w:val="0"/>
        </w:rPr>
        <w:t xml:space="preserve"> </w:t>
      </w:r>
      <w:r w:rsidDel="00000000" w:rsidR="00000000" w:rsidRPr="00000000">
        <w:rPr>
          <w:rFonts w:ascii="Georgia" w:cs="Georgia" w:eastAsia="Georgia" w:hAnsi="Georgia"/>
          <w:b w:val="0"/>
          <w:i w:val="1"/>
          <w:color w:val="373a3c"/>
          <w:highlight w:val="white"/>
          <w:rtl w:val="0"/>
        </w:rPr>
        <w:t xml:space="preserve">Advocacy is a personal commitment for anthropologist, not an institutional imperative for anthropology: The seventh annual GDAT debate held in the University of Manchester, on 28th October 1995</w:t>
      </w:r>
      <w:r w:rsidDel="00000000" w:rsidR="00000000" w:rsidRPr="00000000">
        <w:rPr>
          <w:rFonts w:ascii="Georgia" w:cs="Georgia" w:eastAsia="Georgia" w:hAnsi="Georgia"/>
          <w:b w:val="0"/>
          <w:i w:val="0"/>
          <w:color w:val="373a3c"/>
          <w:highlight w:val="white"/>
          <w:rtl w:val="0"/>
        </w:rPr>
        <w:t xml:space="preserve">. GDAT.</w:t>
      </w:r>
      <w:r w:rsidDel="00000000" w:rsidR="00000000" w:rsidRPr="00000000">
        <w:rPr>
          <w:rtl w:val="0"/>
        </w:rPr>
      </w:r>
    </w:p>
    <w:p w:rsidR="00000000" w:rsidDel="00000000" w:rsidP="00000000" w:rsidRDefault="00000000" w:rsidRPr="00000000" w14:paraId="00000037">
      <w:pPr>
        <w:keepNext w:val="0"/>
        <w:keepLines w:val="0"/>
        <w:widowControl w:val="0"/>
        <w:pBdr>
          <w:top w:space="0" w:sz="0" w:val="nil"/>
          <w:left w:space="0" w:sz="0" w:val="nil"/>
          <w:bottom w:space="0" w:sz="0" w:val="nil"/>
          <w:right w:space="0" w:sz="0" w:val="nil"/>
          <w:between w:space="0" w:sz="0" w:val="nil"/>
        </w:pBdr>
        <w:shd w:fill="auto" w:val="clear"/>
        <w:spacing w:after="0" w:before="0" w:line="480" w:lineRule="auto"/>
        <w:ind w:left="600" w:right="0" w:hanging="600"/>
        <w:jc w:val="left"/>
        <w:rPr>
          <w:rFonts w:ascii="Georgia" w:cs="Georgia" w:eastAsia="Georgia" w:hAnsi="Georgia"/>
          <w:color w:val="373a3c"/>
          <w:highlight w:val="white"/>
        </w:rPr>
      </w:pPr>
      <w:r w:rsidDel="00000000" w:rsidR="00000000" w:rsidRPr="00000000">
        <w:rPr>
          <w:rFonts w:ascii="Georgia" w:cs="Georgia" w:eastAsia="Georgia" w:hAnsi="Georgia"/>
          <w:b w:val="0"/>
          <w:i w:val="0"/>
          <w:color w:val="373a3c"/>
          <w:highlight w:val="white"/>
          <w:rtl w:val="0"/>
        </w:rPr>
        <w:t xml:space="preserve">Fuller, C., Layton, R., Parish, J., Rowlands, M., and Wade, P.</w:t>
      </w:r>
      <w:r w:rsidDel="00000000" w:rsidR="00000000" w:rsidRPr="00000000">
        <w:rPr>
          <w:rFonts w:ascii="Georgia" w:cs="Georgia" w:eastAsia="Georgia" w:hAnsi="Georgia"/>
          <w:color w:val="373a3c"/>
          <w:highlight w:val="white"/>
          <w:rtl w:val="0"/>
        </w:rPr>
        <w:t xml:space="preserve"> (</w:t>
      </w:r>
      <w:r w:rsidDel="00000000" w:rsidR="00000000" w:rsidRPr="00000000">
        <w:rPr>
          <w:rFonts w:ascii="Georgia" w:cs="Georgia" w:eastAsia="Georgia" w:hAnsi="Georgia"/>
          <w:b w:val="0"/>
          <w:i w:val="0"/>
          <w:color w:val="373a3c"/>
          <w:highlight w:val="white"/>
          <w:rtl w:val="0"/>
        </w:rPr>
        <w:t xml:space="preserve">1996). </w:t>
      </w:r>
      <w:r w:rsidDel="00000000" w:rsidR="00000000" w:rsidRPr="00000000">
        <w:rPr>
          <w:rFonts w:ascii="Georgia" w:cs="Georgia" w:eastAsia="Georgia" w:hAnsi="Georgia"/>
          <w:b w:val="0"/>
          <w:i w:val="1"/>
          <w:color w:val="373a3c"/>
          <w:highlight w:val="white"/>
          <w:rtl w:val="0"/>
        </w:rPr>
        <w:t xml:space="preserve">Advocacy is a personal commitment for anthropologist, not an institutional imperative for anthropology: The seventh annual GDAT debate held in the University of Manchester, on 28th October 1995</w:t>
      </w:r>
      <w:r w:rsidDel="00000000" w:rsidR="00000000" w:rsidRPr="00000000">
        <w:rPr>
          <w:rFonts w:ascii="Georgia" w:cs="Georgia" w:eastAsia="Georgia" w:hAnsi="Georgia"/>
          <w:b w:val="0"/>
          <w:i w:val="0"/>
          <w:color w:val="373a3c"/>
          <w:highlight w:val="white"/>
          <w:rtl w:val="0"/>
        </w:rPr>
        <w:t xml:space="preserve">. GDAT.</w:t>
      </w:r>
      <w:r w:rsidDel="00000000" w:rsidR="00000000" w:rsidRPr="00000000">
        <w:rPr>
          <w:rtl w:val="0"/>
        </w:rPr>
      </w:r>
    </w:p>
    <w:p w:rsidR="00000000" w:rsidDel="00000000" w:rsidP="00000000" w:rsidRDefault="00000000" w:rsidRPr="00000000" w14:paraId="00000038">
      <w:pPr>
        <w:keepNext w:val="0"/>
        <w:keepLines w:val="0"/>
        <w:widowControl w:val="0"/>
        <w:pBdr>
          <w:top w:space="0" w:sz="0" w:val="nil"/>
          <w:left w:space="0" w:sz="0" w:val="nil"/>
          <w:bottom w:space="0" w:sz="0" w:val="nil"/>
          <w:right w:space="0" w:sz="0" w:val="nil"/>
          <w:between w:space="0" w:sz="0" w:val="nil"/>
        </w:pBdr>
        <w:shd w:fill="auto" w:val="clear"/>
        <w:spacing w:after="0" w:before="0" w:line="480" w:lineRule="auto"/>
        <w:ind w:left="600" w:right="0" w:hanging="600"/>
        <w:jc w:val="left"/>
        <w:rPr>
          <w:rFonts w:ascii="Georgia" w:cs="Georgia" w:eastAsia="Georgia" w:hAnsi="Georgia"/>
          <w:b w:val="0"/>
          <w:i w:val="0"/>
          <w:color w:val="373a3c"/>
          <w:highlight w:val="white"/>
        </w:rPr>
      </w:pPr>
      <w:r w:rsidDel="00000000" w:rsidR="00000000" w:rsidRPr="00000000">
        <w:rPr>
          <w:rFonts w:ascii="Georgia" w:cs="Georgia" w:eastAsia="Georgia" w:hAnsi="Georgia"/>
          <w:b w:val="0"/>
          <w:i w:val="0"/>
          <w:color w:val="373a3c"/>
          <w:highlight w:val="white"/>
          <w:rtl w:val="0"/>
        </w:rPr>
        <w:t xml:space="preserve">Garro, L.C. (2000). Remembering What One Knows and the Construction of the Past: A Comparison of Cultural Consensus Theory and Cultural Schema Theory. </w:t>
      </w:r>
      <w:r w:rsidDel="00000000" w:rsidR="00000000" w:rsidRPr="00000000">
        <w:rPr>
          <w:rFonts w:ascii="Georgia" w:cs="Georgia" w:eastAsia="Georgia" w:hAnsi="Georgia"/>
          <w:b w:val="0"/>
          <w:i w:val="1"/>
          <w:color w:val="373a3c"/>
          <w:highlight w:val="white"/>
          <w:rtl w:val="0"/>
        </w:rPr>
        <w:t xml:space="preserve">Ethos</w:t>
      </w:r>
      <w:r w:rsidDel="00000000" w:rsidR="00000000" w:rsidRPr="00000000">
        <w:rPr>
          <w:rFonts w:ascii="Georgia" w:cs="Georgia" w:eastAsia="Georgia" w:hAnsi="Georgia"/>
          <w:b w:val="0"/>
          <w:i w:val="0"/>
          <w:color w:val="373a3c"/>
          <w:highlight w:val="white"/>
          <w:rtl w:val="0"/>
        </w:rPr>
        <w:t xml:space="preserve">, 28 (3), 275–319.</w:t>
      </w:r>
    </w:p>
    <w:p w:rsidR="00000000" w:rsidDel="00000000" w:rsidP="00000000" w:rsidRDefault="00000000" w:rsidRPr="00000000" w14:paraId="00000039">
      <w:pPr>
        <w:keepNext w:val="0"/>
        <w:keepLines w:val="0"/>
        <w:widowControl w:val="0"/>
        <w:pBdr>
          <w:top w:space="0" w:sz="0" w:val="nil"/>
          <w:left w:space="0" w:sz="0" w:val="nil"/>
          <w:bottom w:space="0" w:sz="0" w:val="nil"/>
          <w:right w:space="0" w:sz="0" w:val="nil"/>
          <w:between w:space="0" w:sz="0" w:val="nil"/>
        </w:pBdr>
        <w:shd w:fill="auto" w:val="clear"/>
        <w:spacing w:after="0" w:before="0" w:line="480" w:lineRule="auto"/>
        <w:ind w:left="600" w:right="0" w:hanging="600"/>
        <w:jc w:val="left"/>
        <w:rPr>
          <w:rFonts w:ascii="Georgia" w:cs="Georgia" w:eastAsia="Georgia" w:hAnsi="Georgia"/>
          <w:color w:val="373a3c"/>
          <w:highlight w:val="white"/>
        </w:rPr>
      </w:pPr>
      <w:r w:rsidDel="00000000" w:rsidR="00000000" w:rsidRPr="00000000">
        <w:rPr>
          <w:color w:val="222222"/>
          <w:sz w:val="20"/>
          <w:szCs w:val="20"/>
          <w:highlight w:val="white"/>
          <w:rtl w:val="0"/>
        </w:rPr>
        <w:t xml:space="preserve">Geertz, C. (1983). </w:t>
      </w:r>
      <w:r w:rsidDel="00000000" w:rsidR="00000000" w:rsidRPr="00000000">
        <w:rPr>
          <w:i w:val="1"/>
          <w:color w:val="222222"/>
          <w:sz w:val="20"/>
          <w:szCs w:val="20"/>
          <w:highlight w:val="white"/>
          <w:rtl w:val="0"/>
        </w:rPr>
        <w:t xml:space="preserve">Local knowledge: further essays in interpretative anthropology</w:t>
      </w:r>
      <w:r w:rsidDel="00000000" w:rsidR="00000000" w:rsidRPr="00000000">
        <w:rPr>
          <w:color w:val="222222"/>
          <w:sz w:val="20"/>
          <w:szCs w:val="20"/>
          <w:highlight w:val="white"/>
          <w:rtl w:val="0"/>
        </w:rPr>
        <w:t xml:space="preserve">. Basic Books.</w:t>
      </w:r>
      <w:r w:rsidDel="00000000" w:rsidR="00000000" w:rsidRPr="00000000">
        <w:rPr>
          <w:rtl w:val="0"/>
        </w:rPr>
      </w:r>
    </w:p>
    <w:p w:rsidR="00000000" w:rsidDel="00000000" w:rsidP="00000000" w:rsidRDefault="00000000" w:rsidRPr="00000000" w14:paraId="0000003A">
      <w:pPr>
        <w:keepNext w:val="0"/>
        <w:keepLines w:val="0"/>
        <w:widowControl w:val="0"/>
        <w:pBdr>
          <w:top w:space="0" w:sz="0" w:val="nil"/>
          <w:left w:space="0" w:sz="0" w:val="nil"/>
          <w:bottom w:space="0" w:sz="0" w:val="nil"/>
          <w:right w:space="0" w:sz="0" w:val="nil"/>
          <w:between w:space="0" w:sz="0" w:val="nil"/>
        </w:pBdr>
        <w:shd w:fill="auto" w:val="clear"/>
        <w:spacing w:after="0" w:before="0" w:line="480" w:lineRule="auto"/>
        <w:ind w:left="600" w:right="0" w:hanging="600"/>
        <w:jc w:val="left"/>
        <w:rPr>
          <w:rFonts w:ascii="Georgia" w:cs="Georgia" w:eastAsia="Georgia" w:hAnsi="Georgia"/>
          <w:color w:val="373a3c"/>
          <w:highlight w:val="white"/>
        </w:rPr>
      </w:pPr>
      <w:r w:rsidDel="00000000" w:rsidR="00000000" w:rsidRPr="00000000">
        <w:rPr>
          <w:rFonts w:ascii="Georgia" w:cs="Georgia" w:eastAsia="Georgia" w:hAnsi="Georgia"/>
          <w:b w:val="0"/>
          <w:i w:val="0"/>
          <w:color w:val="373a3c"/>
          <w:highlight w:val="white"/>
          <w:rtl w:val="0"/>
        </w:rPr>
        <w:t xml:space="preserve">Haraway, D., Ishikawa, N., Gilbert, S.F., Olwig, K., Tsing, A.L., and Bubandt, N.</w:t>
      </w:r>
      <w:r w:rsidDel="00000000" w:rsidR="00000000" w:rsidRPr="00000000">
        <w:rPr>
          <w:rFonts w:ascii="Georgia" w:cs="Georgia" w:eastAsia="Georgia" w:hAnsi="Georgia"/>
          <w:color w:val="373a3c"/>
          <w:highlight w:val="white"/>
          <w:rtl w:val="0"/>
        </w:rPr>
        <w:t xml:space="preserve"> (</w:t>
      </w:r>
      <w:r w:rsidDel="00000000" w:rsidR="00000000" w:rsidRPr="00000000">
        <w:rPr>
          <w:rFonts w:ascii="Georgia" w:cs="Georgia" w:eastAsia="Georgia" w:hAnsi="Georgia"/>
          <w:b w:val="0"/>
          <w:i w:val="0"/>
          <w:color w:val="373a3c"/>
          <w:highlight w:val="white"/>
          <w:rtl w:val="0"/>
        </w:rPr>
        <w:t xml:space="preserve">2015). Anthropologists Are Talking – About the Anthropocene. </w:t>
      </w:r>
      <w:r w:rsidDel="00000000" w:rsidR="00000000" w:rsidRPr="00000000">
        <w:rPr>
          <w:rFonts w:ascii="Georgia" w:cs="Georgia" w:eastAsia="Georgia" w:hAnsi="Georgia"/>
          <w:b w:val="0"/>
          <w:i w:val="1"/>
          <w:color w:val="373a3c"/>
          <w:highlight w:val="white"/>
          <w:rtl w:val="0"/>
        </w:rPr>
        <w:t xml:space="preserve">Ethnos</w:t>
      </w:r>
      <w:r w:rsidDel="00000000" w:rsidR="00000000" w:rsidRPr="00000000">
        <w:rPr>
          <w:rFonts w:ascii="Georgia" w:cs="Georgia" w:eastAsia="Georgia" w:hAnsi="Georgia"/>
          <w:b w:val="0"/>
          <w:i w:val="0"/>
          <w:color w:val="373a3c"/>
          <w:highlight w:val="white"/>
          <w:rtl w:val="0"/>
        </w:rPr>
        <w:t xml:space="preserve">, 81 (3), 535–564.</w:t>
      </w:r>
      <w:r w:rsidDel="00000000" w:rsidR="00000000" w:rsidRPr="00000000">
        <w:rPr>
          <w:rtl w:val="0"/>
        </w:rPr>
      </w:r>
    </w:p>
    <w:p w:rsidR="00000000" w:rsidDel="00000000" w:rsidP="00000000" w:rsidRDefault="00000000" w:rsidRPr="00000000" w14:paraId="0000003B">
      <w:pPr>
        <w:keepNext w:val="0"/>
        <w:keepLines w:val="0"/>
        <w:widowControl w:val="0"/>
        <w:pBdr>
          <w:top w:space="0" w:sz="0" w:val="nil"/>
          <w:left w:space="0" w:sz="0" w:val="nil"/>
          <w:bottom w:space="0" w:sz="0" w:val="nil"/>
          <w:right w:space="0" w:sz="0" w:val="nil"/>
          <w:between w:space="0" w:sz="0" w:val="nil"/>
        </w:pBdr>
        <w:shd w:fill="auto" w:val="clear"/>
        <w:spacing w:after="0" w:before="0" w:line="480" w:lineRule="auto"/>
        <w:ind w:left="600" w:right="0" w:hanging="600"/>
        <w:jc w:val="left"/>
        <w:rPr>
          <w:rFonts w:ascii="Georgia" w:cs="Georgia" w:eastAsia="Georgia" w:hAnsi="Georgia"/>
          <w:color w:val="373a3c"/>
          <w:highlight w:val="white"/>
        </w:rPr>
      </w:pPr>
      <w:r w:rsidDel="00000000" w:rsidR="00000000" w:rsidRPr="00000000">
        <w:rPr>
          <w:rFonts w:ascii="Georgia" w:cs="Georgia" w:eastAsia="Georgia" w:hAnsi="Georgia"/>
          <w:b w:val="0"/>
          <w:i w:val="0"/>
          <w:color w:val="373a3c"/>
          <w:highlight w:val="white"/>
          <w:rtl w:val="0"/>
        </w:rPr>
        <w:t xml:space="preserve">Ingold, T.</w:t>
      </w:r>
      <w:r w:rsidDel="00000000" w:rsidR="00000000" w:rsidRPr="00000000">
        <w:rPr>
          <w:rFonts w:ascii="Georgia" w:cs="Georgia" w:eastAsia="Georgia" w:hAnsi="Georgia"/>
          <w:color w:val="373a3c"/>
          <w:highlight w:val="white"/>
          <w:rtl w:val="0"/>
        </w:rPr>
        <w:t xml:space="preserve"> (</w:t>
      </w:r>
      <w:r w:rsidDel="00000000" w:rsidR="00000000" w:rsidRPr="00000000">
        <w:rPr>
          <w:rFonts w:ascii="Georgia" w:cs="Georgia" w:eastAsia="Georgia" w:hAnsi="Georgia"/>
          <w:b w:val="0"/>
          <w:i w:val="0"/>
          <w:color w:val="373a3c"/>
          <w:highlight w:val="white"/>
          <w:rtl w:val="0"/>
        </w:rPr>
        <w:t xml:space="preserve">1996). </w:t>
      </w:r>
      <w:r w:rsidDel="00000000" w:rsidR="00000000" w:rsidRPr="00000000">
        <w:rPr>
          <w:rFonts w:ascii="Georgia" w:cs="Georgia" w:eastAsia="Georgia" w:hAnsi="Georgia"/>
          <w:b w:val="0"/>
          <w:i w:val="1"/>
          <w:color w:val="373a3c"/>
          <w:highlight w:val="white"/>
          <w:rtl w:val="0"/>
        </w:rPr>
        <w:t xml:space="preserve">Key debates in anthropology</w:t>
      </w:r>
      <w:r w:rsidDel="00000000" w:rsidR="00000000" w:rsidRPr="00000000">
        <w:rPr>
          <w:rFonts w:ascii="Georgia" w:cs="Georgia" w:eastAsia="Georgia" w:hAnsi="Georgia"/>
          <w:b w:val="0"/>
          <w:i w:val="0"/>
          <w:color w:val="373a3c"/>
          <w:highlight w:val="white"/>
          <w:rtl w:val="0"/>
        </w:rPr>
        <w:t xml:space="preserve">. Routledge.</w:t>
      </w:r>
      <w:r w:rsidDel="00000000" w:rsidR="00000000" w:rsidRPr="00000000">
        <w:rPr>
          <w:rtl w:val="0"/>
        </w:rPr>
      </w:r>
    </w:p>
    <w:p w:rsidR="00000000" w:rsidDel="00000000" w:rsidP="00000000" w:rsidRDefault="00000000" w:rsidRPr="00000000" w14:paraId="0000003C">
      <w:pPr>
        <w:keepNext w:val="0"/>
        <w:keepLines w:val="0"/>
        <w:widowControl w:val="0"/>
        <w:pBdr>
          <w:top w:space="0" w:sz="0" w:val="nil"/>
          <w:left w:space="0" w:sz="0" w:val="nil"/>
          <w:bottom w:space="0" w:sz="0" w:val="nil"/>
          <w:right w:space="0" w:sz="0" w:val="nil"/>
          <w:between w:space="0" w:sz="0" w:val="nil"/>
        </w:pBdr>
        <w:shd w:fill="auto" w:val="clear"/>
        <w:spacing w:after="0" w:before="0" w:line="480" w:lineRule="auto"/>
        <w:ind w:left="600" w:right="0" w:hanging="600"/>
        <w:jc w:val="left"/>
        <w:rPr>
          <w:rFonts w:ascii="Georgia" w:cs="Georgia" w:eastAsia="Georgia" w:hAnsi="Georgia"/>
          <w:color w:val="373a3c"/>
          <w:highlight w:val="white"/>
        </w:rPr>
      </w:pPr>
      <w:r w:rsidDel="00000000" w:rsidR="00000000" w:rsidRPr="00000000">
        <w:rPr>
          <w:rFonts w:ascii="Georgia" w:cs="Georgia" w:eastAsia="Georgia" w:hAnsi="Georgia"/>
          <w:b w:val="0"/>
          <w:i w:val="0"/>
          <w:color w:val="373a3c"/>
          <w:highlight w:val="white"/>
          <w:rtl w:val="0"/>
        </w:rPr>
        <w:t xml:space="preserve">Kirksey, </w:t>
      </w:r>
      <w:r w:rsidDel="00000000" w:rsidR="00000000" w:rsidRPr="00000000">
        <w:rPr>
          <w:rFonts w:ascii="Georgia" w:cs="Georgia" w:eastAsia="Georgia" w:hAnsi="Georgia"/>
          <w:color w:val="373a3c"/>
          <w:highlight w:val="white"/>
          <w:rtl w:val="0"/>
        </w:rPr>
        <w:t xml:space="preserve">E., and Helmreich, S. (2010). </w:t>
      </w:r>
      <w:r w:rsidDel="00000000" w:rsidR="00000000" w:rsidRPr="00000000">
        <w:rPr>
          <w:rFonts w:ascii="Georgia" w:cs="Georgia" w:eastAsia="Georgia" w:hAnsi="Georgia"/>
          <w:i w:val="1"/>
          <w:color w:val="373a3c"/>
          <w:highlight w:val="white"/>
          <w:rtl w:val="0"/>
        </w:rPr>
        <w:t xml:space="preserve">The Emergence of Multispecies Ethnography.</w:t>
      </w:r>
      <w:r w:rsidDel="00000000" w:rsidR="00000000" w:rsidRPr="00000000">
        <w:rPr>
          <w:rFonts w:ascii="Georgia" w:cs="Georgia" w:eastAsia="Georgia" w:hAnsi="Georgia"/>
          <w:color w:val="373a3c"/>
          <w:highlight w:val="white"/>
          <w:rtl w:val="0"/>
        </w:rPr>
        <w:t xml:space="preserve"> C</w:t>
      </w:r>
      <w:r w:rsidDel="00000000" w:rsidR="00000000" w:rsidRPr="00000000">
        <w:rPr>
          <w:rFonts w:ascii="Georgia" w:cs="Georgia" w:eastAsia="Georgia" w:hAnsi="Georgia"/>
          <w:i w:val="1"/>
          <w:color w:val="373a3c"/>
          <w:highlight w:val="white"/>
          <w:rtl w:val="0"/>
        </w:rPr>
        <w:t xml:space="preserve">ultural Anthropology</w:t>
      </w:r>
      <w:r w:rsidDel="00000000" w:rsidR="00000000" w:rsidRPr="00000000">
        <w:rPr>
          <w:rFonts w:ascii="Georgia" w:cs="Georgia" w:eastAsia="Georgia" w:hAnsi="Georgia"/>
          <w:color w:val="373a3c"/>
          <w:highlight w:val="white"/>
          <w:rtl w:val="0"/>
        </w:rPr>
        <w:t xml:space="preserve"> 25, no. 4 : 545-576, doi: 10.2307/40930489</w:t>
      </w:r>
    </w:p>
    <w:p w:rsidR="00000000" w:rsidDel="00000000" w:rsidP="00000000" w:rsidRDefault="00000000" w:rsidRPr="00000000" w14:paraId="0000003D">
      <w:pPr>
        <w:keepNext w:val="0"/>
        <w:keepLines w:val="0"/>
        <w:widowControl w:val="0"/>
        <w:pBdr>
          <w:top w:space="0" w:sz="0" w:val="nil"/>
          <w:left w:space="0" w:sz="0" w:val="nil"/>
          <w:bottom w:space="0" w:sz="0" w:val="nil"/>
          <w:right w:space="0" w:sz="0" w:val="nil"/>
          <w:between w:space="0" w:sz="0" w:val="nil"/>
        </w:pBdr>
        <w:shd w:fill="auto" w:val="clear"/>
        <w:spacing w:after="0" w:before="0" w:line="480" w:lineRule="auto"/>
        <w:ind w:left="600" w:right="0" w:hanging="600"/>
        <w:jc w:val="left"/>
        <w:rPr>
          <w:rFonts w:ascii="Georgia" w:cs="Georgia" w:eastAsia="Georgia" w:hAnsi="Georgia"/>
          <w:color w:val="373a3c"/>
          <w:highlight w:val="white"/>
        </w:rPr>
      </w:pPr>
      <w:r w:rsidDel="00000000" w:rsidR="00000000" w:rsidRPr="00000000">
        <w:rPr>
          <w:rFonts w:ascii="Georgia" w:cs="Georgia" w:eastAsia="Georgia" w:hAnsi="Georgia"/>
          <w:b w:val="0"/>
          <w:i w:val="0"/>
          <w:color w:val="373a3c"/>
          <w:highlight w:val="white"/>
          <w:rtl w:val="0"/>
        </w:rPr>
        <w:t xml:space="preserve">Kolbert, E.</w:t>
      </w:r>
      <w:r w:rsidDel="00000000" w:rsidR="00000000" w:rsidRPr="00000000">
        <w:rPr>
          <w:rFonts w:ascii="Georgia" w:cs="Georgia" w:eastAsia="Georgia" w:hAnsi="Georgia"/>
          <w:color w:val="373a3c"/>
          <w:highlight w:val="white"/>
          <w:rtl w:val="0"/>
        </w:rPr>
        <w:t xml:space="preserve"> (</w:t>
      </w:r>
      <w:r w:rsidDel="00000000" w:rsidR="00000000" w:rsidRPr="00000000">
        <w:rPr>
          <w:rFonts w:ascii="Georgia" w:cs="Georgia" w:eastAsia="Georgia" w:hAnsi="Georgia"/>
          <w:b w:val="0"/>
          <w:i w:val="0"/>
          <w:color w:val="373a3c"/>
          <w:highlight w:val="white"/>
          <w:rtl w:val="0"/>
        </w:rPr>
        <w:t xml:space="preserve">2014). </w:t>
      </w:r>
      <w:r w:rsidDel="00000000" w:rsidR="00000000" w:rsidRPr="00000000">
        <w:rPr>
          <w:rFonts w:ascii="Georgia" w:cs="Georgia" w:eastAsia="Georgia" w:hAnsi="Georgia"/>
          <w:b w:val="0"/>
          <w:i w:val="1"/>
          <w:color w:val="373a3c"/>
          <w:highlight w:val="white"/>
          <w:rtl w:val="0"/>
        </w:rPr>
        <w:t xml:space="preserve">The sixth extinction: an unnatural history</w:t>
      </w:r>
      <w:r w:rsidDel="00000000" w:rsidR="00000000" w:rsidRPr="00000000">
        <w:rPr>
          <w:rFonts w:ascii="Georgia" w:cs="Georgia" w:eastAsia="Georgia" w:hAnsi="Georgia"/>
          <w:b w:val="0"/>
          <w:i w:val="0"/>
          <w:color w:val="373a3c"/>
          <w:highlight w:val="white"/>
          <w:rtl w:val="0"/>
        </w:rPr>
        <w:t xml:space="preserve">. Bloomsbury.</w:t>
      </w:r>
      <w:r w:rsidDel="00000000" w:rsidR="00000000" w:rsidRPr="00000000">
        <w:rPr>
          <w:rtl w:val="0"/>
        </w:rPr>
      </w:r>
    </w:p>
    <w:p w:rsidR="00000000" w:rsidDel="00000000" w:rsidP="00000000" w:rsidRDefault="00000000" w:rsidRPr="00000000" w14:paraId="0000003E">
      <w:pPr>
        <w:keepNext w:val="0"/>
        <w:keepLines w:val="0"/>
        <w:widowControl w:val="0"/>
        <w:pBdr>
          <w:top w:space="0" w:sz="0" w:val="nil"/>
          <w:left w:space="0" w:sz="0" w:val="nil"/>
          <w:bottom w:space="0" w:sz="0" w:val="nil"/>
          <w:right w:space="0" w:sz="0" w:val="nil"/>
          <w:between w:space="0" w:sz="0" w:val="nil"/>
        </w:pBdr>
        <w:shd w:fill="auto" w:val="clear"/>
        <w:spacing w:after="0" w:before="0" w:line="480" w:lineRule="auto"/>
        <w:ind w:left="600" w:right="0" w:hanging="600"/>
        <w:jc w:val="left"/>
        <w:rPr>
          <w:rFonts w:ascii="Georgia" w:cs="Georgia" w:eastAsia="Georgia" w:hAnsi="Georgia"/>
          <w:b w:val="0"/>
          <w:i w:val="0"/>
          <w:color w:val="373a3c"/>
          <w:highlight w:val="white"/>
        </w:rPr>
      </w:pPr>
      <w:r w:rsidDel="00000000" w:rsidR="00000000" w:rsidRPr="00000000">
        <w:rPr>
          <w:rFonts w:ascii="Georgia" w:cs="Georgia" w:eastAsia="Georgia" w:hAnsi="Georgia"/>
          <w:b w:val="0"/>
          <w:i w:val="0"/>
          <w:color w:val="373a3c"/>
          <w:highlight w:val="white"/>
          <w:rtl w:val="0"/>
        </w:rPr>
        <w:t xml:space="preserve">Latour, B.</w:t>
      </w:r>
      <w:r w:rsidDel="00000000" w:rsidR="00000000" w:rsidRPr="00000000">
        <w:rPr>
          <w:rFonts w:ascii="Georgia" w:cs="Georgia" w:eastAsia="Georgia" w:hAnsi="Georgia"/>
          <w:color w:val="373a3c"/>
          <w:highlight w:val="white"/>
          <w:rtl w:val="0"/>
        </w:rPr>
        <w:t xml:space="preserve"> (</w:t>
      </w:r>
      <w:r w:rsidDel="00000000" w:rsidR="00000000" w:rsidRPr="00000000">
        <w:rPr>
          <w:rFonts w:ascii="Georgia" w:cs="Georgia" w:eastAsia="Georgia" w:hAnsi="Georgia"/>
          <w:b w:val="0"/>
          <w:i w:val="0"/>
          <w:color w:val="373a3c"/>
          <w:highlight w:val="white"/>
          <w:rtl w:val="0"/>
        </w:rPr>
        <w:t xml:space="preserve">2009). </w:t>
      </w:r>
      <w:r w:rsidDel="00000000" w:rsidR="00000000" w:rsidRPr="00000000">
        <w:rPr>
          <w:rFonts w:ascii="Georgia" w:cs="Georgia" w:eastAsia="Georgia" w:hAnsi="Georgia"/>
          <w:b w:val="0"/>
          <w:i w:val="1"/>
          <w:color w:val="373a3c"/>
          <w:highlight w:val="white"/>
          <w:rtl w:val="0"/>
        </w:rPr>
        <w:t xml:space="preserve">Reassembling the social: an introduction to actor-network-theory</w:t>
      </w:r>
      <w:r w:rsidDel="00000000" w:rsidR="00000000" w:rsidRPr="00000000">
        <w:rPr>
          <w:rFonts w:ascii="Georgia" w:cs="Georgia" w:eastAsia="Georgia" w:hAnsi="Georgia"/>
          <w:b w:val="0"/>
          <w:i w:val="0"/>
          <w:color w:val="373a3c"/>
          <w:highlight w:val="white"/>
          <w:rtl w:val="0"/>
        </w:rPr>
        <w:t xml:space="preserve">. Oxford University Press.</w:t>
      </w:r>
    </w:p>
    <w:p w:rsidR="00000000" w:rsidDel="00000000" w:rsidP="00000000" w:rsidRDefault="00000000" w:rsidRPr="00000000" w14:paraId="0000003F">
      <w:pPr>
        <w:widowControl w:val="0"/>
        <w:numPr>
          <w:ilvl w:val="0"/>
          <w:numId w:val="1"/>
        </w:numPr>
        <w:ind w:left="720" w:hanging="360"/>
        <w:rPr>
          <w:rFonts w:ascii="Georgia" w:cs="Georgia" w:eastAsia="Georgia" w:hAnsi="Georgia"/>
          <w:color w:val="373a3c"/>
          <w:highlight w:val="white"/>
          <w:u w:val="none"/>
        </w:rPr>
      </w:pPr>
      <w:r w:rsidDel="00000000" w:rsidR="00000000" w:rsidRPr="00000000">
        <w:rPr>
          <w:rFonts w:ascii="Georgia" w:cs="Georgia" w:eastAsia="Georgia" w:hAnsi="Georgia"/>
          <w:color w:val="373a3c"/>
          <w:highlight w:val="white"/>
          <w:rtl w:val="0"/>
        </w:rPr>
        <w:t xml:space="preserve">(2014). </w:t>
      </w:r>
      <w:r w:rsidDel="00000000" w:rsidR="00000000" w:rsidRPr="00000000">
        <w:rPr>
          <w:rFonts w:ascii="Georgia" w:cs="Georgia" w:eastAsia="Georgia" w:hAnsi="Georgia"/>
          <w:i w:val="1"/>
          <w:color w:val="373a3c"/>
          <w:highlight w:val="white"/>
          <w:rtl w:val="0"/>
        </w:rPr>
        <w:t xml:space="preserve">Anthropology at the Time of the Anthropocene. A Personal View of What Is to Be Studied.</w:t>
      </w:r>
      <w:r w:rsidDel="00000000" w:rsidR="00000000" w:rsidRPr="00000000">
        <w:rPr>
          <w:rFonts w:ascii="Georgia" w:cs="Georgia" w:eastAsia="Georgia" w:hAnsi="Georgia"/>
          <w:color w:val="373a3c"/>
          <w:highlight w:val="white"/>
          <w:rtl w:val="0"/>
        </w:rPr>
        <w:t xml:space="preserve"> Distinguished lecture at the American Anthropologists Association meeting in Washington, December 2014. Available at http://www.bruno-latour.fr. Accessed 24 Janury 2019</w:t>
        <w:br w:type="textWrapping"/>
      </w:r>
    </w:p>
    <w:p w:rsidR="00000000" w:rsidDel="00000000" w:rsidP="00000000" w:rsidRDefault="00000000" w:rsidRPr="00000000" w14:paraId="00000040">
      <w:pPr>
        <w:keepNext w:val="0"/>
        <w:keepLines w:val="0"/>
        <w:widowControl w:val="0"/>
        <w:pBdr>
          <w:top w:space="0" w:sz="0" w:val="nil"/>
          <w:left w:space="0" w:sz="0" w:val="nil"/>
          <w:bottom w:space="0" w:sz="0" w:val="nil"/>
          <w:right w:space="0" w:sz="0" w:val="nil"/>
          <w:between w:space="0" w:sz="0" w:val="nil"/>
        </w:pBdr>
        <w:shd w:fill="auto" w:val="clear"/>
        <w:spacing w:after="0" w:before="0" w:line="480" w:lineRule="auto"/>
        <w:ind w:left="600" w:right="0" w:hanging="600"/>
        <w:jc w:val="left"/>
        <w:rPr>
          <w:rFonts w:ascii="Georgia" w:cs="Georgia" w:eastAsia="Georgia" w:hAnsi="Georgia"/>
          <w:color w:val="373a3c"/>
          <w:highlight w:val="white"/>
        </w:rPr>
      </w:pPr>
      <w:r w:rsidDel="00000000" w:rsidR="00000000" w:rsidRPr="00000000">
        <w:rPr>
          <w:rFonts w:ascii="Cardo" w:cs="Cardo" w:eastAsia="Cardo" w:hAnsi="Cardo"/>
          <w:b w:val="0"/>
          <w:i w:val="0"/>
          <w:color w:val="373a3c"/>
          <w:highlight w:val="white"/>
          <w:rtl w:val="0"/>
        </w:rPr>
        <w:t xml:space="preserve">Lévy-Bruhl</w:t>
      </w:r>
      <w:r w:rsidDel="00000000" w:rsidR="00000000" w:rsidRPr="00000000">
        <w:rPr>
          <w:rFonts w:ascii="Georgia" w:cs="Georgia" w:eastAsia="Georgia" w:hAnsi="Georgia"/>
          <w:color w:val="373a3c"/>
          <w:highlight w:val="white"/>
          <w:rtl w:val="0"/>
        </w:rPr>
        <w:t xml:space="preserve">, L. (</w:t>
      </w:r>
      <w:r w:rsidDel="00000000" w:rsidR="00000000" w:rsidRPr="00000000">
        <w:rPr>
          <w:rFonts w:ascii="Georgia" w:cs="Georgia" w:eastAsia="Georgia" w:hAnsi="Georgia"/>
          <w:b w:val="0"/>
          <w:i w:val="0"/>
          <w:color w:val="373a3c"/>
          <w:highlight w:val="white"/>
          <w:rtl w:val="0"/>
        </w:rPr>
        <w:t xml:space="preserve">1979). </w:t>
      </w:r>
      <w:r w:rsidDel="00000000" w:rsidR="00000000" w:rsidRPr="00000000">
        <w:rPr>
          <w:rFonts w:ascii="Georgia" w:cs="Georgia" w:eastAsia="Georgia" w:hAnsi="Georgia"/>
          <w:b w:val="0"/>
          <w:i w:val="1"/>
          <w:color w:val="373a3c"/>
          <w:highlight w:val="white"/>
          <w:rtl w:val="0"/>
        </w:rPr>
        <w:t xml:space="preserve">How natives think</w:t>
      </w:r>
      <w:r w:rsidDel="00000000" w:rsidR="00000000" w:rsidRPr="00000000">
        <w:rPr>
          <w:rFonts w:ascii="Georgia" w:cs="Georgia" w:eastAsia="Georgia" w:hAnsi="Georgia"/>
          <w:b w:val="0"/>
          <w:i w:val="0"/>
          <w:color w:val="373a3c"/>
          <w:highlight w:val="white"/>
          <w:rtl w:val="0"/>
        </w:rPr>
        <w:t xml:space="preserve">. Arno Press.</w:t>
      </w:r>
      <w:r w:rsidDel="00000000" w:rsidR="00000000" w:rsidRPr="00000000">
        <w:rPr>
          <w:rtl w:val="0"/>
        </w:rPr>
      </w:r>
    </w:p>
    <w:p w:rsidR="00000000" w:rsidDel="00000000" w:rsidP="00000000" w:rsidRDefault="00000000" w:rsidRPr="00000000" w14:paraId="00000041">
      <w:pPr>
        <w:keepNext w:val="0"/>
        <w:keepLines w:val="0"/>
        <w:widowControl w:val="0"/>
        <w:pBdr>
          <w:top w:space="0" w:sz="0" w:val="nil"/>
          <w:left w:space="0" w:sz="0" w:val="nil"/>
          <w:bottom w:space="0" w:sz="0" w:val="nil"/>
          <w:right w:space="0" w:sz="0" w:val="nil"/>
          <w:between w:space="0" w:sz="0" w:val="nil"/>
        </w:pBdr>
        <w:shd w:fill="auto" w:val="clear"/>
        <w:spacing w:after="0" w:before="0" w:line="480" w:lineRule="auto"/>
        <w:ind w:left="600" w:right="0" w:hanging="600"/>
        <w:jc w:val="left"/>
        <w:rPr>
          <w:rFonts w:ascii="Georgia" w:cs="Georgia" w:eastAsia="Georgia" w:hAnsi="Georgia"/>
          <w:color w:val="373a3c"/>
          <w:highlight w:val="white"/>
        </w:rPr>
      </w:pPr>
      <w:r w:rsidDel="00000000" w:rsidR="00000000" w:rsidRPr="00000000">
        <w:rPr>
          <w:rFonts w:ascii="Georgia" w:cs="Georgia" w:eastAsia="Georgia" w:hAnsi="Georgia"/>
          <w:b w:val="0"/>
          <w:i w:val="0"/>
          <w:color w:val="373a3c"/>
          <w:highlight w:val="white"/>
          <w:rtl w:val="0"/>
        </w:rPr>
        <w:t xml:space="preserve">Liang, Y., Mattis, J.S., Okazaki, S., and Tang, F.L.</w:t>
      </w:r>
      <w:r w:rsidDel="00000000" w:rsidR="00000000" w:rsidRPr="00000000">
        <w:rPr>
          <w:rFonts w:ascii="Georgia" w:cs="Georgia" w:eastAsia="Georgia" w:hAnsi="Georgia"/>
          <w:color w:val="373a3c"/>
          <w:highlight w:val="white"/>
          <w:rtl w:val="0"/>
        </w:rPr>
        <w:t xml:space="preserve"> (</w:t>
      </w:r>
      <w:r w:rsidDel="00000000" w:rsidR="00000000" w:rsidRPr="00000000">
        <w:rPr>
          <w:rFonts w:ascii="Georgia" w:cs="Georgia" w:eastAsia="Georgia" w:hAnsi="Georgia"/>
          <w:b w:val="0"/>
          <w:i w:val="0"/>
          <w:color w:val="373a3c"/>
          <w:highlight w:val="white"/>
          <w:rtl w:val="0"/>
        </w:rPr>
        <w:t xml:space="preserve">2011). </w:t>
      </w:r>
      <w:r w:rsidDel="00000000" w:rsidR="00000000" w:rsidRPr="00000000">
        <w:rPr>
          <w:rFonts w:ascii="Georgia" w:cs="Georgia" w:eastAsia="Georgia" w:hAnsi="Georgia"/>
          <w:b w:val="0"/>
          <w:i w:val="1"/>
          <w:color w:val="373a3c"/>
          <w:highlight w:val="white"/>
          <w:rtl w:val="0"/>
        </w:rPr>
        <w:t xml:space="preserve">Beyond the West, above the self: A study on self-construal, its consequences, and subjective well-being</w:t>
      </w:r>
      <w:r w:rsidDel="00000000" w:rsidR="00000000" w:rsidRPr="00000000">
        <w:rPr>
          <w:rFonts w:ascii="Georgia" w:cs="Georgia" w:eastAsia="Georgia" w:hAnsi="Georgia"/>
          <w:b w:val="0"/>
          <w:i w:val="0"/>
          <w:color w:val="373a3c"/>
          <w:highlight w:val="white"/>
          <w:rtl w:val="0"/>
        </w:rPr>
        <w:t xml:space="preserve">.</w:t>
      </w:r>
      <w:r w:rsidDel="00000000" w:rsidR="00000000" w:rsidRPr="00000000">
        <w:rPr>
          <w:rtl w:val="0"/>
        </w:rPr>
      </w:r>
    </w:p>
    <w:p w:rsidR="00000000" w:rsidDel="00000000" w:rsidP="00000000" w:rsidRDefault="00000000" w:rsidRPr="00000000" w14:paraId="00000042">
      <w:pPr>
        <w:keepNext w:val="0"/>
        <w:keepLines w:val="0"/>
        <w:widowControl w:val="0"/>
        <w:pBdr>
          <w:top w:space="0" w:sz="0" w:val="nil"/>
          <w:left w:space="0" w:sz="0" w:val="nil"/>
          <w:bottom w:space="0" w:sz="0" w:val="nil"/>
          <w:right w:space="0" w:sz="0" w:val="nil"/>
          <w:between w:space="0" w:sz="0" w:val="nil"/>
        </w:pBdr>
        <w:shd w:fill="auto" w:val="clear"/>
        <w:spacing w:after="0" w:before="0" w:line="480" w:lineRule="auto"/>
        <w:ind w:left="600" w:right="0" w:hanging="600"/>
        <w:jc w:val="left"/>
        <w:rPr>
          <w:rFonts w:ascii="Georgia" w:cs="Georgia" w:eastAsia="Georgia" w:hAnsi="Georgia"/>
          <w:color w:val="373a3c"/>
          <w:highlight w:val="white"/>
        </w:rPr>
      </w:pPr>
      <w:r w:rsidDel="00000000" w:rsidR="00000000" w:rsidRPr="00000000">
        <w:rPr>
          <w:rFonts w:ascii="Georgia" w:cs="Georgia" w:eastAsia="Georgia" w:hAnsi="Georgia"/>
          <w:b w:val="0"/>
          <w:i w:val="0"/>
          <w:color w:val="373a3c"/>
          <w:highlight w:val="white"/>
          <w:rtl w:val="0"/>
        </w:rPr>
        <w:t xml:space="preserve">McCarthy, P.</w:t>
      </w:r>
      <w:r w:rsidDel="00000000" w:rsidR="00000000" w:rsidRPr="00000000">
        <w:rPr>
          <w:rFonts w:ascii="Georgia" w:cs="Georgia" w:eastAsia="Georgia" w:hAnsi="Georgia"/>
          <w:color w:val="373a3c"/>
          <w:highlight w:val="white"/>
          <w:rtl w:val="0"/>
        </w:rPr>
        <w:t xml:space="preserve"> (</w:t>
      </w:r>
      <w:r w:rsidDel="00000000" w:rsidR="00000000" w:rsidRPr="00000000">
        <w:rPr>
          <w:rFonts w:ascii="Georgia" w:cs="Georgia" w:eastAsia="Georgia" w:hAnsi="Georgia"/>
          <w:b w:val="0"/>
          <w:i w:val="0"/>
          <w:color w:val="373a3c"/>
          <w:highlight w:val="white"/>
          <w:rtl w:val="0"/>
        </w:rPr>
        <w:t xml:space="preserve">2016). </w:t>
      </w:r>
      <w:r w:rsidDel="00000000" w:rsidR="00000000" w:rsidRPr="00000000">
        <w:rPr>
          <w:rFonts w:ascii="Georgia" w:cs="Georgia" w:eastAsia="Georgia" w:hAnsi="Georgia"/>
          <w:b w:val="0"/>
          <w:i w:val="1"/>
          <w:color w:val="373a3c"/>
          <w:highlight w:val="white"/>
          <w:rtl w:val="0"/>
        </w:rPr>
        <w:t xml:space="preserve">Cultural chemistry: simple strategies for bridging cultural gaps</w:t>
      </w:r>
      <w:r w:rsidDel="00000000" w:rsidR="00000000" w:rsidRPr="00000000">
        <w:rPr>
          <w:rFonts w:ascii="Georgia" w:cs="Georgia" w:eastAsia="Georgia" w:hAnsi="Georgia"/>
          <w:b w:val="0"/>
          <w:i w:val="0"/>
          <w:color w:val="373a3c"/>
          <w:highlight w:val="white"/>
          <w:rtl w:val="0"/>
        </w:rPr>
        <w:t xml:space="preserve">. Patti McCarthy.</w:t>
      </w:r>
      <w:r w:rsidDel="00000000" w:rsidR="00000000" w:rsidRPr="00000000">
        <w:rPr>
          <w:rFonts w:ascii="Georgia" w:cs="Georgia" w:eastAsia="Georgia" w:hAnsi="Georgia"/>
          <w:color w:val="373a3c"/>
          <w:highlight w:val="white"/>
          <w:rtl w:val="0"/>
        </w:rPr>
        <w:t xml:space="preserve"> </w:t>
      </w:r>
      <w:r w:rsidDel="00000000" w:rsidR="00000000" w:rsidRPr="00000000">
        <w:rPr>
          <w:rFonts w:ascii="Verdana" w:cs="Verdana" w:eastAsia="Verdana" w:hAnsi="Verdana"/>
          <w:color w:val="333333"/>
          <w:sz w:val="20"/>
          <w:szCs w:val="20"/>
          <w:highlight w:val="white"/>
          <w:rtl w:val="0"/>
        </w:rPr>
        <w:t xml:space="preserve">BookPOD.</w:t>
      </w:r>
      <w:r w:rsidDel="00000000" w:rsidR="00000000" w:rsidRPr="00000000">
        <w:rPr>
          <w:rtl w:val="0"/>
        </w:rPr>
      </w:r>
    </w:p>
    <w:p w:rsidR="00000000" w:rsidDel="00000000" w:rsidP="00000000" w:rsidRDefault="00000000" w:rsidRPr="00000000" w14:paraId="00000043">
      <w:pPr>
        <w:keepNext w:val="0"/>
        <w:keepLines w:val="0"/>
        <w:widowControl w:val="0"/>
        <w:pBdr>
          <w:top w:space="0" w:sz="0" w:val="nil"/>
          <w:left w:space="0" w:sz="0" w:val="nil"/>
          <w:bottom w:space="0" w:sz="0" w:val="nil"/>
          <w:right w:space="0" w:sz="0" w:val="nil"/>
          <w:between w:space="0" w:sz="0" w:val="nil"/>
        </w:pBdr>
        <w:shd w:fill="auto" w:val="clear"/>
        <w:spacing w:after="0" w:before="0" w:line="480" w:lineRule="auto"/>
        <w:ind w:left="600" w:right="0" w:hanging="600"/>
        <w:jc w:val="left"/>
        <w:rPr>
          <w:rFonts w:ascii="Georgia" w:cs="Georgia" w:eastAsia="Georgia" w:hAnsi="Georgia"/>
          <w:color w:val="373a3c"/>
          <w:highlight w:val="white"/>
        </w:rPr>
      </w:pPr>
      <w:r w:rsidDel="00000000" w:rsidR="00000000" w:rsidRPr="00000000">
        <w:rPr>
          <w:rFonts w:ascii="Georgia" w:cs="Georgia" w:eastAsia="Georgia" w:hAnsi="Georgia"/>
          <w:b w:val="0"/>
          <w:i w:val="0"/>
          <w:color w:val="373a3c"/>
          <w:highlight w:val="white"/>
          <w:rtl w:val="0"/>
        </w:rPr>
        <w:t xml:space="preserve">Morris, B., (1999). </w:t>
      </w:r>
      <w:r w:rsidDel="00000000" w:rsidR="00000000" w:rsidRPr="00000000">
        <w:rPr>
          <w:rFonts w:ascii="Georgia" w:cs="Georgia" w:eastAsia="Georgia" w:hAnsi="Georgia"/>
          <w:b w:val="0"/>
          <w:i w:val="1"/>
          <w:color w:val="373a3c"/>
          <w:highlight w:val="white"/>
          <w:rtl w:val="0"/>
        </w:rPr>
        <w:t xml:space="preserve">Anthropology of the self: the individual in cultural perspective</w:t>
      </w:r>
      <w:r w:rsidDel="00000000" w:rsidR="00000000" w:rsidRPr="00000000">
        <w:rPr>
          <w:rFonts w:ascii="Georgia" w:cs="Georgia" w:eastAsia="Georgia" w:hAnsi="Georgia"/>
          <w:b w:val="0"/>
          <w:i w:val="0"/>
          <w:color w:val="373a3c"/>
          <w:highlight w:val="white"/>
          <w:rtl w:val="0"/>
        </w:rPr>
        <w:t xml:space="preserve">. Pluto.</w:t>
      </w:r>
      <w:r w:rsidDel="00000000" w:rsidR="00000000" w:rsidRPr="00000000">
        <w:rPr>
          <w:rtl w:val="0"/>
        </w:rPr>
      </w:r>
    </w:p>
    <w:p w:rsidR="00000000" w:rsidDel="00000000" w:rsidP="00000000" w:rsidRDefault="00000000" w:rsidRPr="00000000" w14:paraId="00000044">
      <w:pPr>
        <w:spacing w:line="480" w:lineRule="auto"/>
        <w:ind w:left="0" w:firstLine="0"/>
        <w:rPr>
          <w:color w:val="333333"/>
          <w:sz w:val="21"/>
          <w:szCs w:val="21"/>
          <w:highlight w:val="white"/>
        </w:rPr>
      </w:pPr>
      <w:r w:rsidDel="00000000" w:rsidR="00000000" w:rsidRPr="00000000">
        <w:rPr>
          <w:color w:val="333333"/>
          <w:sz w:val="21"/>
          <w:szCs w:val="21"/>
          <w:highlight w:val="white"/>
          <w:rtl w:val="0"/>
        </w:rPr>
        <w:t xml:space="preserve">Nobles, W. W. (1991). African philosophy: Foundations for black psychology. In R. L. Jones (Ed.)</w:t>
      </w:r>
    </w:p>
    <w:p w:rsidR="00000000" w:rsidDel="00000000" w:rsidP="00000000" w:rsidRDefault="00000000" w:rsidRPr="00000000" w14:paraId="00000045">
      <w:pPr>
        <w:spacing w:line="480" w:lineRule="auto"/>
        <w:ind w:left="0" w:firstLine="0"/>
        <w:rPr>
          <w:rFonts w:ascii="Georgia" w:cs="Georgia" w:eastAsia="Georgia" w:hAnsi="Georgia"/>
          <w:color w:val="373a3c"/>
          <w:highlight w:val="white"/>
        </w:rPr>
      </w:pPr>
      <w:r w:rsidDel="00000000" w:rsidR="00000000" w:rsidRPr="00000000">
        <w:rPr>
          <w:color w:val="333333"/>
          <w:sz w:val="21"/>
          <w:szCs w:val="21"/>
          <w:highlight w:val="white"/>
          <w:rtl w:val="0"/>
        </w:rPr>
        <w:t xml:space="preserve">            </w:t>
      </w:r>
      <w:r w:rsidDel="00000000" w:rsidR="00000000" w:rsidRPr="00000000">
        <w:rPr>
          <w:i w:val="1"/>
          <w:color w:val="333333"/>
          <w:sz w:val="21"/>
          <w:szCs w:val="21"/>
          <w:highlight w:val="white"/>
          <w:rtl w:val="0"/>
        </w:rPr>
        <w:t xml:space="preserve">Black psychology</w:t>
      </w:r>
      <w:r w:rsidDel="00000000" w:rsidR="00000000" w:rsidRPr="00000000">
        <w:rPr>
          <w:color w:val="333333"/>
          <w:sz w:val="21"/>
          <w:szCs w:val="21"/>
          <w:highlight w:val="white"/>
          <w:rtl w:val="0"/>
        </w:rPr>
        <w:t xml:space="preserve"> (pp. 47-63). Berkeley, CA, US: Cobb &amp; Henry Publishers.</w:t>
        <w:br w:type="textWrapping"/>
      </w:r>
      <w:r w:rsidDel="00000000" w:rsidR="00000000" w:rsidRPr="00000000">
        <w:rPr>
          <w:rFonts w:ascii="Georgia" w:cs="Georgia" w:eastAsia="Georgia" w:hAnsi="Georgia"/>
          <w:color w:val="373a3c"/>
          <w:highlight w:val="white"/>
          <w:rtl w:val="0"/>
        </w:rPr>
        <w:t xml:space="preserve">Pimm S. L. (2014). The Biodiversity of Species and their Rates of Extinction, Distribution, </w:t>
      </w:r>
    </w:p>
    <w:p w:rsidR="00000000" w:rsidDel="00000000" w:rsidP="00000000" w:rsidRDefault="00000000" w:rsidRPr="00000000" w14:paraId="00000046">
      <w:pPr>
        <w:spacing w:line="480" w:lineRule="auto"/>
        <w:ind w:left="0" w:firstLine="0"/>
        <w:rPr>
          <w:color w:val="333333"/>
          <w:sz w:val="21"/>
          <w:szCs w:val="21"/>
          <w:highlight w:val="white"/>
        </w:rPr>
      </w:pPr>
      <w:r w:rsidDel="00000000" w:rsidR="00000000" w:rsidRPr="00000000">
        <w:rPr>
          <w:rFonts w:ascii="Georgia" w:cs="Georgia" w:eastAsia="Georgia" w:hAnsi="Georgia"/>
          <w:color w:val="373a3c"/>
          <w:highlight w:val="white"/>
          <w:rtl w:val="0"/>
        </w:rPr>
        <w:t xml:space="preserve">           and Protection. </w:t>
      </w:r>
      <w:r w:rsidDel="00000000" w:rsidR="00000000" w:rsidRPr="00000000">
        <w:rPr>
          <w:rFonts w:ascii="Georgia" w:cs="Georgia" w:eastAsia="Georgia" w:hAnsi="Georgia"/>
          <w:i w:val="1"/>
          <w:color w:val="373a3c"/>
          <w:highlight w:val="white"/>
          <w:rtl w:val="0"/>
        </w:rPr>
        <w:t xml:space="preserve">Science</w:t>
      </w:r>
      <w:r w:rsidDel="00000000" w:rsidR="00000000" w:rsidRPr="00000000">
        <w:rPr>
          <w:rFonts w:ascii="Georgia" w:cs="Georgia" w:eastAsia="Georgia" w:hAnsi="Georgia"/>
          <w:color w:val="373a3c"/>
          <w:highlight w:val="white"/>
          <w:rtl w:val="0"/>
        </w:rPr>
        <w:t xml:space="preserve"> 344. DOI:10.1126/science.1246752. </w:t>
      </w:r>
      <w:r w:rsidDel="00000000" w:rsidR="00000000" w:rsidRPr="00000000">
        <w:rPr>
          <w:rtl w:val="0"/>
        </w:rPr>
      </w:r>
    </w:p>
    <w:p w:rsidR="00000000" w:rsidDel="00000000" w:rsidP="00000000" w:rsidRDefault="00000000" w:rsidRPr="00000000" w14:paraId="00000047">
      <w:pPr>
        <w:keepNext w:val="0"/>
        <w:keepLines w:val="0"/>
        <w:widowControl w:val="0"/>
        <w:pBdr>
          <w:top w:space="0" w:sz="0" w:val="nil"/>
          <w:left w:space="0" w:sz="0" w:val="nil"/>
          <w:bottom w:space="0" w:sz="0" w:val="nil"/>
          <w:right w:space="0" w:sz="0" w:val="nil"/>
          <w:between w:space="0" w:sz="0" w:val="nil"/>
        </w:pBdr>
        <w:shd w:fill="auto" w:val="clear"/>
        <w:spacing w:after="0" w:before="0" w:line="480" w:lineRule="auto"/>
        <w:ind w:left="600" w:right="0" w:hanging="600"/>
        <w:jc w:val="left"/>
        <w:rPr>
          <w:rFonts w:ascii="Georgia" w:cs="Georgia" w:eastAsia="Georgia" w:hAnsi="Georgia"/>
          <w:color w:val="373a3c"/>
          <w:highlight w:val="white"/>
        </w:rPr>
      </w:pPr>
      <w:r w:rsidDel="00000000" w:rsidR="00000000" w:rsidRPr="00000000">
        <w:rPr>
          <w:rFonts w:ascii="Georgia" w:cs="Georgia" w:eastAsia="Georgia" w:hAnsi="Georgia"/>
          <w:b w:val="0"/>
          <w:i w:val="0"/>
          <w:color w:val="373a3c"/>
          <w:highlight w:val="white"/>
          <w:rtl w:val="0"/>
        </w:rPr>
        <w:t xml:space="preserve">Venkatesan, S., Candea, M., Jensen, C.B., Pedersen, M.A., Leach, J., and Evans, G., (2012.) The task of anthropology is to invent relations: 2010 meeting of the Group for Debates in Anthropological Theory. </w:t>
      </w:r>
      <w:r w:rsidDel="00000000" w:rsidR="00000000" w:rsidRPr="00000000">
        <w:rPr>
          <w:rFonts w:ascii="Georgia" w:cs="Georgia" w:eastAsia="Georgia" w:hAnsi="Georgia"/>
          <w:b w:val="0"/>
          <w:i w:val="1"/>
          <w:color w:val="373a3c"/>
          <w:highlight w:val="white"/>
          <w:rtl w:val="0"/>
        </w:rPr>
        <w:t xml:space="preserve">Critique of Anthropology</w:t>
      </w:r>
      <w:r w:rsidDel="00000000" w:rsidR="00000000" w:rsidRPr="00000000">
        <w:rPr>
          <w:rFonts w:ascii="Georgia" w:cs="Georgia" w:eastAsia="Georgia" w:hAnsi="Georgia"/>
          <w:b w:val="0"/>
          <w:i w:val="0"/>
          <w:color w:val="373a3c"/>
          <w:highlight w:val="white"/>
          <w:rtl w:val="0"/>
        </w:rPr>
        <w:t xml:space="preserve">, 32 (1), 43–47.</w:t>
      </w:r>
      <w:r w:rsidDel="00000000" w:rsidR="00000000" w:rsidRPr="00000000">
        <w:rPr>
          <w:rtl w:val="0"/>
        </w:rPr>
      </w:r>
    </w:p>
    <w:p w:rsidR="00000000" w:rsidDel="00000000" w:rsidP="00000000" w:rsidRDefault="00000000" w:rsidRPr="00000000" w14:paraId="00000048">
      <w:pPr>
        <w:keepNext w:val="0"/>
        <w:keepLines w:val="0"/>
        <w:widowControl w:val="0"/>
        <w:pBdr>
          <w:top w:space="0" w:sz="0" w:val="nil"/>
          <w:left w:space="0" w:sz="0" w:val="nil"/>
          <w:bottom w:space="0" w:sz="0" w:val="nil"/>
          <w:right w:space="0" w:sz="0" w:val="nil"/>
          <w:between w:space="0" w:sz="0" w:val="nil"/>
        </w:pBdr>
        <w:shd w:fill="auto" w:val="clear"/>
        <w:spacing w:after="0" w:before="0" w:line="480" w:lineRule="auto"/>
        <w:ind w:left="600" w:right="0" w:hanging="600"/>
        <w:jc w:val="left"/>
        <w:rPr>
          <w:rFonts w:ascii="Georgia" w:cs="Georgia" w:eastAsia="Georgia" w:hAnsi="Georgia"/>
          <w:b w:val="0"/>
          <w:i w:val="0"/>
          <w:color w:val="373a3c"/>
          <w:highlight w:val="white"/>
        </w:rPr>
      </w:pPr>
      <w:r w:rsidDel="00000000" w:rsidR="00000000" w:rsidRPr="00000000">
        <w:rPr>
          <w:rFonts w:ascii="Georgia" w:cs="Georgia" w:eastAsia="Georgia" w:hAnsi="Georgia"/>
          <w:b w:val="0"/>
          <w:i w:val="0"/>
          <w:color w:val="373a3c"/>
          <w:highlight w:val="white"/>
          <w:rtl w:val="0"/>
        </w:rPr>
        <w:t xml:space="preserve">Weiner, J. and Morphy, H., (1994). </w:t>
      </w:r>
      <w:r w:rsidDel="00000000" w:rsidR="00000000" w:rsidRPr="00000000">
        <w:rPr>
          <w:rFonts w:ascii="Georgia" w:cs="Georgia" w:eastAsia="Georgia" w:hAnsi="Georgia"/>
          <w:b w:val="0"/>
          <w:i w:val="1"/>
          <w:color w:val="373a3c"/>
          <w:highlight w:val="white"/>
          <w:rtl w:val="0"/>
        </w:rPr>
        <w:t xml:space="preserve">Aesthetics is a cross-cultural category: a debate held in the Muriel Stott Centre, John Rylands University Library of Manchester, on 30th October 1993</w:t>
      </w:r>
      <w:r w:rsidDel="00000000" w:rsidR="00000000" w:rsidRPr="00000000">
        <w:rPr>
          <w:rFonts w:ascii="Georgia" w:cs="Georgia" w:eastAsia="Georgia" w:hAnsi="Georgia"/>
          <w:b w:val="0"/>
          <w:i w:val="0"/>
          <w:color w:val="373a3c"/>
          <w:highlight w:val="white"/>
          <w:rtl w:val="0"/>
        </w:rPr>
        <w:t xml:space="preserve">. Group for Debates in Anthropological Theory, Dept. of Social Anthropology, University of Manchester.</w:t>
      </w:r>
    </w:p>
    <w:p w:rsidR="00000000" w:rsidDel="00000000" w:rsidP="00000000" w:rsidRDefault="00000000" w:rsidRPr="00000000" w14:paraId="00000049">
      <w:pPr>
        <w:keepNext w:val="0"/>
        <w:keepLines w:val="0"/>
        <w:widowControl w:val="0"/>
        <w:pBdr>
          <w:top w:space="0" w:sz="0" w:val="nil"/>
          <w:left w:space="0" w:sz="0" w:val="nil"/>
          <w:bottom w:space="0" w:sz="0" w:val="nil"/>
          <w:right w:space="0" w:sz="0" w:val="nil"/>
          <w:between w:space="0" w:sz="0" w:val="nil"/>
        </w:pBdr>
        <w:shd w:fill="auto" w:val="clear"/>
        <w:spacing w:after="0" w:before="0" w:line="480" w:lineRule="auto"/>
        <w:ind w:left="600" w:right="0" w:hanging="600"/>
        <w:jc w:val="left"/>
        <w:rPr>
          <w:rFonts w:ascii="Georgia" w:cs="Georgia" w:eastAsia="Georgia" w:hAnsi="Georgia"/>
          <w:color w:val="373a3c"/>
          <w:highlight w:val="white"/>
        </w:rPr>
      </w:pPr>
      <w:r w:rsidDel="00000000" w:rsidR="00000000" w:rsidRPr="00000000">
        <w:rPr>
          <w:color w:val="222222"/>
          <w:sz w:val="20"/>
          <w:szCs w:val="20"/>
          <w:highlight w:val="white"/>
          <w:rtl w:val="0"/>
        </w:rPr>
        <w:t xml:space="preserve">Yusoff, K. (2018). </w:t>
      </w:r>
      <w:r w:rsidDel="00000000" w:rsidR="00000000" w:rsidRPr="00000000">
        <w:rPr>
          <w:i w:val="1"/>
          <w:color w:val="222222"/>
          <w:sz w:val="20"/>
          <w:szCs w:val="20"/>
          <w:highlight w:val="white"/>
          <w:rtl w:val="0"/>
        </w:rPr>
        <w:t xml:space="preserve">A billion black Anthropocenes or none</w:t>
      </w:r>
      <w:r w:rsidDel="00000000" w:rsidR="00000000" w:rsidRPr="00000000">
        <w:rPr>
          <w:color w:val="222222"/>
          <w:sz w:val="20"/>
          <w:szCs w:val="20"/>
          <w:highlight w:val="white"/>
          <w:rtl w:val="0"/>
        </w:rPr>
        <w:t xml:space="preserve">. University of Minnesota Press.</w:t>
      </w:r>
      <w:r w:rsidDel="00000000" w:rsidR="00000000" w:rsidRPr="00000000">
        <w:rPr>
          <w:rtl w:val="0"/>
        </w:rPr>
      </w:r>
    </w:p>
    <w:sectPr>
      <w:headerReference r:id="rId7" w:type="default"/>
      <w:footerReference r:id="rId8" w:type="default"/>
      <w:pgSz w:h="15840" w:w="12240"/>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Georgia"/>
  <w:font w:name="Verdana"/>
  <w:font w:name="Cardo">
    <w:embedRegular w:fontKey="{00000000-0000-0000-0000-000000000000}" r:id="rId1" w:subsetted="0"/>
    <w:embedBold w:fontKey="{00000000-0000-0000-0000-000000000000}" r:id="rId2" w:subsetted="0"/>
    <w:embedItalic w:fontKey="{00000000-0000-0000-0000-000000000000}" r:id="rId3" w:subsetted="0"/>
  </w:font>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4A">
    <w:pPr>
      <w:jc w:val="center"/>
      <w:rPr/>
    </w:pPr>
    <w:r w:rsidDel="00000000" w:rsidR="00000000" w:rsidRPr="00000000">
      <w:rPr/>
      <w:fldChar w:fldCharType="begin"/>
      <w:instrText xml:space="preserve">PAGE</w:instrText>
      <w:fldChar w:fldCharType="separate"/>
      <w:fldChar w:fldCharType="end"/>
    </w: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4B">
    <w:pPr>
      <w:rPr/>
    </w:pPr>
    <w:r w:rsidDel="00000000" w:rsidR="00000000" w:rsidRPr="00000000">
      <w:rPr>
        <w:rtl w:val="0"/>
      </w:rPr>
      <w:t xml:space="preserve">1401580</w:t>
    </w:r>
  </w:p>
  <w:p w:rsidR="00000000" w:rsidDel="00000000" w:rsidP="00000000" w:rsidRDefault="00000000" w:rsidRPr="00000000" w14:paraId="0000004C">
    <w:pPr>
      <w:rPr/>
    </w:pPr>
    <w:r w:rsidDel="00000000" w:rsidR="00000000" w:rsidRPr="00000000">
      <w:rPr>
        <w:rtl w:val="0"/>
      </w:rPr>
      <w:t xml:space="preserve">AHAN7012 Key Debates Anthropology</w:t>
    </w:r>
  </w:p>
  <w:p w:rsidR="00000000" w:rsidDel="00000000" w:rsidP="00000000" w:rsidRDefault="00000000" w:rsidRPr="00000000" w14:paraId="0000004D">
    <w:pPr>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4"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hyperlink" Target="https://www.amazon.co.uk/Patti-McCarthy/e/B01JYMXTWA/ref=dp_byline_cont_book_1" TargetMode="External"/><Relationship Id="rId7" Type="http://schemas.openxmlformats.org/officeDocument/2006/relationships/header" Target="header1.xml"/><Relationship Id="rId8" Type="http://schemas.openxmlformats.org/officeDocument/2006/relationships/footer" Target="footer1.xml"/></Relationships>
</file>

<file path=word/_rels/fontTable.xml.rels><?xml version="1.0" encoding="UTF-8" standalone="yes"?><Relationships xmlns="http://schemas.openxmlformats.org/package/2006/relationships"><Relationship Id="rId1" Type="http://schemas.openxmlformats.org/officeDocument/2006/relationships/font" Target="fonts/Cardo-regular.ttf"/><Relationship Id="rId2" Type="http://schemas.openxmlformats.org/officeDocument/2006/relationships/font" Target="fonts/Cardo-bold.ttf"/><Relationship Id="rId3" Type="http://schemas.openxmlformats.org/officeDocument/2006/relationships/font" Target="fonts/Cardo-italic.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