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423EB8" w14:textId="04E3D7D7" w:rsidR="00266CF3" w:rsidRPr="00D56CCA" w:rsidRDefault="00D56CCA" w:rsidP="002A67F3">
      <w:pPr>
        <w:spacing w:line="360" w:lineRule="auto"/>
        <w:jc w:val="both"/>
        <w:rPr>
          <w:rFonts w:ascii="Arial" w:eastAsia="Arial" w:hAnsi="Arial" w:cs="Arial"/>
          <w:sz w:val="24"/>
          <w:szCs w:val="24"/>
          <w:lang w:val="en-GB"/>
        </w:rPr>
      </w:pPr>
      <w:r w:rsidRPr="00D56CCA">
        <w:rPr>
          <w:rFonts w:ascii="Arial" w:eastAsia="Arial" w:hAnsi="Arial" w:cs="Arial"/>
          <w:sz w:val="24"/>
          <w:szCs w:val="24"/>
          <w:u w:val="single"/>
        </w:rPr>
        <w:t>An Analysis of Storytelling's Role in Language Acquisition</w:t>
      </w:r>
    </w:p>
    <w:p w14:paraId="409F58A8" w14:textId="3A74D94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Research indicates that a significant number of children are starting school with underdeveloped language and literacy skills. In 2018, The Guardian reported that 28% of four- to five-year-olds failed to meet expected communication levels, with poor vocabulary at age five linked to future disadvantages (Crerar, 2018). More recently, the National Literacy Trust (2024) found that 31% of five-year-olds, particularly those from disadvantaged backgrounds, lack key language skills. These findings emphasise the need for early targeted interventions that support oracy, speech, and language development (British Council, 2023; National Literacy Trust, No Date).</w:t>
      </w:r>
    </w:p>
    <w:p w14:paraId="24F3CE53" w14:textId="6F6CC2A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Storytelling, both oral and digital, provides an effective medium for fostering early language acquisition (Ghafar, 2024). It introduces children to new vocabulary and linguistic structures that they may not encounter in daily conversation (Book Trust, 2024). Additionally, Nishioka (2016) and Satriani (2019) emphasise that hearing stories read aloud allows children to access new words, enhancing their communication abilities and supporting cognitive development. Furthermore, the Welsh Government's (2022) Digital Competency Framework (DCF) supports the integration of digital storytelling to enhance children's digital literacy skills alongside their traditional language development.</w:t>
      </w:r>
    </w:p>
    <w:p w14:paraId="66C13BB4" w14:textId="7CA5604F"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This analysis will explore two stories: Colour Monsters by Anna Llenas (2016), which was presented as a traditional storytelling activity, and Ruby’s Worry by Tom Percival (2018) (World Book Day, 2022), delivered as a digital storytelling experience. By comparing these two formats, this analysis will examine how each contributes to language acquisition, oracy, and digital literacy in young children within the early years.</w:t>
      </w:r>
    </w:p>
    <w:p w14:paraId="1E1C648D" w14:textId="41EA0F9C"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Props and sensory engagement: </w:t>
      </w:r>
    </w:p>
    <w:p w14:paraId="41A11B9F" w14:textId="07FC7F1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the Colour Monsters storytelling activity, the storyteller used character teddies to represent different emotions, encouraging children to identify colours and name emotions. This hands-on interaction allowed children to link physical sensations with narrative elements, enhancing both sensory engagement and comprehension. 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found that shared reading activities with interactive components significantly improved vocabulary and comprehension skills, particularly for children from </w:t>
      </w:r>
      <w:r w:rsidRPr="00D56CCA">
        <w:rPr>
          <w:rFonts w:ascii="Arial" w:eastAsia="Arial" w:hAnsi="Arial" w:cs="Arial"/>
          <w:sz w:val="24"/>
          <w:szCs w:val="24"/>
          <w:lang w:val="en-GB"/>
        </w:rPr>
        <w:lastRenderedPageBreak/>
        <w:t>disadvantaged backgrounds. This evidence suggests that props within storytelling not only engage children but also offer tangible ways to build foundational language skills and boost cognitive connections.</w:t>
      </w:r>
    </w:p>
    <w:p w14:paraId="04364CC8" w14:textId="7B29A71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Piaget’s (1964) developmental theory advocates for using props, as young children learn best through interactive, hands-on experiences suited to their developmental stages, further reinforcing how sensory props can directly nurture and facilitate language acquisition. Lysaker (2018) further supports this with the concept of “body reading,” which highlights how physically engaging with story elements aids comprehension and emotional understanding. Action for Children (2022) emphasises that sensory play aids language development, social skills, and emotional regulation, which is particularly beneficial in stories about emotions, like Colour Monsters and Ruby’s Worry, where sensory props can have a calming effect on anxious or angry feelings.</w:t>
      </w:r>
    </w:p>
    <w:p w14:paraId="322C36C0" w14:textId="77777777"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 Department for Education (DfE, 2024) also emphasises the importance of props and sensory experiences in early language acquisition. Engaging children with hands-on activities like touching or handling objects helps retain vocabulary by placing it in meaningful contexts, creating a language-rich environment with stories, songs, and interactive activities.</w:t>
      </w:r>
    </w:p>
    <w:p w14:paraId="78428538" w14:textId="220D8164"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However, Coughlin (2023, pp. 227-247) advises caution with props, noting that overuse may detract from the narrative focus. To avoid cognitive overload, where children may struggle to absorb excessive sensory information, this aligned well with how the Storyteller utilised one prop at a time during the Colour Monsters session. Stajkovic</w:t>
      </w:r>
      <w:r w:rsidRPr="00D56CCA">
        <w:rPr>
          <w:rFonts w:ascii="Arial" w:eastAsia="Arial" w:hAnsi="Arial" w:cs="Arial"/>
          <w:sz w:val="24"/>
          <w:szCs w:val="24"/>
          <w:lang w:val="en-GB"/>
        </w:rPr>
        <w:t xml:space="preserve"> and Stajkovic</w:t>
      </w:r>
      <w:r w:rsidRPr="00D56CCA">
        <w:rPr>
          <w:rFonts w:ascii="Arial" w:eastAsia="Arial" w:hAnsi="Arial" w:cs="Arial"/>
          <w:sz w:val="24"/>
          <w:szCs w:val="24"/>
          <w:lang w:val="en-GB"/>
        </w:rPr>
        <w:t xml:space="preserve"> (2024) and Sweller’s (1988) cognitive load theory recommend balancing prop use with narrative simplicity, keeping things simple such as the careful selection of props helps maintains engagement. This supports retention and comprehension, especially in early years, aligning with Theirworld (2018) insights on cognitive development in young children.</w:t>
      </w:r>
    </w:p>
    <w:p w14:paraId="61C31243" w14:textId="19AD2267"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Cressida Cowell (Book Trust, 2020), former Children’s Laureate, underlines reading aloud’s role in fostering emotional connections, helping children process feelings and find comfort in stories. This emotional engagement is particularly impactful when props are used mindfully, enhancing the story’s effect rather than overshadowing it.</w:t>
      </w:r>
    </w:p>
    <w:p w14:paraId="0CE649EE" w14:textId="6767F19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In addition to enhancing oracy by prompting verbal interactions, the use of props supports language and emotional development (Dickinson &amp; Morse, 2019). This traditional sensory engagement lays a foundation for multimodal literacy, defined as the ability to interpret and communicate through various forms beyond text, such as visuals, gestures, sounds, and movement (Theodotou, 2024). This concept extends into digital contexts, aiding children in interpreting narratives through diverse sensory experiences.</w:t>
      </w:r>
    </w:p>
    <w:p w14:paraId="44F7465A" w14:textId="106E02A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Expanding on Piaget’s (1964) assertion that sensory experiences are fundamental to cognitive development, Only About Children (2024) reveals that sensory play, engaging touch, sound, sight, and movement, fosters neural connections essential for cognitive skills and spatial awareness. Through hands-on engagement, children learn concepts such as colour, shape, and emotion, deepening their vocabulary and comprehension of narrative elements. Gascoyne (2018) also highlights “messy play” in her exploration, noting that sensory qualities encourage problem-solving, creativity, and self-regulation. By incorporating sensory elements like props, storytelling activities offer a rich, multimodal foundation for language acquisition and cognitive development.</w:t>
      </w:r>
    </w:p>
    <w:p w14:paraId="4AA994AF" w14:textId="4B65B92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Tone of Voice, Intonation and Expression</w:t>
      </w:r>
      <w:r w:rsidR="00D56CCA">
        <w:rPr>
          <w:rFonts w:ascii="Arial" w:eastAsia="Arial" w:hAnsi="Arial" w:cs="Arial"/>
          <w:sz w:val="24"/>
          <w:szCs w:val="24"/>
          <w:lang w:val="en-GB"/>
        </w:rPr>
        <w:t>:</w:t>
      </w:r>
    </w:p>
    <w:p w14:paraId="028F8EED" w14:textId="2F19D9EF"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the Ruby’s Worry storytelling session, the storyteller used varied intonation, facial expressions, and questioning techniques to convey emotions, effectively guiding children’s attention to narrative shifts. By adjusting tone to reflect Ruby’s anxious feelings such as using a softer voice to emphasise her vulnerability, the storyteller encouraged empathy and verbal participation among children. As an example, using pauses or slower pacing allows the children in the </w:t>
      </w:r>
      <w:r w:rsidR="00D56CCA" w:rsidRPr="00D56CCA">
        <w:rPr>
          <w:rFonts w:ascii="Arial" w:eastAsia="Arial" w:hAnsi="Arial" w:cs="Arial"/>
          <w:sz w:val="24"/>
          <w:szCs w:val="24"/>
          <w:lang w:val="en-GB"/>
        </w:rPr>
        <w:t>storytellers’</w:t>
      </w:r>
      <w:r w:rsidRPr="00D56CCA">
        <w:rPr>
          <w:rFonts w:ascii="Arial" w:eastAsia="Arial" w:hAnsi="Arial" w:cs="Arial"/>
          <w:sz w:val="24"/>
          <w:szCs w:val="24"/>
          <w:lang w:val="en-GB"/>
        </w:rPr>
        <w:t xml:space="preserve"> case opportunity to explore the emotional weight for those who may be more emotionally literate.</w:t>
      </w:r>
    </w:p>
    <w:p w14:paraId="130FE115" w14:textId="28CCF64A"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support this approach, finding that expressive read-aloud practices promote vocabulary acquisition and comprehension, underscoring the role of interactive and varied intonation in fostering both cognitive development and socio-emotional engagement. This aligns with Bruner’s (1991) narrative theory, which suggests that expressive storytelling enhances comprehension by emotionally engaging listeners. Similarly, Dickinson and Morse (2019) found that expressive reading, with varied tones </w:t>
      </w:r>
      <w:r w:rsidRPr="00D56CCA">
        <w:rPr>
          <w:rFonts w:ascii="Arial" w:eastAsia="Arial" w:hAnsi="Arial" w:cs="Arial"/>
          <w:sz w:val="24"/>
          <w:szCs w:val="24"/>
          <w:lang w:val="en-GB"/>
        </w:rPr>
        <w:lastRenderedPageBreak/>
        <w:t>and expressions, prompts children’s emotional and verbal responses, advancing oracy and social language development.</w:t>
      </w:r>
    </w:p>
    <w:p w14:paraId="59E5383F" w14:textId="3C1FBE1B"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Stinton (2018) highlights the role of expressive language in supporting early speech and communication skills, emphasising that a balanced mix of questioning and commentary fosters a language-rich environment. The storyteller’s questions, such as “What do you think will happen next?” encouraged children to predict and reflect, developing both their empathy and comprehension. This technique not only enhances language skills but also creates a responsive setting that supports children’s socio-emotional growth through engagement with characters’ emotions.</w:t>
      </w:r>
    </w:p>
    <w:p w14:paraId="5A4C1732" w14:textId="78DC7274"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Jewson and Skinner (2023) further emphasise the importance of non-verbal cues, such as tone and expression, in helping children interpret emotions, making these techniques essential for promoting emotional literacy. By using phrases like, “I wonder what happens next?” and “Why might Ruby feel this way?”, the storyteller encouraged active engagement, inviting children to connect with the narrative on an emotional level. This strategy supports children’s social skills by fostering empathy and encouraging them to interpret and respond to complex emotions in a safe, guided environment. Additionally, Jewitt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(2022) discusses the role of multimodal cues in early literacy, reinforcing Kucirkova’s (2018) findings on digital storytelling, where expressive cues—such as animations and sound—support children’s transition between traditional and digital contexts.</w:t>
      </w:r>
    </w:p>
    <w:p w14:paraId="342B48AA" w14:textId="3B06399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However, research suggests that exaggerated intonation can sometimes confuse younger children. Westlund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(2017) cautions that overly expressive tones may lead to misinterpretation, underscoring the need for moderation to maintain clarity, and engagement. Additionally, Stajkovic</w:t>
      </w:r>
      <w:r w:rsidRPr="00D56CCA">
        <w:rPr>
          <w:rFonts w:ascii="Arial" w:eastAsia="Arial" w:hAnsi="Arial" w:cs="Arial"/>
          <w:sz w:val="24"/>
          <w:szCs w:val="24"/>
          <w:lang w:val="en-GB"/>
        </w:rPr>
        <w:t xml:space="preserve"> and Stajkovic</w:t>
      </w:r>
      <w:r w:rsidRPr="00D56CCA">
        <w:rPr>
          <w:rFonts w:ascii="Arial" w:eastAsia="Arial" w:hAnsi="Arial" w:cs="Arial"/>
          <w:sz w:val="24"/>
          <w:szCs w:val="24"/>
          <w:lang w:val="en-GB"/>
        </w:rPr>
        <w:t xml:space="preserve"> (2024) warns against cognitive overload, which can occur when attentional demands exceed capacity, suggesting that balanced expressiveness in early years settings is crucial for effective comprehension.</w:t>
      </w:r>
    </w:p>
    <w:p w14:paraId="4718B5B3" w14:textId="75032155"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In line with Burnett and Merchant (2015), integrating expressive storytelling and digital formats encourages socio-emotional learning, as children learn to interpret and respond to complex emotions across media.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(2019) further highlights that digital storytelling enables students to engage deeply with personal narratives, bridging personal </w:t>
      </w:r>
      <w:r w:rsidRPr="00D56CCA">
        <w:rPr>
          <w:rFonts w:ascii="Arial" w:eastAsia="Arial" w:hAnsi="Arial" w:cs="Arial"/>
          <w:sz w:val="24"/>
          <w:szCs w:val="24"/>
          <w:lang w:val="en-GB"/>
        </w:rPr>
        <w:lastRenderedPageBreak/>
        <w:t xml:space="preserve">and social spheres to foster empathy and emotional awareness. By inviting children to connect with characters through narrative and multimedia elements, the storyteller’s varied tone and intonation support emotional engagement, aligning with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.'s insights on empathy development within digital storytelling contexts. This approach also supports the Digital Competency Framework (Welsh Government, 2022), which highlights the importance of understanding tone, pace, and visual cues in a technology-driven landscape.</w:t>
      </w:r>
    </w:p>
    <w:p w14:paraId="75BC7F9D" w14:textId="187D4831"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Traditional vs Digital Storytelling</w:t>
      </w:r>
      <w:r w:rsidR="00D56CCA">
        <w:rPr>
          <w:rFonts w:ascii="Arial" w:eastAsia="Arial" w:hAnsi="Arial" w:cs="Arial"/>
          <w:sz w:val="24"/>
          <w:szCs w:val="24"/>
          <w:lang w:val="en-GB"/>
        </w:rPr>
        <w:t>:</w:t>
      </w:r>
    </w:p>
    <w:p w14:paraId="3C6A5777" w14:textId="2CF94419"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Multimodal literacy, defined as the ability to interpret and communicate through various modes beyond text, including visuals, gestures, sounds, and movement, is essential in early childhood, where children often express meaning non-verbally (Theodotou, 2024). This concept underpins both traditional and digital storytelling, as each method uses distinct sensory elements to engage children, facilitate comprehension, and develop literacy skills across diverse modes of expression.</w:t>
      </w:r>
    </w:p>
    <w:p w14:paraId="5A592F35" w14:textId="02EEC0E6"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Burnett and Merchant (2015) highlight that blending traditional and digital literacy requires careful balance, as educators must navigate the diverse demands of both sensory engagement and digital interaction in ways that enhance rather than hinder comprehension.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w:t>
      </w:r>
      <w:r w:rsidRPr="00D56CCA">
        <w:rPr>
          <w:rFonts w:ascii="Arial" w:eastAsia="Arial" w:hAnsi="Arial" w:cs="Arial"/>
          <w:sz w:val="24"/>
          <w:szCs w:val="24"/>
          <w:lang w:val="en-GB"/>
        </w:rPr>
        <w:t xml:space="preserve">2019) further </w:t>
      </w:r>
      <w:r w:rsidR="00D56CCA" w:rsidRPr="00D56CCA">
        <w:rPr>
          <w:rFonts w:ascii="Arial" w:eastAsia="Arial" w:hAnsi="Arial" w:cs="Arial"/>
          <w:sz w:val="24"/>
          <w:szCs w:val="24"/>
          <w:lang w:val="en-GB"/>
        </w:rPr>
        <w:t>illustrates</w:t>
      </w:r>
      <w:r w:rsidRPr="00D56CCA">
        <w:rPr>
          <w:rFonts w:ascii="Arial" w:eastAsia="Arial" w:hAnsi="Arial" w:cs="Arial"/>
          <w:sz w:val="24"/>
          <w:szCs w:val="24"/>
          <w:lang w:val="en-GB"/>
        </w:rPr>
        <w:t xml:space="preserve"> that digital storytelling not only engages young learners but also reinforces traditional literacy by embedding narrative structure, vocabulary, and expressive elements into a digital format. Their findings align with the Digital Competency Framework’s emphasis on multimedia navigation and interpretation, fostering these skills within an accessible digital medium.</w:t>
      </w:r>
    </w:p>
    <w:p w14:paraId="60B56DAC" w14:textId="7E2A5EE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In the Colour Monsters storytelling activity, the storyteller turned the pages for the children to maintain structured pacing and focus. This approach supports Montessori’s emphasis on intentional pacing, as it allows children to absorb content at a manageable speed, aligning with their sensitive learning periods (Montessori Parenting, 2024). In future storytelling sessions, the storyteller could allow children to turn pages themselves when</w:t>
      </w:r>
      <w:r w:rsidRPr="00D56CCA">
        <w:rPr>
          <w:rFonts w:ascii="Arial" w:eastAsia="Arial" w:hAnsi="Arial" w:cs="Arial"/>
          <w:sz w:val="24"/>
          <w:szCs w:val="24"/>
          <w:lang w:val="en-GB"/>
        </w:rPr>
        <w:t xml:space="preserve"> </w:t>
      </w:r>
      <w:r w:rsidRPr="00D56CCA">
        <w:rPr>
          <w:rFonts w:ascii="Arial" w:eastAsia="Arial" w:hAnsi="Arial" w:cs="Arial"/>
          <w:sz w:val="24"/>
          <w:szCs w:val="24"/>
          <w:lang w:val="en-GB"/>
        </w:rPr>
        <w:t xml:space="preserve">possible, encouraging physical interaction with the book, which Clay’s (1991) emergent literacy theory suggests enhances children’s understanding of text structure and </w:t>
      </w:r>
      <w:r w:rsidRPr="00D56CCA">
        <w:rPr>
          <w:rFonts w:ascii="Arial" w:eastAsia="Arial" w:hAnsi="Arial" w:cs="Arial"/>
          <w:sz w:val="24"/>
          <w:szCs w:val="24"/>
          <w:lang w:val="en-GB"/>
        </w:rPr>
        <w:lastRenderedPageBreak/>
        <w:t>sequence. Book Trust (2024) further notes that physically engaging with books aids fine motor skills and sensory awareness, foundational skills for early literacy.</w:t>
      </w:r>
    </w:p>
    <w:p w14:paraId="6B02E653" w14:textId="5EE4EA1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For Ruby’s Worry, animations guided children through the story, engaging them through visual and auditory elements unique to digital storytelling. This approach allowed the storyteller to highlight specific narrative elements and capture attention, aligning with the Handbook on Digital Literacies (2020), which emphasises the role of multimodal formats in building digital literacy through integrated text, images, and sound. Kucirkova (2018) suggests that multimodal storytelling supports emotional and cognitive engagement, and research by Verhallen and Bus (2010) found that children exposed to digital books with moving images learned vocabulary more effectively than those who read static-image versions.</w:t>
      </w:r>
    </w:p>
    <w:p w14:paraId="7B5AAE41" w14:textId="7DE1EA42"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While digital storytelling engages multiple senses, it may limit tactile interaction, a key component of sensory learning in young children. Research by Dickinson and Morse (2019) suggests that a lack of tactile engagement can impact attention and retention, as physical interaction with narratives supports sensory learning and comprehension. Therefore, combining both formats provides a comprehensive literacy experience, enabling children to benefit from structured physical interactions and engaging multimedia elements. The storyteller could consider incorporating more tangible elements, even in digital storytelling settings, to better provide a balanced sensory experience in the future. Burnett and Merchant (2015) argue that successful integration of both digital and traditional formats can enable educators to leverage each method’s strengths, ultimately fostering a balanced literacy experience.</w:t>
      </w:r>
    </w:p>
    <w:p w14:paraId="7258FCE8" w14:textId="723888B8"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Physical books foster oracy through structured verbal interaction, while digital storytelling builds digital literacy through interactive features and sensory engagement. The Digital Competency Framework (DCF) emphasises the value of digital formats in preparing children for a technology-driven world, where navigation and multimedia comprehension are essential skills. Integrating both storytelling methods supports language acquisition and literacy development across traditional and digital domains, providing a well-rounded literacy experience.</w:t>
      </w:r>
    </w:p>
    <w:p w14:paraId="0FA9A050" w14:textId="16184383"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Conclusion</w:t>
      </w:r>
      <w:r w:rsidR="00D56CCA">
        <w:rPr>
          <w:rFonts w:ascii="Arial" w:eastAsia="Arial" w:hAnsi="Arial" w:cs="Arial"/>
          <w:sz w:val="24"/>
          <w:szCs w:val="24"/>
          <w:lang w:val="en-GB"/>
        </w:rPr>
        <w:t>:</w:t>
      </w:r>
    </w:p>
    <w:p w14:paraId="05A4A301" w14:textId="47A2F4B2"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This analysis highlights the significance of storytelling, both traditional and digital, in enhancing language acquisition and socio-emotional development in early childhood education. Through activities like Colour Monsters, which incorporate props for sensory engagement, children experience tangible connections that facilitate comprehension and vocabulary retention. Similarly, Ruby’s Worry, utilising varied tone and intonation, fosters empathy and verbal engagement among young listeners, aligning with research by Mendelsohn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(2020) and Dickinson and Morse (2019), which advocate for the cognitive and linguistic benefits of interactive storytelling.</w:t>
      </w:r>
    </w:p>
    <w:p w14:paraId="70B4023D" w14:textId="1F7ADDFD"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 sources selected for this analysis were largely drawn from the provided reading list, with supplementary searches conducted through university and online databases using targeted keywords and phrases. Due to time constraints, it was challenging to conduct a comprehensive exploration of contemporary sources. While the references used here are robust and relevant, it is acknowledged that additional recent studies may have provided further insights, especially concerning emerging digital storytelling practices.</w:t>
      </w:r>
    </w:p>
    <w:p w14:paraId="19118CC8" w14:textId="49FF28CE" w:rsidR="00266CF3" w:rsidRPr="00D56CCA" w:rsidRDefault="00266CF3" w:rsidP="00266CF3">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reliability of the sources is supported by their alignment with established frameworks, such as the Welsh Government's (2022) Digital Competency Framework (DCF), which highlights the importance of integrating digital literacy into early education. Foundational works, including Piaget’s (1964) developmental theories, remain pertinent despite their age, as they continue to offer valuable insights into hands-on, sensory learning. More recent research, such as Vu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(2019) on digital storytelling, complements these older theories with updated perspectives. Future analyses would benefit from an expanded examination of contemporary studies to better align with the latest developments in educational storytelling and digital literacy.</w:t>
      </w:r>
    </w:p>
    <w:p w14:paraId="4D6D095C" w14:textId="51528C41" w:rsidR="00E926E7" w:rsidRPr="00D56CCA" w:rsidRDefault="00266CF3" w:rsidP="00266CF3">
      <w:pPr>
        <w:spacing w:line="360" w:lineRule="auto"/>
        <w:jc w:val="both"/>
        <w:rPr>
          <w:rFonts w:ascii="Arial" w:eastAsia="Arial" w:hAnsi="Arial" w:cs="Arial"/>
          <w:sz w:val="24"/>
          <w:szCs w:val="24"/>
          <w:u w:val="single"/>
          <w:lang w:val="en-GB"/>
        </w:rPr>
      </w:pPr>
      <w:r w:rsidRPr="00D56CCA">
        <w:rPr>
          <w:rFonts w:ascii="Arial" w:eastAsia="Arial" w:hAnsi="Arial" w:cs="Arial"/>
          <w:sz w:val="24"/>
          <w:szCs w:val="24"/>
          <w:lang w:val="en-GB"/>
        </w:rPr>
        <w:t>In conclusion, while the sources used provide a reliable basis for this analysis, further investigation of recent research could enhance the findings and better reflect modern educational trends in storytelling and digital literacy.</w:t>
      </w:r>
      <w:r w:rsidR="00835809" w:rsidRPr="00D56CCA">
        <w:rPr>
          <w:rFonts w:ascii="Arial" w:eastAsia="Arial" w:hAnsi="Arial" w:cs="Arial"/>
          <w:sz w:val="24"/>
          <w:szCs w:val="24"/>
          <w:lang w:val="en-GB"/>
        </w:rPr>
        <w:br w:type="page"/>
      </w:r>
    </w:p>
    <w:p w14:paraId="4AB36F8D" w14:textId="3B4C7B23" w:rsidR="00E926E7" w:rsidRPr="00D56CCA" w:rsidRDefault="00E926E7" w:rsidP="00BD1490">
      <w:pPr>
        <w:spacing w:line="360" w:lineRule="auto"/>
        <w:jc w:val="both"/>
        <w:rPr>
          <w:rFonts w:ascii="Arial" w:eastAsia="Arial" w:hAnsi="Arial" w:cs="Arial"/>
          <w:sz w:val="24"/>
          <w:szCs w:val="24"/>
          <w:lang w:val="en-GB"/>
        </w:rPr>
      </w:pPr>
      <w:r w:rsidRPr="00D56CCA">
        <w:rPr>
          <w:rFonts w:ascii="Arial" w:eastAsia="Arial" w:hAnsi="Arial" w:cs="Arial"/>
          <w:sz w:val="24"/>
          <w:szCs w:val="24"/>
          <w:u w:val="single"/>
          <w:lang w:val="en-GB"/>
        </w:rPr>
        <w:lastRenderedPageBreak/>
        <w:t>Reference List</w:t>
      </w:r>
    </w:p>
    <w:p w14:paraId="5AC7A8F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Action for Children (2022) </w:t>
      </w:r>
      <w:r w:rsidRPr="00D56CCA">
        <w:rPr>
          <w:rFonts w:ascii="Arial" w:eastAsia="Arial" w:hAnsi="Arial" w:cs="Arial"/>
          <w:i/>
          <w:iCs/>
          <w:sz w:val="24"/>
          <w:szCs w:val="24"/>
          <w:lang w:val="en-GB"/>
        </w:rPr>
        <w:t>What is sensory play and why is it important</w:t>
      </w:r>
      <w:r w:rsidRPr="00D56CCA">
        <w:rPr>
          <w:rFonts w:ascii="Arial" w:eastAsia="Arial" w:hAnsi="Arial" w:cs="Arial"/>
          <w:sz w:val="24"/>
          <w:szCs w:val="24"/>
          <w:lang w:val="en-GB"/>
        </w:rPr>
        <w:t xml:space="preserve">. Available at: </w:t>
      </w:r>
      <w:hyperlink r:id="rId7" w:history="1">
        <w:r w:rsidRPr="00D56CCA">
          <w:rPr>
            <w:rStyle w:val="Hyperlink"/>
            <w:rFonts w:ascii="Arial" w:eastAsia="Arial" w:hAnsi="Arial" w:cs="Arial"/>
            <w:sz w:val="24"/>
            <w:szCs w:val="24"/>
            <w:lang w:val="en-GB"/>
          </w:rPr>
          <w:t>https://www.actionforchildren.org.uk/blog/what-is-sensory-play-and-why-is-it-important/</w:t>
        </w:r>
      </w:hyperlink>
      <w:r w:rsidRPr="00D56CCA">
        <w:rPr>
          <w:rFonts w:ascii="Arial" w:eastAsia="Arial" w:hAnsi="Arial" w:cs="Arial"/>
          <w:sz w:val="24"/>
          <w:szCs w:val="24"/>
          <w:lang w:val="en-GB"/>
        </w:rPr>
        <w:t>. (Accessed: 26 October 2024).</w:t>
      </w:r>
    </w:p>
    <w:p w14:paraId="38A8F799"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Book Trust (2020) </w:t>
      </w:r>
      <w:r w:rsidRPr="00D56CCA">
        <w:rPr>
          <w:rFonts w:ascii="Arial" w:eastAsia="Arial" w:hAnsi="Arial" w:cs="Arial"/>
          <w:i/>
          <w:iCs/>
          <w:sz w:val="24"/>
          <w:szCs w:val="24"/>
          <w:lang w:val="en-GB"/>
        </w:rPr>
        <w:t>A letter from Cressida Cowell: 'Reading is magic, and magic is for everyone'</w:t>
      </w:r>
      <w:r w:rsidRPr="00D56CCA">
        <w:rPr>
          <w:rFonts w:ascii="Arial" w:eastAsia="Arial" w:hAnsi="Arial" w:cs="Arial"/>
          <w:sz w:val="24"/>
          <w:szCs w:val="24"/>
          <w:lang w:val="en-GB"/>
        </w:rPr>
        <w:t xml:space="preserve">. Available at: </w:t>
      </w:r>
      <w:hyperlink r:id="rId8" w:history="1">
        <w:r w:rsidRPr="00D56CCA">
          <w:rPr>
            <w:rStyle w:val="Hyperlink"/>
            <w:rFonts w:ascii="Arial" w:eastAsia="Arial" w:hAnsi="Arial" w:cs="Arial"/>
            <w:sz w:val="24"/>
            <w:szCs w:val="24"/>
            <w:lang w:val="en-GB"/>
          </w:rPr>
          <w:t>https://www.booktrust.org.uk/news-and-features/features/2020/april/a-letter-from-cressida-cowell-reading-is-magic-and-magic-is-for-everyone/</w:t>
        </w:r>
      </w:hyperlink>
      <w:r w:rsidRPr="00D56CCA">
        <w:rPr>
          <w:rFonts w:ascii="Arial" w:eastAsia="Arial" w:hAnsi="Arial" w:cs="Arial"/>
          <w:sz w:val="24"/>
          <w:szCs w:val="24"/>
          <w:lang w:val="en-GB"/>
        </w:rPr>
        <w:t>. (Accessed: 25 October 2024).</w:t>
      </w:r>
    </w:p>
    <w:p w14:paraId="452F7E7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Book Trust (2024) </w:t>
      </w:r>
      <w:r w:rsidRPr="00D56CCA">
        <w:rPr>
          <w:rFonts w:ascii="Arial" w:eastAsia="Arial" w:hAnsi="Arial" w:cs="Arial"/>
          <w:i/>
          <w:iCs/>
          <w:sz w:val="24"/>
          <w:szCs w:val="24"/>
          <w:lang w:val="en-GB"/>
        </w:rPr>
        <w:t>The crucial role of storytelling in Early Childhood Education.</w:t>
      </w:r>
      <w:r w:rsidRPr="00D56CCA">
        <w:rPr>
          <w:rFonts w:ascii="Arial" w:eastAsia="Arial" w:hAnsi="Arial" w:cs="Arial"/>
          <w:sz w:val="24"/>
          <w:szCs w:val="24"/>
          <w:lang w:val="en-GB"/>
        </w:rPr>
        <w:t xml:space="preserve"> Available at: </w:t>
      </w:r>
      <w:hyperlink r:id="rId9" w:history="1">
        <w:r w:rsidRPr="00D56CCA">
          <w:rPr>
            <w:rStyle w:val="Hyperlink"/>
            <w:rFonts w:ascii="Arial" w:eastAsia="Arial" w:hAnsi="Arial" w:cs="Arial"/>
            <w:sz w:val="24"/>
            <w:szCs w:val="24"/>
            <w:lang w:val="en-GB"/>
          </w:rPr>
          <w:t>https://www.booktrust.org.uk/news-and-features/features/2024/april/the-crucial-role-of-storytelling-in-early-ch</w:t>
        </w:r>
        <w:r w:rsidRPr="00D56CCA">
          <w:rPr>
            <w:rStyle w:val="Hyperlink"/>
            <w:rFonts w:ascii="Arial" w:eastAsia="Arial" w:hAnsi="Arial" w:cs="Arial"/>
            <w:sz w:val="24"/>
            <w:szCs w:val="24"/>
            <w:lang w:val="en-GB"/>
          </w:rPr>
          <w:t>i</w:t>
        </w:r>
        <w:r w:rsidRPr="00D56CCA">
          <w:rPr>
            <w:rStyle w:val="Hyperlink"/>
            <w:rFonts w:ascii="Arial" w:eastAsia="Arial" w:hAnsi="Arial" w:cs="Arial"/>
            <w:sz w:val="24"/>
            <w:szCs w:val="24"/>
            <w:lang w:val="en-GB"/>
          </w:rPr>
          <w:t>ldhood-education/#:~:text=In%20Early%20Childhood%2C%20and%20especially,own%20ideas%2C%20knowledge%20and%20feelings</w:t>
        </w:r>
      </w:hyperlink>
      <w:r w:rsidRPr="00D56CCA">
        <w:rPr>
          <w:rFonts w:ascii="Arial" w:eastAsia="Arial" w:hAnsi="Arial" w:cs="Arial"/>
          <w:sz w:val="24"/>
          <w:szCs w:val="24"/>
          <w:lang w:val="en-GB"/>
        </w:rPr>
        <w:t>. (Accessed: 24 October 2024).</w:t>
      </w:r>
    </w:p>
    <w:p w14:paraId="4A12E1C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British Council (2023) </w:t>
      </w:r>
      <w:r w:rsidRPr="00D56CCA">
        <w:rPr>
          <w:rFonts w:ascii="Arial" w:eastAsia="Arial" w:hAnsi="Arial" w:cs="Arial"/>
          <w:i/>
          <w:iCs/>
          <w:sz w:val="24"/>
          <w:szCs w:val="24"/>
          <w:lang w:val="en-GB"/>
        </w:rPr>
        <w:t>Language Trends Wales 2023: Survey report by Jayne Duff, Aisling O’Boyle and Ian Collen</w:t>
      </w:r>
      <w:r w:rsidRPr="00D56CCA">
        <w:rPr>
          <w:rFonts w:ascii="Arial" w:eastAsia="Arial" w:hAnsi="Arial" w:cs="Arial"/>
          <w:sz w:val="24"/>
          <w:szCs w:val="24"/>
          <w:lang w:val="en-GB"/>
        </w:rPr>
        <w:t>. Available at: https://pureadmin.qub.ac.uk/ws/portalfiles/portal/552802768/language_trends_wales_2023.pdf . (Accessed: 26 October 2024).</w:t>
      </w:r>
    </w:p>
    <w:p w14:paraId="516BC37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Bruner, J. (1991) </w:t>
      </w:r>
      <w:r w:rsidRPr="00D56CCA">
        <w:rPr>
          <w:rFonts w:ascii="Arial" w:eastAsia="Arial" w:hAnsi="Arial" w:cs="Arial"/>
          <w:i/>
          <w:iCs/>
          <w:sz w:val="24"/>
          <w:szCs w:val="24"/>
          <w:lang w:val="en-GB"/>
        </w:rPr>
        <w:t>The Narrative Construction of Reality</w:t>
      </w:r>
      <w:r w:rsidRPr="00D56CCA">
        <w:rPr>
          <w:rFonts w:ascii="Arial" w:eastAsia="Arial" w:hAnsi="Arial" w:cs="Arial"/>
          <w:sz w:val="24"/>
          <w:szCs w:val="24"/>
          <w:lang w:val="en-GB"/>
        </w:rPr>
        <w:t>. </w:t>
      </w:r>
      <w:r w:rsidRPr="00D56CCA">
        <w:rPr>
          <w:rFonts w:ascii="Arial" w:eastAsia="Arial" w:hAnsi="Arial" w:cs="Arial"/>
          <w:i/>
          <w:iCs/>
          <w:sz w:val="24"/>
          <w:szCs w:val="24"/>
          <w:lang w:val="en-GB"/>
        </w:rPr>
        <w:t>Critical Inquiry</w:t>
      </w:r>
      <w:r w:rsidRPr="00D56CCA">
        <w:rPr>
          <w:rFonts w:ascii="Arial" w:eastAsia="Arial" w:hAnsi="Arial" w:cs="Arial"/>
          <w:sz w:val="24"/>
          <w:szCs w:val="24"/>
          <w:lang w:val="en-GB"/>
        </w:rPr>
        <w:t> 18 (1):1-21.</w:t>
      </w:r>
    </w:p>
    <w:p w14:paraId="2E368CF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Burnett, C., and Merchant, G. (2015) ‘The challenge of 21st Century literacies’. Journal of Adolescent and Adult Literacy, 59 (3), 271-274. Available at: </w:t>
      </w:r>
      <w:hyperlink r:id="rId10" w:history="1">
        <w:r w:rsidRPr="00D56CCA">
          <w:rPr>
            <w:rStyle w:val="Hyperlink"/>
            <w:rFonts w:ascii="Arial" w:eastAsia="Arial" w:hAnsi="Arial" w:cs="Arial"/>
            <w:sz w:val="24"/>
            <w:szCs w:val="24"/>
            <w:lang w:val="en-GB"/>
          </w:rPr>
          <w:t>https://shura.shu.ac.uk/10338/3/burnett_and_merchant_-_the_challenge_of_21st_century_literacies.pdf</w:t>
        </w:r>
      </w:hyperlink>
      <w:r w:rsidRPr="00D56CCA">
        <w:rPr>
          <w:rFonts w:ascii="Arial" w:eastAsia="Arial" w:hAnsi="Arial" w:cs="Arial"/>
          <w:sz w:val="24"/>
          <w:szCs w:val="24"/>
          <w:lang w:val="en-GB"/>
        </w:rPr>
        <w:t>. (Accessed: 27 October 2024).</w:t>
      </w:r>
    </w:p>
    <w:p w14:paraId="7DCAA64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Clay, M. (1991) </w:t>
      </w:r>
      <w:r w:rsidRPr="00D56CCA">
        <w:rPr>
          <w:rFonts w:ascii="Arial" w:eastAsia="Arial" w:hAnsi="Arial" w:cs="Arial"/>
          <w:i/>
          <w:iCs/>
          <w:sz w:val="24"/>
          <w:szCs w:val="24"/>
          <w:lang w:val="en-GB"/>
        </w:rPr>
        <w:t>Becoming Literate: The Construction of Inner Control</w:t>
      </w:r>
      <w:r w:rsidRPr="00D56CCA">
        <w:rPr>
          <w:rFonts w:ascii="Arial" w:eastAsia="Arial" w:hAnsi="Arial" w:cs="Arial"/>
          <w:sz w:val="24"/>
          <w:szCs w:val="24"/>
          <w:lang w:val="en-GB"/>
        </w:rPr>
        <w:t>. Heinemann,Auckland.</w:t>
      </w:r>
    </w:p>
    <w:p w14:paraId="625B28F2"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Coughlin, D. (2023) ‘Promoting communication, language and literacy’, in Hayes, C.(ed.) The </w:t>
      </w:r>
      <w:r w:rsidRPr="00D56CCA">
        <w:rPr>
          <w:rFonts w:ascii="Arial" w:eastAsia="Arial" w:hAnsi="Arial" w:cs="Arial"/>
          <w:i/>
          <w:iCs/>
          <w:sz w:val="24"/>
          <w:szCs w:val="24"/>
          <w:lang w:val="en-GB"/>
        </w:rPr>
        <w:t>early years handbook for students and practitioners: an essential guide for the foundation degree and levels 4 and 5. 2</w:t>
      </w:r>
      <w:r w:rsidRPr="00D56CCA">
        <w:rPr>
          <w:rFonts w:ascii="Arial" w:eastAsia="Arial" w:hAnsi="Arial" w:cs="Arial"/>
          <w:i/>
          <w:iCs/>
          <w:sz w:val="24"/>
          <w:szCs w:val="24"/>
          <w:vertAlign w:val="superscript"/>
          <w:lang w:val="en-GB"/>
        </w:rPr>
        <w:t>nd</w:t>
      </w:r>
      <w:r w:rsidRPr="00D56CCA">
        <w:rPr>
          <w:rFonts w:ascii="Arial" w:eastAsia="Arial" w:hAnsi="Arial" w:cs="Arial"/>
          <w:i/>
          <w:iCs/>
          <w:sz w:val="24"/>
          <w:szCs w:val="24"/>
          <w:lang w:val="en-GB"/>
        </w:rPr>
        <w:t xml:space="preserve"> edn</w:t>
      </w:r>
      <w:r w:rsidRPr="00D56CCA">
        <w:rPr>
          <w:rFonts w:ascii="Arial" w:eastAsia="Arial" w:hAnsi="Arial" w:cs="Arial"/>
          <w:sz w:val="24"/>
          <w:szCs w:val="24"/>
          <w:lang w:val="en-GB"/>
        </w:rPr>
        <w:t>. London: Routledge.</w:t>
      </w:r>
    </w:p>
    <w:p w14:paraId="5E3EBCAE"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Crerar, P. (2018) </w:t>
      </w:r>
      <w:r w:rsidRPr="00D56CCA">
        <w:rPr>
          <w:rFonts w:ascii="Arial" w:eastAsia="Arial" w:hAnsi="Arial" w:cs="Arial"/>
          <w:i/>
          <w:iCs/>
          <w:sz w:val="24"/>
          <w:szCs w:val="24"/>
          <w:lang w:val="en-GB"/>
        </w:rPr>
        <w:t>Children starting school 'cannot communicate in full sentences'</w:t>
      </w:r>
      <w:r w:rsidRPr="00D56CCA">
        <w:rPr>
          <w:rFonts w:ascii="Arial" w:eastAsia="Arial" w:hAnsi="Arial" w:cs="Arial"/>
          <w:sz w:val="24"/>
          <w:szCs w:val="24"/>
          <w:lang w:val="en-GB"/>
        </w:rPr>
        <w:t xml:space="preserve">. Available at: </w:t>
      </w:r>
      <w:hyperlink r:id="rId11" w:history="1">
        <w:r w:rsidRPr="00D56CCA">
          <w:rPr>
            <w:rStyle w:val="Hyperlink"/>
            <w:rFonts w:ascii="Arial" w:eastAsia="Arial" w:hAnsi="Arial" w:cs="Arial"/>
            <w:sz w:val="24"/>
            <w:szCs w:val="24"/>
            <w:lang w:val="en-GB"/>
          </w:rPr>
          <w:t>https://www.theguardian.com/education/2018/jul/31/damian-hinds-social-mobility-children-school-screen-time</w:t>
        </w:r>
      </w:hyperlink>
      <w:r w:rsidRPr="00D56CCA">
        <w:rPr>
          <w:rFonts w:ascii="Arial" w:eastAsia="Arial" w:hAnsi="Arial" w:cs="Arial"/>
          <w:sz w:val="24"/>
          <w:szCs w:val="24"/>
          <w:lang w:val="en-GB"/>
        </w:rPr>
        <w:t>. (Accessed: 23 October 2024).</w:t>
      </w:r>
    </w:p>
    <w:p w14:paraId="27D9473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Department for Education (DfE) (2024) </w:t>
      </w:r>
      <w:r w:rsidRPr="00D56CCA">
        <w:rPr>
          <w:rFonts w:ascii="Arial" w:eastAsia="Arial" w:hAnsi="Arial" w:cs="Arial"/>
          <w:i/>
          <w:iCs/>
          <w:sz w:val="24"/>
          <w:szCs w:val="24"/>
          <w:lang w:val="en-GB"/>
        </w:rPr>
        <w:t>Exploring language</w:t>
      </w:r>
      <w:r w:rsidRPr="00D56CCA">
        <w:rPr>
          <w:rFonts w:ascii="Arial" w:eastAsia="Arial" w:hAnsi="Arial" w:cs="Arial"/>
          <w:sz w:val="24"/>
          <w:szCs w:val="24"/>
          <w:lang w:val="en-GB"/>
        </w:rPr>
        <w:t xml:space="preserve">. Available at: </w:t>
      </w:r>
      <w:hyperlink r:id="rId12" w:history="1">
        <w:r w:rsidRPr="00D56CCA">
          <w:rPr>
            <w:rStyle w:val="Hyperlink"/>
            <w:rFonts w:ascii="Arial" w:eastAsia="Arial" w:hAnsi="Arial" w:cs="Arial"/>
            <w:sz w:val="24"/>
            <w:szCs w:val="24"/>
            <w:lang w:val="en-GB"/>
          </w:rPr>
          <w:t>https://help-for-early-years-providers.education.gov.uk/areas-of-learning/communication-and-language/exploring-language#what-the-eyfs-framework-says</w:t>
        </w:r>
      </w:hyperlink>
      <w:r w:rsidRPr="00D56CCA">
        <w:rPr>
          <w:rFonts w:ascii="Arial" w:eastAsia="Arial" w:hAnsi="Arial" w:cs="Arial"/>
          <w:sz w:val="24"/>
          <w:szCs w:val="24"/>
          <w:lang w:val="en-GB"/>
        </w:rPr>
        <w:t>. (Accessed: 26 October 2024).</w:t>
      </w:r>
    </w:p>
    <w:p w14:paraId="558DC0F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Dickinson, D. K. and Morse, A. B. (2019) </w:t>
      </w:r>
      <w:r w:rsidRPr="00D56CCA">
        <w:rPr>
          <w:rFonts w:ascii="Arial" w:eastAsia="Arial" w:hAnsi="Arial" w:cs="Arial"/>
          <w:i/>
          <w:iCs/>
          <w:sz w:val="24"/>
          <w:szCs w:val="24"/>
          <w:lang w:val="en-GB"/>
        </w:rPr>
        <w:t>Connecting through talk: Oracy development in early childhood education</w:t>
      </w:r>
      <w:r w:rsidRPr="00D56CCA">
        <w:rPr>
          <w:rFonts w:ascii="Arial" w:eastAsia="Arial" w:hAnsi="Arial" w:cs="Arial"/>
          <w:sz w:val="24"/>
          <w:szCs w:val="24"/>
          <w:lang w:val="en-GB"/>
        </w:rPr>
        <w:t>. New York: Teachers College Press.</w:t>
      </w:r>
    </w:p>
    <w:p w14:paraId="3A301E6B"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Gascoyne, S. (2018) </w:t>
      </w:r>
      <w:r w:rsidRPr="00D56CCA">
        <w:rPr>
          <w:rFonts w:ascii="Arial" w:eastAsia="Arial" w:hAnsi="Arial" w:cs="Arial"/>
          <w:i/>
          <w:iCs/>
          <w:sz w:val="24"/>
          <w:szCs w:val="24"/>
          <w:lang w:val="en-GB"/>
        </w:rPr>
        <w:t>Messy play in the early years: supporting learning through material engagements</w:t>
      </w:r>
      <w:r w:rsidRPr="00D56CCA">
        <w:rPr>
          <w:rFonts w:ascii="Arial" w:eastAsia="Arial" w:hAnsi="Arial" w:cs="Arial"/>
          <w:sz w:val="24"/>
          <w:szCs w:val="24"/>
          <w:lang w:val="en-GB"/>
        </w:rPr>
        <w:t>. Boca Raton, FL: Routledge.</w:t>
      </w:r>
    </w:p>
    <w:p w14:paraId="630BB72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Ghafar, Z. N. (2024) ‘Storytelling as an Educational Tool to Improve Language Acquisition: A Review of the Literature’, </w:t>
      </w:r>
      <w:r w:rsidRPr="00D56CCA">
        <w:rPr>
          <w:rFonts w:ascii="Arial" w:eastAsia="Arial" w:hAnsi="Arial" w:cs="Arial"/>
          <w:i/>
          <w:iCs/>
          <w:sz w:val="24"/>
          <w:szCs w:val="24"/>
          <w:lang w:val="en-GB"/>
        </w:rPr>
        <w:t>Journal of Digital Learning and Distance Education</w:t>
      </w:r>
      <w:r w:rsidRPr="00D56CCA">
        <w:rPr>
          <w:rFonts w:ascii="Arial" w:eastAsia="Arial" w:hAnsi="Arial" w:cs="Arial"/>
          <w:sz w:val="24"/>
          <w:szCs w:val="24"/>
          <w:lang w:val="en-GB"/>
        </w:rPr>
        <w:t xml:space="preserve">, 2(9), 781-790. Available at: </w:t>
      </w:r>
      <w:hyperlink r:id="rId13" w:history="1">
        <w:r w:rsidRPr="00D56CCA">
          <w:rPr>
            <w:rStyle w:val="Hyperlink"/>
            <w:rFonts w:ascii="Arial" w:eastAsia="Arial" w:hAnsi="Arial" w:cs="Arial"/>
            <w:sz w:val="24"/>
            <w:szCs w:val="24"/>
            <w:lang w:val="en-GB"/>
          </w:rPr>
          <w:t>https://doi.org/10.56778/jdlde.v2i9.2</w:t>
        </w:r>
        <w:r w:rsidRPr="00D56CCA">
          <w:rPr>
            <w:rStyle w:val="Hyperlink"/>
            <w:rFonts w:ascii="Arial" w:eastAsia="Arial" w:hAnsi="Arial" w:cs="Arial"/>
            <w:sz w:val="24"/>
            <w:szCs w:val="24"/>
            <w:lang w:val="en-GB"/>
          </w:rPr>
          <w:t>2</w:t>
        </w:r>
        <w:r w:rsidRPr="00D56CCA">
          <w:rPr>
            <w:rStyle w:val="Hyperlink"/>
            <w:rFonts w:ascii="Arial" w:eastAsia="Arial" w:hAnsi="Arial" w:cs="Arial"/>
            <w:sz w:val="24"/>
            <w:szCs w:val="24"/>
            <w:lang w:val="en-GB"/>
          </w:rPr>
          <w:t>7</w:t>
        </w:r>
      </w:hyperlink>
      <w:r w:rsidRPr="00D56CCA">
        <w:rPr>
          <w:rFonts w:ascii="Arial" w:eastAsia="Arial" w:hAnsi="Arial" w:cs="Arial"/>
          <w:sz w:val="24"/>
          <w:szCs w:val="24"/>
          <w:lang w:val="en-GB"/>
        </w:rPr>
        <w:t>. (Accessed: 26 October 2024).</w:t>
      </w:r>
    </w:p>
    <w:p w14:paraId="537F1E0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Jewitt, C.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(2022). ‘A provocative call to engage with social and sensory aspects of touch’. </w:t>
      </w:r>
      <w:r w:rsidRPr="00D56CCA">
        <w:rPr>
          <w:rFonts w:ascii="Arial" w:eastAsia="Arial" w:hAnsi="Arial" w:cs="Arial"/>
          <w:i/>
          <w:iCs/>
          <w:sz w:val="24"/>
          <w:szCs w:val="24"/>
          <w:lang w:val="en-GB"/>
        </w:rPr>
        <w:t>Multimodality &amp; Society</w:t>
      </w:r>
      <w:r w:rsidRPr="00D56CCA">
        <w:rPr>
          <w:rFonts w:ascii="Arial" w:eastAsia="Arial" w:hAnsi="Arial" w:cs="Arial"/>
          <w:sz w:val="24"/>
          <w:szCs w:val="24"/>
          <w:lang w:val="en-GB"/>
        </w:rPr>
        <w:t xml:space="preserve">, 2(3), 261-264. Available at: </w:t>
      </w:r>
      <w:hyperlink r:id="rId14" w:history="1">
        <w:r w:rsidRPr="00D56CCA">
          <w:rPr>
            <w:rStyle w:val="Hyperlink"/>
            <w:rFonts w:ascii="Arial" w:eastAsia="Arial" w:hAnsi="Arial" w:cs="Arial"/>
            <w:sz w:val="24"/>
            <w:szCs w:val="24"/>
            <w:lang w:val="en-GB"/>
          </w:rPr>
          <w:t>https://doi.org/10.1177/26349795221115463</w:t>
        </w:r>
      </w:hyperlink>
      <w:r w:rsidRPr="00D56CCA">
        <w:rPr>
          <w:rFonts w:ascii="Arial" w:eastAsia="Arial" w:hAnsi="Arial" w:cs="Arial"/>
          <w:sz w:val="24"/>
          <w:szCs w:val="24"/>
          <w:lang w:val="en-GB"/>
        </w:rPr>
        <w:t>. (Accessed: 27 October 2024).</w:t>
      </w:r>
    </w:p>
    <w:p w14:paraId="4EB0B75B"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Jewson, B.P. and Skinner, R. (2023) </w:t>
      </w:r>
      <w:r w:rsidRPr="00D56CCA">
        <w:rPr>
          <w:rFonts w:ascii="Arial" w:eastAsia="Arial" w:hAnsi="Arial" w:cs="Arial"/>
          <w:i/>
          <w:iCs/>
          <w:sz w:val="24"/>
          <w:szCs w:val="24"/>
          <w:lang w:val="en-GB"/>
        </w:rPr>
        <w:t>Speech, Language and Communication for Healthy Little Minds: Practical Ideas to Promote Communication for Wellbeing in the Early Years</w:t>
      </w:r>
      <w:r w:rsidRPr="00D56CCA">
        <w:rPr>
          <w:rFonts w:ascii="Arial" w:eastAsia="Arial" w:hAnsi="Arial" w:cs="Arial"/>
          <w:sz w:val="24"/>
          <w:szCs w:val="24"/>
          <w:lang w:val="en-GB"/>
        </w:rPr>
        <w:t xml:space="preserve">. Routledge. Available at: </w:t>
      </w:r>
      <w:hyperlink r:id="rId15" w:history="1">
        <w:r w:rsidRPr="00D56CCA">
          <w:rPr>
            <w:rStyle w:val="Hyperlink"/>
            <w:rFonts w:ascii="Arial" w:eastAsia="Arial" w:hAnsi="Arial" w:cs="Arial"/>
            <w:sz w:val="24"/>
            <w:szCs w:val="24"/>
            <w:lang w:val="en-GB"/>
          </w:rPr>
          <w:t>https://doi.org/10.4324/9781003335429</w:t>
        </w:r>
      </w:hyperlink>
      <w:r w:rsidRPr="00D56CCA">
        <w:rPr>
          <w:rFonts w:ascii="Arial" w:eastAsia="Arial" w:hAnsi="Arial" w:cs="Arial"/>
          <w:sz w:val="24"/>
          <w:szCs w:val="24"/>
          <w:lang w:val="en-GB"/>
        </w:rPr>
        <w:t>. (Accessed: 26 October 2024).</w:t>
      </w:r>
    </w:p>
    <w:p w14:paraId="6C7707B5"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Kucirkova, N. (2018) </w:t>
      </w:r>
      <w:r w:rsidRPr="00D56CCA">
        <w:rPr>
          <w:rFonts w:ascii="Arial" w:eastAsia="Arial" w:hAnsi="Arial" w:cs="Arial"/>
          <w:i/>
          <w:iCs/>
          <w:sz w:val="24"/>
          <w:szCs w:val="24"/>
          <w:lang w:val="en-GB"/>
        </w:rPr>
        <w:t>How and Why to Read and Create Children’s Digital Books: A Guide for Primary Practitioners</w:t>
      </w:r>
      <w:r w:rsidRPr="00D56CCA">
        <w:rPr>
          <w:rFonts w:ascii="Arial" w:eastAsia="Arial" w:hAnsi="Arial" w:cs="Arial"/>
          <w:sz w:val="24"/>
          <w:szCs w:val="24"/>
          <w:lang w:val="en-GB"/>
        </w:rPr>
        <w:t xml:space="preserve">. UCL Press. </w:t>
      </w:r>
      <w:hyperlink r:id="rId16" w:history="1">
        <w:r w:rsidRPr="00D56CCA">
          <w:rPr>
            <w:rStyle w:val="Hyperlink"/>
            <w:rFonts w:ascii="Arial" w:eastAsia="Arial" w:hAnsi="Arial" w:cs="Arial"/>
            <w:sz w:val="24"/>
            <w:szCs w:val="24"/>
            <w:lang w:val="en-GB"/>
          </w:rPr>
          <w:t>http://www.jstor.org/stable/j.ctv5</w:t>
        </w:r>
        <w:r w:rsidRPr="00D56CCA">
          <w:rPr>
            <w:rStyle w:val="Hyperlink"/>
            <w:rFonts w:ascii="Arial" w:eastAsia="Arial" w:hAnsi="Arial" w:cs="Arial"/>
            <w:sz w:val="24"/>
            <w:szCs w:val="24"/>
            <w:lang w:val="en-GB"/>
          </w:rPr>
          <w:t>j</w:t>
        </w:r>
        <w:r w:rsidRPr="00D56CCA">
          <w:rPr>
            <w:rStyle w:val="Hyperlink"/>
            <w:rFonts w:ascii="Arial" w:eastAsia="Arial" w:hAnsi="Arial" w:cs="Arial"/>
            <w:sz w:val="24"/>
            <w:szCs w:val="24"/>
            <w:lang w:val="en-GB"/>
          </w:rPr>
          <w:t>01w1.6</w:t>
        </w:r>
      </w:hyperlink>
      <w:r w:rsidRPr="00D56CCA">
        <w:rPr>
          <w:rFonts w:ascii="Arial" w:eastAsia="Arial" w:hAnsi="Arial" w:cs="Arial"/>
          <w:sz w:val="24"/>
          <w:szCs w:val="24"/>
          <w:lang w:val="en-GB"/>
        </w:rPr>
        <w:t xml:space="preserve"> (Accessed: 24 October 2024).</w:t>
      </w:r>
    </w:p>
    <w:p w14:paraId="2D6F88F1"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Llenas, A. (2016) </w:t>
      </w:r>
      <w:r w:rsidRPr="00D56CCA">
        <w:rPr>
          <w:rFonts w:ascii="Arial" w:eastAsia="Arial" w:hAnsi="Arial" w:cs="Arial"/>
          <w:i/>
          <w:iCs/>
          <w:sz w:val="24"/>
          <w:szCs w:val="24"/>
          <w:lang w:val="en-GB"/>
        </w:rPr>
        <w:t>The Colour Monster</w:t>
      </w:r>
      <w:r w:rsidRPr="00D56CCA">
        <w:rPr>
          <w:rFonts w:ascii="Arial" w:eastAsia="Arial" w:hAnsi="Arial" w:cs="Arial"/>
          <w:sz w:val="24"/>
          <w:szCs w:val="24"/>
          <w:lang w:val="en-GB"/>
        </w:rPr>
        <w:t>. London: Templar Publishing.</w:t>
      </w:r>
    </w:p>
    <w:p w14:paraId="2AE5457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Lysaker, J. T. (2018) </w:t>
      </w:r>
      <w:r w:rsidRPr="00D56CCA">
        <w:rPr>
          <w:rFonts w:ascii="Arial" w:eastAsia="Arial" w:hAnsi="Arial" w:cs="Arial"/>
          <w:i/>
          <w:iCs/>
          <w:sz w:val="24"/>
          <w:szCs w:val="24"/>
          <w:lang w:val="en-GB"/>
        </w:rPr>
        <w:t>Reading, relationships, and young children's sense-making: Developmental literacy engagements in early childhood</w:t>
      </w:r>
      <w:r w:rsidRPr="00D56CCA">
        <w:rPr>
          <w:rFonts w:ascii="Arial" w:eastAsia="Arial" w:hAnsi="Arial" w:cs="Arial"/>
          <w:sz w:val="24"/>
          <w:szCs w:val="24"/>
          <w:lang w:val="en-GB"/>
        </w:rPr>
        <w:t>. New York: Routledge.</w:t>
      </w:r>
    </w:p>
    <w:p w14:paraId="38A6BDB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lastRenderedPageBreak/>
        <w:t xml:space="preserve">Mendelsohn, A.L.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(2020) ‘RCT of a reading aloud intervention in Brazil: Do impacts differ depending on parent literacy?’, </w:t>
      </w:r>
      <w:r w:rsidRPr="00D56CCA">
        <w:rPr>
          <w:rFonts w:ascii="Arial" w:eastAsia="Arial" w:hAnsi="Arial" w:cs="Arial"/>
          <w:i/>
          <w:iCs/>
          <w:sz w:val="24"/>
          <w:szCs w:val="24"/>
          <w:lang w:val="en-GB"/>
        </w:rPr>
        <w:t>Early childhood research quarterly</w:t>
      </w:r>
      <w:r w:rsidRPr="00D56CCA">
        <w:rPr>
          <w:rFonts w:ascii="Arial" w:eastAsia="Arial" w:hAnsi="Arial" w:cs="Arial"/>
          <w:sz w:val="24"/>
          <w:szCs w:val="24"/>
          <w:lang w:val="en-GB"/>
        </w:rPr>
        <w:t xml:space="preserve">, 53, pp. 601–611. Available at: </w:t>
      </w:r>
      <w:hyperlink r:id="rId17" w:history="1">
        <w:r w:rsidRPr="00D56CCA">
          <w:rPr>
            <w:rStyle w:val="Hyperlink"/>
            <w:rFonts w:ascii="Arial" w:eastAsia="Arial" w:hAnsi="Arial" w:cs="Arial"/>
            <w:sz w:val="24"/>
            <w:szCs w:val="24"/>
            <w:lang w:val="en-GB"/>
          </w:rPr>
          <w:t>https://doi.org/10.1016/j.ecre</w:t>
        </w:r>
        <w:r w:rsidRPr="00D56CCA">
          <w:rPr>
            <w:rStyle w:val="Hyperlink"/>
            <w:rFonts w:ascii="Arial" w:eastAsia="Arial" w:hAnsi="Arial" w:cs="Arial"/>
            <w:sz w:val="24"/>
            <w:szCs w:val="24"/>
            <w:lang w:val="en-GB"/>
          </w:rPr>
          <w:t>s</w:t>
        </w:r>
        <w:r w:rsidRPr="00D56CCA">
          <w:rPr>
            <w:rStyle w:val="Hyperlink"/>
            <w:rFonts w:ascii="Arial" w:eastAsia="Arial" w:hAnsi="Arial" w:cs="Arial"/>
            <w:sz w:val="24"/>
            <w:szCs w:val="24"/>
            <w:lang w:val="en-GB"/>
          </w:rPr>
          <w:t>q.2020.07.004</w:t>
        </w:r>
      </w:hyperlink>
      <w:r w:rsidRPr="00D56CCA">
        <w:rPr>
          <w:rFonts w:ascii="Arial" w:eastAsia="Arial" w:hAnsi="Arial" w:cs="Arial"/>
          <w:sz w:val="24"/>
          <w:szCs w:val="24"/>
          <w:lang w:val="en-GB"/>
        </w:rPr>
        <w:t>. (Accessed: 25 October 2024).</w:t>
      </w:r>
    </w:p>
    <w:p w14:paraId="6FCA2838"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Montessori Parenting (2024) </w:t>
      </w:r>
      <w:r w:rsidRPr="00D56CCA">
        <w:rPr>
          <w:rFonts w:ascii="Arial" w:eastAsia="Arial" w:hAnsi="Arial" w:cs="Arial"/>
          <w:i/>
          <w:iCs/>
          <w:sz w:val="24"/>
          <w:szCs w:val="24"/>
          <w:lang w:val="en-GB"/>
        </w:rPr>
        <w:t>The Importance of Slowing Down with Young Children</w:t>
      </w:r>
      <w:r w:rsidRPr="00D56CCA">
        <w:rPr>
          <w:rFonts w:ascii="Arial" w:eastAsia="Arial" w:hAnsi="Arial" w:cs="Arial"/>
          <w:sz w:val="24"/>
          <w:szCs w:val="24"/>
          <w:lang w:val="en-GB"/>
        </w:rPr>
        <w:t xml:space="preserve">. Available at: </w:t>
      </w:r>
      <w:hyperlink r:id="rId18" w:history="1">
        <w:r w:rsidRPr="00D56CCA">
          <w:rPr>
            <w:rStyle w:val="Hyperlink"/>
            <w:rFonts w:ascii="Arial" w:eastAsia="Arial" w:hAnsi="Arial" w:cs="Arial"/>
            <w:sz w:val="24"/>
            <w:szCs w:val="24"/>
            <w:lang w:val="en-GB"/>
          </w:rPr>
          <w:t>https://montessoriparenting.org/the-importance-of-slowing-down-with-young-children/</w:t>
        </w:r>
      </w:hyperlink>
      <w:r w:rsidRPr="00D56CCA">
        <w:rPr>
          <w:rFonts w:ascii="Arial" w:eastAsia="Arial" w:hAnsi="Arial" w:cs="Arial"/>
          <w:sz w:val="24"/>
          <w:szCs w:val="24"/>
          <w:lang w:val="en-GB"/>
        </w:rPr>
        <w:t>. (Accessed: 26 October 2024).</w:t>
      </w:r>
    </w:p>
    <w:p w14:paraId="3975D266" w14:textId="77777777" w:rsidR="00D56CCA" w:rsidRPr="00D56CCA" w:rsidRDefault="00D56CCA" w:rsidP="00D56CCA">
      <w:pPr>
        <w:spacing w:line="360" w:lineRule="auto"/>
        <w:jc w:val="both"/>
        <w:rPr>
          <w:rFonts w:ascii="Arial" w:eastAsia="Arial" w:hAnsi="Arial" w:cs="Arial"/>
          <w:b/>
          <w:bCs/>
          <w:sz w:val="24"/>
          <w:szCs w:val="24"/>
          <w:lang w:val="en-GB"/>
        </w:rPr>
      </w:pPr>
      <w:r w:rsidRPr="00D56CCA">
        <w:rPr>
          <w:rFonts w:ascii="Arial" w:eastAsia="Arial" w:hAnsi="Arial" w:cs="Arial"/>
          <w:sz w:val="24"/>
          <w:szCs w:val="24"/>
          <w:lang w:val="en-GB"/>
        </w:rPr>
        <w:t xml:space="preserve">Nishioka, H., (2016) ‘Analysing language development in a collaborative digital storytelling project: Sociocultural perspectives’, </w:t>
      </w:r>
      <w:r w:rsidRPr="00D56CCA">
        <w:rPr>
          <w:rFonts w:ascii="Arial" w:eastAsia="Arial" w:hAnsi="Arial" w:cs="Arial"/>
          <w:i/>
          <w:iCs/>
          <w:sz w:val="24"/>
          <w:szCs w:val="24"/>
          <w:lang w:val="en-GB"/>
        </w:rPr>
        <w:t>System</w:t>
      </w:r>
      <w:r w:rsidRPr="00D56CCA">
        <w:rPr>
          <w:rFonts w:ascii="Arial" w:eastAsia="Arial" w:hAnsi="Arial" w:cs="Arial"/>
          <w:sz w:val="24"/>
          <w:szCs w:val="24"/>
          <w:lang w:val="en-GB"/>
        </w:rPr>
        <w:t xml:space="preserve">, 62, pp.39-52. Available at: </w:t>
      </w:r>
      <w:hyperlink r:id="rId19" w:history="1">
        <w:r w:rsidRPr="00D56CCA">
          <w:rPr>
            <w:rStyle w:val="Hyperlink"/>
            <w:rFonts w:ascii="Arial" w:eastAsia="Arial" w:hAnsi="Arial" w:cs="Arial"/>
            <w:sz w:val="24"/>
            <w:szCs w:val="24"/>
            <w:lang w:val="en-GB"/>
          </w:rPr>
          <w:t>https://doi.org/10.1016/j.system.2016.07.001</w:t>
        </w:r>
      </w:hyperlink>
      <w:r w:rsidRPr="00D56CCA">
        <w:rPr>
          <w:rFonts w:ascii="Arial" w:eastAsia="Arial" w:hAnsi="Arial" w:cs="Arial"/>
          <w:sz w:val="24"/>
          <w:szCs w:val="24"/>
          <w:lang w:val="en-GB"/>
        </w:rPr>
        <w:t>. (Accessed: 26 October 2024).</w:t>
      </w:r>
    </w:p>
    <w:p w14:paraId="781555D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Only About Children (2024) </w:t>
      </w:r>
      <w:r w:rsidRPr="00D56CCA">
        <w:rPr>
          <w:rFonts w:ascii="Arial" w:eastAsia="Arial" w:hAnsi="Arial" w:cs="Arial"/>
          <w:i/>
          <w:iCs/>
          <w:sz w:val="24"/>
          <w:szCs w:val="24"/>
          <w:lang w:val="en-GB"/>
        </w:rPr>
        <w:t>Exploring the Benefits of Sensory Play for Children.</w:t>
      </w:r>
      <w:r w:rsidRPr="00D56CCA">
        <w:rPr>
          <w:rFonts w:ascii="Arial" w:eastAsia="Arial" w:hAnsi="Arial" w:cs="Arial"/>
          <w:sz w:val="24"/>
          <w:szCs w:val="24"/>
          <w:lang w:val="en-GB"/>
        </w:rPr>
        <w:t xml:space="preserve"> Available at: </w:t>
      </w:r>
      <w:hyperlink r:id="rId20" w:history="1">
        <w:r w:rsidRPr="00D56CCA">
          <w:rPr>
            <w:rStyle w:val="Hyperlink"/>
            <w:rFonts w:ascii="Arial" w:eastAsia="Arial" w:hAnsi="Arial" w:cs="Arial"/>
            <w:sz w:val="24"/>
            <w:szCs w:val="24"/>
            <w:lang w:val="en-GB"/>
          </w:rPr>
          <w:t>https://www.oac.edu.au/news-views/sensory-play/</w:t>
        </w:r>
      </w:hyperlink>
      <w:r w:rsidRPr="00D56CCA">
        <w:rPr>
          <w:rFonts w:ascii="Arial" w:eastAsia="Arial" w:hAnsi="Arial" w:cs="Arial"/>
          <w:sz w:val="24"/>
          <w:szCs w:val="24"/>
          <w:lang w:val="en-GB"/>
        </w:rPr>
        <w:t>. (Accessed: 26 October 2024).</w:t>
      </w:r>
    </w:p>
    <w:p w14:paraId="658A06B2"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Percival, T. (2018) </w:t>
      </w:r>
      <w:r w:rsidRPr="00D56CCA">
        <w:rPr>
          <w:rFonts w:ascii="Arial" w:eastAsia="Arial" w:hAnsi="Arial" w:cs="Arial"/>
          <w:i/>
          <w:iCs/>
          <w:sz w:val="24"/>
          <w:szCs w:val="24"/>
          <w:lang w:val="en-GB"/>
        </w:rPr>
        <w:t>Ruby’s Worry</w:t>
      </w:r>
      <w:r w:rsidRPr="00D56CCA">
        <w:rPr>
          <w:rFonts w:ascii="Arial" w:eastAsia="Arial" w:hAnsi="Arial" w:cs="Arial"/>
          <w:sz w:val="24"/>
          <w:szCs w:val="24"/>
          <w:lang w:val="en-GB"/>
        </w:rPr>
        <w:t>. London: Bloomsbury Publishing Plc.</w:t>
      </w:r>
    </w:p>
    <w:p w14:paraId="7B2FB77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Piaget, J. (1964) </w:t>
      </w:r>
      <w:r w:rsidRPr="00D56CCA">
        <w:rPr>
          <w:rFonts w:ascii="Arial" w:eastAsia="Arial" w:hAnsi="Arial" w:cs="Arial"/>
          <w:i/>
          <w:iCs/>
          <w:sz w:val="24"/>
          <w:szCs w:val="24"/>
          <w:lang w:val="en-GB"/>
        </w:rPr>
        <w:t>The development of thought: Equilibration of cognitive structures</w:t>
      </w:r>
      <w:r w:rsidRPr="00D56CCA">
        <w:rPr>
          <w:rFonts w:ascii="Arial" w:eastAsia="Arial" w:hAnsi="Arial" w:cs="Arial"/>
          <w:sz w:val="24"/>
          <w:szCs w:val="24"/>
          <w:lang w:val="en-GB"/>
        </w:rPr>
        <w:t>. New York: Viking Press.</w:t>
      </w:r>
    </w:p>
    <w:p w14:paraId="709F855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Satriani, I. (2019) ‘Storytelling in teaching literacy: Benefits and challenges’, </w:t>
      </w:r>
      <w:r w:rsidRPr="00D56CCA">
        <w:rPr>
          <w:rFonts w:ascii="Arial" w:eastAsia="Arial" w:hAnsi="Arial" w:cs="Arial"/>
          <w:i/>
          <w:iCs/>
          <w:sz w:val="24"/>
          <w:szCs w:val="24"/>
          <w:lang w:val="en-GB"/>
        </w:rPr>
        <w:t>English Review: Journal of English Education</w:t>
      </w:r>
      <w:r w:rsidRPr="00D56CCA">
        <w:rPr>
          <w:rFonts w:ascii="Arial" w:eastAsia="Arial" w:hAnsi="Arial" w:cs="Arial"/>
          <w:sz w:val="24"/>
          <w:szCs w:val="24"/>
          <w:lang w:val="en-GB"/>
        </w:rPr>
        <w:t>, 8(1), 113-120. DOI: 10.25134/erjee.v8i1.1924</w:t>
      </w:r>
    </w:p>
    <w:p w14:paraId="32CC0EF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Stajkovic, A.D. and Stajkovic, K.S. (2024) </w:t>
      </w:r>
      <w:r w:rsidRPr="00D56CCA">
        <w:rPr>
          <w:rFonts w:ascii="Arial" w:eastAsia="Arial" w:hAnsi="Arial" w:cs="Arial"/>
          <w:i/>
          <w:iCs/>
          <w:sz w:val="24"/>
          <w:szCs w:val="24"/>
          <w:lang w:val="en-GB"/>
        </w:rPr>
        <w:t>Human Sustainability and Cognitive Overload at Work: The Psychological Cost of Working</w:t>
      </w:r>
      <w:r w:rsidRPr="00D56CCA">
        <w:rPr>
          <w:rFonts w:ascii="Arial" w:eastAsia="Arial" w:hAnsi="Arial" w:cs="Arial"/>
          <w:sz w:val="24"/>
          <w:szCs w:val="24"/>
          <w:lang w:val="en-GB"/>
        </w:rPr>
        <w:t>. London: Routledge.</w:t>
      </w:r>
    </w:p>
    <w:p w14:paraId="5965D20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Stinton, K. (2018) </w:t>
      </w:r>
      <w:r w:rsidRPr="00D56CCA">
        <w:rPr>
          <w:rFonts w:ascii="Arial" w:eastAsia="Arial" w:hAnsi="Arial" w:cs="Arial"/>
          <w:i/>
          <w:iCs/>
          <w:sz w:val="24"/>
          <w:szCs w:val="24"/>
          <w:lang w:val="en-GB"/>
        </w:rPr>
        <w:t>Supporting Children’s Speech, Language and Communication Skills</w:t>
      </w:r>
      <w:r w:rsidRPr="00D56CCA">
        <w:rPr>
          <w:rFonts w:ascii="Arial" w:eastAsia="Arial" w:hAnsi="Arial" w:cs="Arial"/>
          <w:sz w:val="24"/>
          <w:szCs w:val="24"/>
          <w:lang w:val="en-GB"/>
        </w:rPr>
        <w:t xml:space="preserve">. Available at: </w:t>
      </w:r>
      <w:hyperlink r:id="rId21" w:history="1">
        <w:r w:rsidRPr="00D56CCA">
          <w:rPr>
            <w:rStyle w:val="Hyperlink"/>
            <w:rFonts w:ascii="Arial" w:eastAsia="Arial" w:hAnsi="Arial" w:cs="Arial"/>
            <w:sz w:val="24"/>
            <w:szCs w:val="24"/>
            <w:lang w:val="en-GB"/>
          </w:rPr>
          <w:t>https://eyfs.info/articles.html/teaching-and-learning/supporting-children%E2%80%99s-speech-language-and-communication-skills-r234/</w:t>
        </w:r>
      </w:hyperlink>
      <w:r w:rsidRPr="00D56CCA">
        <w:rPr>
          <w:rFonts w:ascii="Arial" w:eastAsia="Arial" w:hAnsi="Arial" w:cs="Arial"/>
          <w:sz w:val="24"/>
          <w:szCs w:val="24"/>
          <w:lang w:val="en-GB"/>
        </w:rPr>
        <w:t>. (Accessed: 27 October 2024).</w:t>
      </w:r>
    </w:p>
    <w:p w14:paraId="3237ED6D"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Sweller, J. (1988). Cognitive load during problem solving: Effects on learning. </w:t>
      </w:r>
      <w:r w:rsidRPr="00D56CCA">
        <w:rPr>
          <w:rFonts w:ascii="Arial" w:eastAsia="Arial" w:hAnsi="Arial" w:cs="Arial"/>
          <w:i/>
          <w:iCs/>
          <w:sz w:val="24"/>
          <w:szCs w:val="24"/>
          <w:lang w:val="en-GB"/>
        </w:rPr>
        <w:t>Cognitive Science, 12</w:t>
      </w:r>
      <w:r w:rsidRPr="00D56CCA">
        <w:rPr>
          <w:rFonts w:ascii="Arial" w:eastAsia="Arial" w:hAnsi="Arial" w:cs="Arial"/>
          <w:sz w:val="24"/>
          <w:szCs w:val="24"/>
          <w:lang w:val="en-GB"/>
        </w:rPr>
        <w:t>(2), 257–285. </w:t>
      </w:r>
      <w:hyperlink r:id="rId22" w:tgtFrame="_blank" w:history="1">
        <w:r w:rsidRPr="00D56CCA">
          <w:rPr>
            <w:rStyle w:val="Hyperlink"/>
            <w:rFonts w:ascii="Arial" w:eastAsia="Arial" w:hAnsi="Arial" w:cs="Arial"/>
            <w:sz w:val="24"/>
            <w:szCs w:val="24"/>
            <w:lang w:val="en-GB"/>
          </w:rPr>
          <w:t>https://doi.org/10.1207/s15516709cog1202_4</w:t>
        </w:r>
      </w:hyperlink>
    </w:p>
    <w:p w14:paraId="269C4AFC"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National Literacy Trust (2024) </w:t>
      </w:r>
      <w:r w:rsidRPr="00D56CCA">
        <w:rPr>
          <w:rFonts w:ascii="Arial" w:eastAsia="Arial" w:hAnsi="Arial" w:cs="Arial"/>
          <w:i/>
          <w:iCs/>
          <w:sz w:val="24"/>
          <w:szCs w:val="24"/>
          <w:lang w:val="en-GB"/>
        </w:rPr>
        <w:t xml:space="preserve">Creating confident communicators: How the government can help every child find their voice. Available at: </w:t>
      </w:r>
      <w:hyperlink r:id="rId23" w:history="1">
        <w:r w:rsidRPr="00D56CCA">
          <w:rPr>
            <w:rStyle w:val="Hyperlink"/>
            <w:rFonts w:ascii="Arial" w:eastAsia="Arial" w:hAnsi="Arial" w:cs="Arial"/>
            <w:sz w:val="24"/>
            <w:szCs w:val="24"/>
            <w:lang w:val="en-GB"/>
          </w:rPr>
          <w:t>https://nlt.cdn.ngo/media/documents/Crea</w:t>
        </w:r>
        <w:r w:rsidRPr="00D56CCA">
          <w:rPr>
            <w:rStyle w:val="Hyperlink"/>
            <w:rFonts w:ascii="Arial" w:eastAsia="Arial" w:hAnsi="Arial" w:cs="Arial"/>
            <w:sz w:val="24"/>
            <w:szCs w:val="24"/>
            <w:lang w:val="en-GB"/>
          </w:rPr>
          <w:t>t</w:t>
        </w:r>
        <w:r w:rsidRPr="00D56CCA">
          <w:rPr>
            <w:rStyle w:val="Hyperlink"/>
            <w:rFonts w:ascii="Arial" w:eastAsia="Arial" w:hAnsi="Arial" w:cs="Arial"/>
            <w:sz w:val="24"/>
            <w:szCs w:val="24"/>
            <w:lang w:val="en-GB"/>
          </w:rPr>
          <w:t>ing_confident_communicators_-_How_the_government_can_help_every_child_fin_4zRs95n.pdf</w:t>
        </w:r>
      </w:hyperlink>
      <w:r w:rsidRPr="00D56CCA">
        <w:rPr>
          <w:rFonts w:ascii="Arial" w:eastAsia="Arial" w:hAnsi="Arial" w:cs="Arial"/>
          <w:sz w:val="24"/>
          <w:szCs w:val="24"/>
          <w:lang w:val="en-GB"/>
        </w:rPr>
        <w:t>.</w:t>
      </w:r>
      <w:r w:rsidRPr="00D56CCA">
        <w:rPr>
          <w:rFonts w:ascii="Arial" w:eastAsia="Arial" w:hAnsi="Arial" w:cs="Arial"/>
          <w:i/>
          <w:iCs/>
          <w:sz w:val="24"/>
          <w:szCs w:val="24"/>
          <w:lang w:val="en-GB"/>
        </w:rPr>
        <w:t xml:space="preserve"> </w:t>
      </w:r>
      <w:r w:rsidRPr="00D56CCA">
        <w:rPr>
          <w:rFonts w:ascii="Arial" w:eastAsia="Arial" w:hAnsi="Arial" w:cs="Arial"/>
          <w:sz w:val="24"/>
          <w:szCs w:val="24"/>
          <w:lang w:val="en-GB"/>
        </w:rPr>
        <w:t>Accessed: 24 October 2024).</w:t>
      </w:r>
    </w:p>
    <w:p w14:paraId="54F57DF6"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 National Literacy Trust (no date) </w:t>
      </w:r>
      <w:r w:rsidRPr="00D56CCA">
        <w:rPr>
          <w:rFonts w:ascii="Arial" w:eastAsia="Arial" w:hAnsi="Arial" w:cs="Arial"/>
          <w:i/>
          <w:iCs/>
          <w:sz w:val="24"/>
          <w:szCs w:val="24"/>
          <w:lang w:val="en-GB"/>
        </w:rPr>
        <w:t>Oracy report: Creating confident communicators.</w:t>
      </w:r>
      <w:r w:rsidRPr="00D56CCA">
        <w:rPr>
          <w:rFonts w:ascii="Arial" w:eastAsia="Arial" w:hAnsi="Arial" w:cs="Arial"/>
          <w:sz w:val="24"/>
          <w:szCs w:val="24"/>
          <w:lang w:val="en-GB"/>
        </w:rPr>
        <w:t xml:space="preserve"> </w:t>
      </w:r>
      <w:hyperlink r:id="rId24" w:history="1">
        <w:r w:rsidRPr="00D56CCA">
          <w:rPr>
            <w:rStyle w:val="Hyperlink"/>
            <w:rFonts w:ascii="Arial" w:eastAsia="Arial" w:hAnsi="Arial" w:cs="Arial"/>
            <w:sz w:val="24"/>
            <w:szCs w:val="24"/>
            <w:lang w:val="en-GB"/>
          </w:rPr>
          <w:t>https://literacytrust.org.uk/policy-and-campaigns/oracy-report/#:~:text=almost%20a%20third%20(31%25),of%20children%20</w:t>
        </w:r>
        <w:r w:rsidRPr="00D56CCA">
          <w:rPr>
            <w:rStyle w:val="Hyperlink"/>
            <w:rFonts w:ascii="Arial" w:eastAsia="Arial" w:hAnsi="Arial" w:cs="Arial"/>
            <w:sz w:val="24"/>
            <w:szCs w:val="24"/>
            <w:lang w:val="en-GB"/>
          </w:rPr>
          <w:t>f</w:t>
        </w:r>
        <w:r w:rsidRPr="00D56CCA">
          <w:rPr>
            <w:rStyle w:val="Hyperlink"/>
            <w:rFonts w:ascii="Arial" w:eastAsia="Arial" w:hAnsi="Arial" w:cs="Arial"/>
            <w:sz w:val="24"/>
            <w:szCs w:val="24"/>
            <w:lang w:val="en-GB"/>
          </w:rPr>
          <w:t>rom%20disadvantaged%20communities</w:t>
        </w:r>
      </w:hyperlink>
      <w:r w:rsidRPr="00D56CCA">
        <w:rPr>
          <w:rFonts w:ascii="Arial" w:eastAsia="Arial" w:hAnsi="Arial" w:cs="Arial"/>
          <w:sz w:val="24"/>
          <w:szCs w:val="24"/>
          <w:lang w:val="en-GB"/>
        </w:rPr>
        <w:t>. (Accessed: 24 October 2024).</w:t>
      </w:r>
    </w:p>
    <w:p w14:paraId="68EE2D17"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Theirworld (2018) </w:t>
      </w:r>
      <w:r w:rsidRPr="00D56CCA">
        <w:rPr>
          <w:rFonts w:ascii="Arial" w:eastAsia="Arial" w:hAnsi="Arial" w:cs="Arial"/>
          <w:i/>
          <w:iCs/>
          <w:sz w:val="24"/>
          <w:szCs w:val="24"/>
          <w:lang w:val="en-GB"/>
        </w:rPr>
        <w:t>‘Children are like little sponges’: early learning can set them up for life.</w:t>
      </w:r>
      <w:r w:rsidRPr="00D56CCA">
        <w:rPr>
          <w:rFonts w:ascii="Arial" w:eastAsia="Arial" w:hAnsi="Arial" w:cs="Arial"/>
          <w:sz w:val="24"/>
          <w:szCs w:val="24"/>
          <w:lang w:val="en-GB"/>
        </w:rPr>
        <w:t xml:space="preserve"> Available at: </w:t>
      </w:r>
      <w:hyperlink r:id="rId25" w:history="1">
        <w:r w:rsidRPr="00D56CCA">
          <w:rPr>
            <w:rStyle w:val="Hyperlink"/>
            <w:rFonts w:ascii="Arial" w:eastAsia="Arial" w:hAnsi="Arial" w:cs="Arial"/>
            <w:sz w:val="24"/>
            <w:szCs w:val="24"/>
            <w:lang w:val="en-GB"/>
          </w:rPr>
          <w:t>https://theirworld.org/news/early-learning-sets-up-young-children-for-life/</w:t>
        </w:r>
      </w:hyperlink>
      <w:r w:rsidRPr="00D56CCA">
        <w:rPr>
          <w:rFonts w:ascii="Arial" w:eastAsia="Arial" w:hAnsi="Arial" w:cs="Arial"/>
          <w:sz w:val="24"/>
          <w:szCs w:val="24"/>
          <w:lang w:val="en-GB"/>
        </w:rPr>
        <w:t>. (Accessed: 25 October 2024).</w:t>
      </w:r>
    </w:p>
    <w:p w14:paraId="1444CCA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Theodotou, E. (2024). If you give them the chance, they will thrive: exploring literacy development through the arts in early childhood education. </w:t>
      </w:r>
      <w:r w:rsidRPr="00D56CCA">
        <w:rPr>
          <w:rFonts w:ascii="Arial" w:eastAsia="Arial" w:hAnsi="Arial" w:cs="Arial"/>
          <w:i/>
          <w:iCs/>
          <w:sz w:val="24"/>
          <w:szCs w:val="24"/>
          <w:lang w:val="en-GB"/>
        </w:rPr>
        <w:t>Early Years</w:t>
      </w:r>
      <w:r w:rsidRPr="00D56CCA">
        <w:rPr>
          <w:rFonts w:ascii="Arial" w:eastAsia="Arial" w:hAnsi="Arial" w:cs="Arial"/>
          <w:sz w:val="24"/>
          <w:szCs w:val="24"/>
          <w:lang w:val="en-GB"/>
        </w:rPr>
        <w:t xml:space="preserve">, 1–14. Available at: </w:t>
      </w:r>
      <w:hyperlink r:id="rId26" w:history="1">
        <w:r w:rsidRPr="00D56CCA">
          <w:rPr>
            <w:rStyle w:val="Hyperlink"/>
            <w:rFonts w:ascii="Arial" w:eastAsia="Arial" w:hAnsi="Arial" w:cs="Arial"/>
            <w:sz w:val="24"/>
            <w:szCs w:val="24"/>
            <w:lang w:val="en-GB"/>
          </w:rPr>
          <w:t>https://doi.org/10.1080/09575146.2024.2343712</w:t>
        </w:r>
      </w:hyperlink>
      <w:r w:rsidRPr="00D56CCA">
        <w:rPr>
          <w:rFonts w:ascii="Arial" w:eastAsia="Arial" w:hAnsi="Arial" w:cs="Arial"/>
          <w:sz w:val="24"/>
          <w:szCs w:val="24"/>
          <w:lang w:val="en-GB"/>
        </w:rPr>
        <w:t>. (Accessed: 26 October 2024).</w:t>
      </w:r>
    </w:p>
    <w:p w14:paraId="2E6D1CAF"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Verhallen, M.J.A.J. and Bus, A.G. (2010) ‘Low-income immigrant children and non-immigrant children in the Netherlands: Ethnic background, parent literacy, and the home literacy environment’, </w:t>
      </w:r>
      <w:r w:rsidRPr="00D56CCA">
        <w:rPr>
          <w:rFonts w:ascii="Arial" w:eastAsia="Arial" w:hAnsi="Arial" w:cs="Arial"/>
          <w:i/>
          <w:iCs/>
          <w:sz w:val="24"/>
          <w:szCs w:val="24"/>
          <w:lang w:val="en-GB"/>
        </w:rPr>
        <w:t>Educational Research and Evaluation</w:t>
      </w:r>
      <w:r w:rsidRPr="00D56CCA">
        <w:rPr>
          <w:rFonts w:ascii="Arial" w:eastAsia="Arial" w:hAnsi="Arial" w:cs="Arial"/>
          <w:sz w:val="24"/>
          <w:szCs w:val="24"/>
          <w:lang w:val="en-GB"/>
        </w:rPr>
        <w:t>, 16(5), pp. 465–478. doi:10.1080/13803611.2010.522621.</w:t>
      </w:r>
    </w:p>
    <w:p w14:paraId="2AF22783"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Vu, V., Warschauer, M. and Yim, S. (2019) ‘Digital storytelling: A district initiative for academic literacy improvement’, </w:t>
      </w:r>
      <w:r w:rsidRPr="00D56CCA">
        <w:rPr>
          <w:rFonts w:ascii="Arial" w:eastAsia="Arial" w:hAnsi="Arial" w:cs="Arial"/>
          <w:i/>
          <w:iCs/>
          <w:sz w:val="24"/>
          <w:szCs w:val="24"/>
          <w:lang w:val="en-GB"/>
        </w:rPr>
        <w:t>Journal of Adolescent &amp; Adult Literacy</w:t>
      </w:r>
      <w:r w:rsidRPr="00D56CCA">
        <w:rPr>
          <w:rFonts w:ascii="Arial" w:eastAsia="Arial" w:hAnsi="Arial" w:cs="Arial"/>
          <w:sz w:val="24"/>
          <w:szCs w:val="24"/>
          <w:lang w:val="en-GB"/>
        </w:rPr>
        <w:t>, 63(3), pp. 257–267. DOI:10.1002/jaal.962.</w:t>
      </w:r>
    </w:p>
    <w:p w14:paraId="26E2A070"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Welsh Government (2022) </w:t>
      </w:r>
      <w:r w:rsidRPr="00D56CCA">
        <w:rPr>
          <w:rFonts w:ascii="Arial" w:eastAsia="Arial" w:hAnsi="Arial" w:cs="Arial"/>
          <w:i/>
          <w:iCs/>
          <w:sz w:val="24"/>
          <w:szCs w:val="24"/>
          <w:lang w:val="en-GB"/>
        </w:rPr>
        <w:t>Digital Competence Framework</w:t>
      </w:r>
      <w:r w:rsidRPr="00D56CCA">
        <w:rPr>
          <w:rFonts w:ascii="Arial" w:eastAsia="Arial" w:hAnsi="Arial" w:cs="Arial"/>
          <w:sz w:val="24"/>
          <w:szCs w:val="24"/>
          <w:lang w:val="en-GB"/>
        </w:rPr>
        <w:t xml:space="preserve">. Available at: </w:t>
      </w:r>
      <w:hyperlink r:id="rId27" w:history="1">
        <w:r w:rsidRPr="00D56CCA">
          <w:rPr>
            <w:rStyle w:val="Hyperlink"/>
            <w:rFonts w:ascii="Arial" w:eastAsia="Arial" w:hAnsi="Arial" w:cs="Arial"/>
            <w:sz w:val="24"/>
            <w:szCs w:val="24"/>
            <w:lang w:val="en-GB"/>
          </w:rPr>
          <w:t>https://hwb.gov.wales/curriculum-for-wales/cross-curricular-skills-frameworks/#digital-competence-fr</w:t>
        </w:r>
        <w:r w:rsidRPr="00D56CCA">
          <w:rPr>
            <w:rStyle w:val="Hyperlink"/>
            <w:rFonts w:ascii="Arial" w:eastAsia="Arial" w:hAnsi="Arial" w:cs="Arial"/>
            <w:sz w:val="24"/>
            <w:szCs w:val="24"/>
            <w:lang w:val="en-GB"/>
          </w:rPr>
          <w:t>a</w:t>
        </w:r>
        <w:r w:rsidRPr="00D56CCA">
          <w:rPr>
            <w:rStyle w:val="Hyperlink"/>
            <w:rFonts w:ascii="Arial" w:eastAsia="Arial" w:hAnsi="Arial" w:cs="Arial"/>
            <w:sz w:val="24"/>
            <w:szCs w:val="24"/>
            <w:lang w:val="en-GB"/>
          </w:rPr>
          <w:t>mework</w:t>
        </w:r>
      </w:hyperlink>
      <w:r w:rsidRPr="00D56CCA">
        <w:rPr>
          <w:rFonts w:ascii="Arial" w:eastAsia="Arial" w:hAnsi="Arial" w:cs="Arial"/>
          <w:sz w:val="24"/>
          <w:szCs w:val="24"/>
          <w:lang w:val="en-GB"/>
        </w:rPr>
        <w:t>.  (Accessed: 24 October 2024).</w:t>
      </w:r>
    </w:p>
    <w:p w14:paraId="5F31A5FA" w14:textId="77777777" w:rsidR="00D56CCA" w:rsidRPr="00D56CCA" w:rsidRDefault="00D56CCA" w:rsidP="00D56CCA">
      <w:pPr>
        <w:spacing w:line="360" w:lineRule="auto"/>
        <w:jc w:val="both"/>
        <w:rPr>
          <w:rFonts w:ascii="Arial" w:eastAsia="Arial" w:hAnsi="Arial" w:cs="Arial"/>
          <w:sz w:val="24"/>
          <w:szCs w:val="24"/>
          <w:lang w:val="en-GB"/>
        </w:rPr>
      </w:pPr>
      <w:r w:rsidRPr="00D56CCA">
        <w:rPr>
          <w:rFonts w:ascii="Arial" w:eastAsia="Arial" w:hAnsi="Arial" w:cs="Arial"/>
          <w:sz w:val="24"/>
          <w:szCs w:val="24"/>
          <w:lang w:val="en-GB"/>
        </w:rPr>
        <w:t xml:space="preserve">Westlund, K. </w:t>
      </w:r>
      <w:r w:rsidRPr="00D56CCA">
        <w:rPr>
          <w:rFonts w:ascii="Arial" w:eastAsia="Arial" w:hAnsi="Arial" w:cs="Arial"/>
          <w:i/>
          <w:iCs/>
          <w:sz w:val="24"/>
          <w:szCs w:val="24"/>
          <w:lang w:val="en-GB"/>
        </w:rPr>
        <w:t>et al.</w:t>
      </w:r>
      <w:r w:rsidRPr="00D56CCA">
        <w:rPr>
          <w:rFonts w:ascii="Arial" w:eastAsia="Arial" w:hAnsi="Arial" w:cs="Arial"/>
          <w:sz w:val="24"/>
          <w:szCs w:val="24"/>
          <w:lang w:val="en-GB"/>
        </w:rPr>
        <w:t xml:space="preserve"> (2017) ‘Flat vs. Expressive Storytelling: Young Children's Learning and Retention of a Social Robot's Narrative’. </w:t>
      </w:r>
      <w:r w:rsidRPr="00D56CCA">
        <w:rPr>
          <w:rFonts w:ascii="Arial" w:eastAsia="Arial" w:hAnsi="Arial" w:cs="Arial"/>
          <w:i/>
          <w:iCs/>
          <w:sz w:val="24"/>
          <w:szCs w:val="24"/>
          <w:lang w:val="en-GB"/>
        </w:rPr>
        <w:t>Frontiers in human neuroscience</w:t>
      </w:r>
      <w:r w:rsidRPr="00D56CCA">
        <w:rPr>
          <w:rFonts w:ascii="Arial" w:eastAsia="Arial" w:hAnsi="Arial" w:cs="Arial"/>
          <w:sz w:val="24"/>
          <w:szCs w:val="24"/>
          <w:lang w:val="en-GB"/>
        </w:rPr>
        <w:t>, </w:t>
      </w:r>
      <w:r w:rsidRPr="00D56CCA">
        <w:rPr>
          <w:rFonts w:ascii="Arial" w:eastAsia="Arial" w:hAnsi="Arial" w:cs="Arial"/>
          <w:i/>
          <w:iCs/>
          <w:sz w:val="24"/>
          <w:szCs w:val="24"/>
          <w:lang w:val="en-GB"/>
        </w:rPr>
        <w:t>11</w:t>
      </w:r>
      <w:r w:rsidRPr="00D56CCA">
        <w:rPr>
          <w:rFonts w:ascii="Arial" w:eastAsia="Arial" w:hAnsi="Arial" w:cs="Arial"/>
          <w:sz w:val="24"/>
          <w:szCs w:val="24"/>
          <w:lang w:val="en-GB"/>
        </w:rPr>
        <w:t xml:space="preserve">, 295. Available at: </w:t>
      </w:r>
      <w:hyperlink r:id="rId28" w:history="1">
        <w:r w:rsidRPr="00D56CCA">
          <w:rPr>
            <w:rStyle w:val="Hyperlink"/>
            <w:rFonts w:ascii="Arial" w:eastAsia="Arial" w:hAnsi="Arial" w:cs="Arial"/>
            <w:sz w:val="24"/>
            <w:szCs w:val="24"/>
            <w:lang w:val="en-GB"/>
          </w:rPr>
          <w:t>https://doi.org/10.3389/fnhum.2017.00295</w:t>
        </w:r>
      </w:hyperlink>
      <w:r w:rsidRPr="00D56CCA">
        <w:rPr>
          <w:rFonts w:ascii="Arial" w:eastAsia="Arial" w:hAnsi="Arial" w:cs="Arial"/>
          <w:sz w:val="24"/>
          <w:szCs w:val="24"/>
          <w:lang w:val="en-GB"/>
        </w:rPr>
        <w:t>. (Accessed: 26 October 2024).</w:t>
      </w:r>
    </w:p>
    <w:p w14:paraId="2D29BFA2" w14:textId="0EB957FE" w:rsidR="00D56CCA" w:rsidRPr="00D56CCA" w:rsidRDefault="00D56CCA" w:rsidP="00D56CCA">
      <w:pPr>
        <w:spacing w:line="360" w:lineRule="auto"/>
        <w:jc w:val="both"/>
        <w:rPr>
          <w:rFonts w:ascii="Arial" w:eastAsia="Arial" w:hAnsi="Arial" w:cs="Arial"/>
          <w:sz w:val="24"/>
          <w:szCs w:val="24"/>
          <w:lang w:val="en-GB"/>
        </w:rPr>
      </w:pPr>
      <w:r w:rsidRPr="00751A53">
        <w:rPr>
          <w:rFonts w:ascii="Arial" w:eastAsia="Arial" w:hAnsi="Arial" w:cs="Arial"/>
          <w:sz w:val="24"/>
          <w:szCs w:val="24"/>
          <w:lang w:val="en-GB"/>
        </w:rPr>
        <w:t xml:space="preserve">World Book Day (2022) </w:t>
      </w:r>
      <w:r w:rsidRPr="00751A53">
        <w:rPr>
          <w:rFonts w:ascii="Arial" w:eastAsia="Arial" w:hAnsi="Arial" w:cs="Arial"/>
          <w:i/>
          <w:iCs/>
          <w:sz w:val="24"/>
          <w:szCs w:val="24"/>
          <w:lang w:val="en-GB"/>
        </w:rPr>
        <w:t>Ruby's Worry (Share a Story Corner)</w:t>
      </w:r>
      <w:r w:rsidRPr="00751A53">
        <w:rPr>
          <w:rFonts w:ascii="Arial" w:eastAsia="Arial" w:hAnsi="Arial" w:cs="Arial"/>
          <w:sz w:val="24"/>
          <w:szCs w:val="24"/>
          <w:lang w:val="en-GB"/>
        </w:rPr>
        <w:t>.</w:t>
      </w:r>
      <w:r w:rsidRPr="00D56CCA">
        <w:rPr>
          <w:rFonts w:ascii="Arial" w:eastAsia="Arial" w:hAnsi="Arial" w:cs="Arial"/>
          <w:sz w:val="24"/>
          <w:szCs w:val="24"/>
          <w:lang w:val="en-GB"/>
        </w:rPr>
        <w:t xml:space="preserve"> </w:t>
      </w:r>
      <w:r w:rsidRPr="00751A53">
        <w:rPr>
          <w:rFonts w:ascii="Arial" w:eastAsia="Arial" w:hAnsi="Arial" w:cs="Arial"/>
          <w:sz w:val="24"/>
          <w:szCs w:val="24"/>
          <w:lang w:val="en-GB"/>
        </w:rPr>
        <w:t xml:space="preserve">Available at: </w:t>
      </w:r>
      <w:hyperlink r:id="rId29" w:history="1">
        <w:r w:rsidRPr="00751A53">
          <w:rPr>
            <w:rStyle w:val="Hyperlink"/>
            <w:rFonts w:ascii="Arial" w:eastAsia="Arial" w:hAnsi="Arial" w:cs="Arial"/>
            <w:sz w:val="24"/>
            <w:szCs w:val="24"/>
            <w:lang w:val="en-GB"/>
          </w:rPr>
          <w:t>https://youtu.be/l8E6R0lAXqA?si=OeJj_UGUfPtacrYz</w:t>
        </w:r>
      </w:hyperlink>
      <w:r w:rsidRPr="00751A53">
        <w:rPr>
          <w:rFonts w:ascii="Arial" w:eastAsia="Arial" w:hAnsi="Arial" w:cs="Arial"/>
          <w:sz w:val="24"/>
          <w:szCs w:val="24"/>
          <w:lang w:val="en-GB"/>
        </w:rPr>
        <w:t>. (Accessed: 23 October 2024)</w:t>
      </w:r>
    </w:p>
    <w:sectPr w:rsidR="00D56CCA" w:rsidRPr="00D56CCA">
      <w:headerReference w:type="default" r:id="rId30"/>
      <w:footerReference w:type="even" r:id="rId31"/>
      <w:footerReference w:type="default" r:id="rId3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5D6463C" w14:textId="77777777" w:rsidR="00185AC4" w:rsidRDefault="00185AC4">
      <w:pPr>
        <w:spacing w:after="0" w:line="240" w:lineRule="auto"/>
      </w:pPr>
      <w:r>
        <w:separator/>
      </w:r>
    </w:p>
  </w:endnote>
  <w:endnote w:type="continuationSeparator" w:id="0">
    <w:p w14:paraId="03507437" w14:textId="77777777" w:rsidR="00185AC4" w:rsidRDefault="00185A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altName w:val="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6B58C6" w14:textId="2FF80484"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p w14:paraId="550BAFFD" w14:textId="77777777" w:rsidR="00B302E4" w:rsidRDefault="00B302E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225150736"/>
      <w:docPartObj>
        <w:docPartGallery w:val="Page Numbers (Bottom of Page)"/>
        <w:docPartUnique/>
      </w:docPartObj>
    </w:sdtPr>
    <w:sdtContent>
      <w:p w14:paraId="79B9533A" w14:textId="7670A451" w:rsidR="00B302E4" w:rsidRDefault="00B302E4" w:rsidP="004E7C92">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tbl>
    <w:tblPr>
      <w:tblW w:w="0" w:type="auto"/>
      <w:tblLayout w:type="fixed"/>
      <w:tblLook w:val="06A0" w:firstRow="1" w:lastRow="0" w:firstColumn="1" w:lastColumn="0" w:noHBand="1" w:noVBand="1"/>
    </w:tblPr>
    <w:tblGrid>
      <w:gridCol w:w="3120"/>
      <w:gridCol w:w="3120"/>
      <w:gridCol w:w="3120"/>
    </w:tblGrid>
    <w:tr w:rsidR="60A775A8" w14:paraId="17D78134" w14:textId="77777777" w:rsidTr="60A775A8">
      <w:trPr>
        <w:trHeight w:val="300"/>
      </w:trPr>
      <w:tc>
        <w:tcPr>
          <w:tcW w:w="3120" w:type="dxa"/>
        </w:tcPr>
        <w:p w14:paraId="74D27D09" w14:textId="634FEA00" w:rsidR="60A775A8" w:rsidRDefault="60A775A8" w:rsidP="60A775A8">
          <w:pPr>
            <w:pStyle w:val="Header"/>
            <w:ind w:left="-115"/>
          </w:pPr>
        </w:p>
      </w:tc>
      <w:tc>
        <w:tcPr>
          <w:tcW w:w="3120" w:type="dxa"/>
        </w:tcPr>
        <w:p w14:paraId="50C4F31B" w14:textId="719A903E" w:rsidR="60A775A8" w:rsidRDefault="60A775A8" w:rsidP="60A775A8">
          <w:pPr>
            <w:pStyle w:val="Header"/>
            <w:jc w:val="center"/>
          </w:pPr>
        </w:p>
      </w:tc>
      <w:tc>
        <w:tcPr>
          <w:tcW w:w="3120" w:type="dxa"/>
        </w:tcPr>
        <w:p w14:paraId="41AD23EF" w14:textId="20782C4E" w:rsidR="60A775A8" w:rsidRDefault="60A775A8" w:rsidP="60A775A8">
          <w:pPr>
            <w:pStyle w:val="Header"/>
            <w:ind w:right="-115"/>
            <w:jc w:val="right"/>
          </w:pPr>
        </w:p>
      </w:tc>
    </w:tr>
  </w:tbl>
  <w:p w14:paraId="6779DEBE" w14:textId="06C161F1" w:rsidR="60A775A8" w:rsidRDefault="60A775A8" w:rsidP="60A775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17CFFE" w14:textId="77777777" w:rsidR="00185AC4" w:rsidRDefault="00185AC4">
      <w:pPr>
        <w:spacing w:after="0" w:line="240" w:lineRule="auto"/>
      </w:pPr>
      <w:r>
        <w:separator/>
      </w:r>
    </w:p>
  </w:footnote>
  <w:footnote w:type="continuationSeparator" w:id="0">
    <w:p w14:paraId="168853EA" w14:textId="77777777" w:rsidR="00185AC4" w:rsidRDefault="00185A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60A775A8" w14:paraId="3C3CB01B" w14:textId="77777777" w:rsidTr="60A775A8">
      <w:trPr>
        <w:trHeight w:val="300"/>
      </w:trPr>
      <w:tc>
        <w:tcPr>
          <w:tcW w:w="3120" w:type="dxa"/>
        </w:tcPr>
        <w:p w14:paraId="0D570317" w14:textId="13408203" w:rsidR="60A775A8" w:rsidRDefault="60A775A8" w:rsidP="60A775A8">
          <w:pPr>
            <w:pStyle w:val="Header"/>
            <w:ind w:left="-115"/>
          </w:pPr>
          <w:r>
            <w:t>2307239</w:t>
          </w:r>
        </w:p>
      </w:tc>
      <w:tc>
        <w:tcPr>
          <w:tcW w:w="3120" w:type="dxa"/>
        </w:tcPr>
        <w:p w14:paraId="4B58A09E" w14:textId="3F0D3B16" w:rsidR="60A775A8" w:rsidRDefault="00266CF3" w:rsidP="60A775A8">
          <w:pPr>
            <w:pStyle w:val="Header"/>
            <w:jc w:val="center"/>
          </w:pPr>
          <w:r>
            <w:t>ECEY5004</w:t>
          </w:r>
        </w:p>
      </w:tc>
      <w:tc>
        <w:tcPr>
          <w:tcW w:w="3120" w:type="dxa"/>
        </w:tcPr>
        <w:p w14:paraId="4EA0A332" w14:textId="5B2133B1" w:rsidR="60A775A8" w:rsidRDefault="60A775A8" w:rsidP="00D56CCA">
          <w:pPr>
            <w:pStyle w:val="Header"/>
            <w:ind w:right="-115"/>
            <w:jc w:val="right"/>
          </w:pPr>
          <w:r>
            <w:t>Word Count</w:t>
          </w:r>
          <w:r w:rsidR="00D56CCA">
            <w:t>: 2172</w:t>
          </w:r>
        </w:p>
      </w:tc>
    </w:tr>
  </w:tbl>
  <w:p w14:paraId="403141D5" w14:textId="2364F771" w:rsidR="60A775A8" w:rsidRDefault="60A775A8" w:rsidP="60A775A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AAF7DF0"/>
    <w:multiLevelType w:val="hybridMultilevel"/>
    <w:tmpl w:val="55C26876"/>
    <w:lvl w:ilvl="0" w:tplc="446A2A0C">
      <w:start w:val="160"/>
      <w:numFmt w:val="bullet"/>
      <w:lvlText w:val="-"/>
      <w:lvlJc w:val="left"/>
      <w:pPr>
        <w:ind w:left="720" w:hanging="360"/>
      </w:pPr>
      <w:rPr>
        <w:rFonts w:ascii="Arial" w:eastAsia="Arial"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1819143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3837B03"/>
    <w:rsid w:val="00006078"/>
    <w:rsid w:val="00101933"/>
    <w:rsid w:val="00125179"/>
    <w:rsid w:val="00185AC4"/>
    <w:rsid w:val="00266CF3"/>
    <w:rsid w:val="002A67F3"/>
    <w:rsid w:val="002E35D3"/>
    <w:rsid w:val="00306EE8"/>
    <w:rsid w:val="00835809"/>
    <w:rsid w:val="00A03EE5"/>
    <w:rsid w:val="00AF2DD1"/>
    <w:rsid w:val="00B302E4"/>
    <w:rsid w:val="00BD1490"/>
    <w:rsid w:val="00C263D5"/>
    <w:rsid w:val="00D21C31"/>
    <w:rsid w:val="00D56CCA"/>
    <w:rsid w:val="00E926E7"/>
    <w:rsid w:val="162F46CA"/>
    <w:rsid w:val="42D83440"/>
    <w:rsid w:val="53837B03"/>
    <w:rsid w:val="5B015775"/>
    <w:rsid w:val="5D6FD4E6"/>
    <w:rsid w:val="60A775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837B03"/>
  <w15:chartTrackingRefBased/>
  <w15:docId w15:val="{3AD0A3F0-6B4F-4A84-9706-A2E5674700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PageNumber">
    <w:name w:val="page number"/>
    <w:basedOn w:val="DefaultParagraphFont"/>
    <w:uiPriority w:val="99"/>
    <w:semiHidden/>
    <w:unhideWhenUsed/>
    <w:rsid w:val="00B302E4"/>
  </w:style>
  <w:style w:type="paragraph" w:styleId="ListParagraph">
    <w:name w:val="List Paragraph"/>
    <w:basedOn w:val="Normal"/>
    <w:uiPriority w:val="34"/>
    <w:qFormat/>
    <w:rsid w:val="00A03EE5"/>
    <w:pPr>
      <w:ind w:left="720"/>
      <w:contextualSpacing/>
    </w:pPr>
  </w:style>
  <w:style w:type="character" w:styleId="Hyperlink">
    <w:name w:val="Hyperlink"/>
    <w:basedOn w:val="DefaultParagraphFont"/>
    <w:uiPriority w:val="99"/>
    <w:unhideWhenUsed/>
    <w:rsid w:val="00D56CCA"/>
    <w:rPr>
      <w:color w:val="0563C1" w:themeColor="hyperlink"/>
      <w:u w:val="single"/>
    </w:rPr>
  </w:style>
  <w:style w:type="character" w:styleId="UnresolvedMention">
    <w:name w:val="Unresolved Mention"/>
    <w:basedOn w:val="DefaultParagraphFont"/>
    <w:uiPriority w:val="99"/>
    <w:semiHidden/>
    <w:unhideWhenUsed/>
    <w:rsid w:val="00D56CCA"/>
    <w:rPr>
      <w:color w:val="605E5C"/>
      <w:shd w:val="clear" w:color="auto" w:fill="E1DFDD"/>
    </w:rPr>
  </w:style>
  <w:style w:type="character" w:styleId="FollowedHyperlink">
    <w:name w:val="FollowedHyperlink"/>
    <w:basedOn w:val="DefaultParagraphFont"/>
    <w:uiPriority w:val="99"/>
    <w:semiHidden/>
    <w:unhideWhenUsed/>
    <w:rsid w:val="00D56CC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56778/jdlde.v2i9.227" TargetMode="External"/><Relationship Id="rId18" Type="http://schemas.openxmlformats.org/officeDocument/2006/relationships/hyperlink" Target="https://montessoriparenting.org/the-importance-of-slowing-down-with-young-children/" TargetMode="External"/><Relationship Id="rId26" Type="http://schemas.openxmlformats.org/officeDocument/2006/relationships/hyperlink" Target="https://doi.org/10.1080/09575146.2024.2343712" TargetMode="External"/><Relationship Id="rId3" Type="http://schemas.openxmlformats.org/officeDocument/2006/relationships/settings" Target="settings.xml"/><Relationship Id="rId21" Type="http://schemas.openxmlformats.org/officeDocument/2006/relationships/hyperlink" Target="https://eyfs.info/articles.html/teaching-and-learning/supporting-children%E2%80%99s-speech-language-and-communication-skills-r234/" TargetMode="External"/><Relationship Id="rId34" Type="http://schemas.openxmlformats.org/officeDocument/2006/relationships/theme" Target="theme/theme1.xml"/><Relationship Id="rId7" Type="http://schemas.openxmlformats.org/officeDocument/2006/relationships/hyperlink" Target="https://www.actionforchildren.org.uk/blog/what-is-sensory-play-and-why-is-it-important/" TargetMode="External"/><Relationship Id="rId12" Type="http://schemas.openxmlformats.org/officeDocument/2006/relationships/hyperlink" Target="https://help-for-early-years-providers.education.gov.uk/areas-of-learning/communication-and-language/exploring-language#what-the-eyfs-framework-says" TargetMode="External"/><Relationship Id="rId17" Type="http://schemas.openxmlformats.org/officeDocument/2006/relationships/hyperlink" Target="https://doi.org/10.1016/j.ecresq.2020.07.004" TargetMode="External"/><Relationship Id="rId25" Type="http://schemas.openxmlformats.org/officeDocument/2006/relationships/hyperlink" Target="https://theirworld.org/news/early-learning-sets-up-young-children-for-life/" TargetMode="External"/><Relationship Id="rId33"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jstor.org/stable/j.ctv5j01w1.6" TargetMode="External"/><Relationship Id="rId20" Type="http://schemas.openxmlformats.org/officeDocument/2006/relationships/hyperlink" Target="https://www.oac.edu.au/news-views/sensory-play/" TargetMode="External"/><Relationship Id="rId29" Type="http://schemas.openxmlformats.org/officeDocument/2006/relationships/hyperlink" Target="https://youtu.be/l8E6R0lAXqA?si=OeJj_UGUfPtacrYz"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education/2018/jul/31/damian-hinds-social-mobility-children-school-screen-time" TargetMode="External"/><Relationship Id="rId24" Type="http://schemas.openxmlformats.org/officeDocument/2006/relationships/hyperlink" Target="https://literacytrust.org.uk/policy-and-campaigns/oracy-report/#:~:text=almost%20a%20third%20(31%25),of%20children%20from%20disadvantaged%20communities" TargetMode="External"/><Relationship Id="rId32"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hyperlink" Target="https://doi.org/10.4324/9781003335429" TargetMode="External"/><Relationship Id="rId23" Type="http://schemas.openxmlformats.org/officeDocument/2006/relationships/hyperlink" Target="https://nlt.cdn.ngo/media/documents/Creating_confident_communicators_-_How_the_government_can_help_every_child_fin_4zRs95n.pdf" TargetMode="External"/><Relationship Id="rId28" Type="http://schemas.openxmlformats.org/officeDocument/2006/relationships/hyperlink" Target="https://doi.org/10.3389/fnhum.2017.00295" TargetMode="External"/><Relationship Id="rId10" Type="http://schemas.openxmlformats.org/officeDocument/2006/relationships/hyperlink" Target="https://shura.shu.ac.uk/10338/3/burnett_and_merchant_-_the_challenge_of_21st_century_literacies.pdf" TargetMode="External"/><Relationship Id="rId19" Type="http://schemas.openxmlformats.org/officeDocument/2006/relationships/hyperlink" Target="https://doi.org/10.1016/j.system.2016.07.001" TargetMode="External"/><Relationship Id="rId31"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booktrust.org.uk/news-and-features/features/2024/april/the-crucial-role-of-storytelling-in-early-childhood-education/#:~:text=In%20Early%20Childhood%2C%20and%20especially,own%20ideas%2C%20knowledge%20and%20feelings" TargetMode="External"/><Relationship Id="rId14" Type="http://schemas.openxmlformats.org/officeDocument/2006/relationships/hyperlink" Target="https://doi.org/10.1177/26349795221115463" TargetMode="External"/><Relationship Id="rId22" Type="http://schemas.openxmlformats.org/officeDocument/2006/relationships/hyperlink" Target="https://psycnet.apa.org/doi/10.1207/s15516709cog1202_4" TargetMode="External"/><Relationship Id="rId27" Type="http://schemas.openxmlformats.org/officeDocument/2006/relationships/hyperlink" Target="https://hwb.gov.wales/curriculum-for-wales/cross-curricular-skills-frameworks/#digital-competence-framework" TargetMode="External"/><Relationship Id="rId30" Type="http://schemas.openxmlformats.org/officeDocument/2006/relationships/header" Target="header1.xml"/><Relationship Id="rId8" Type="http://schemas.openxmlformats.org/officeDocument/2006/relationships/hyperlink" Target="https://www.booktrust.org.uk/news-and-features/features/2020/april/a-letter-from-cressida-cowell-reading-is-magic-and-magic-is-for-everyon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11</Pages>
  <Words>3936</Words>
  <Characters>22438</Characters>
  <Application>Microsoft Office Word</Application>
  <DocSecurity>0</DocSecurity>
  <Lines>186</Lines>
  <Paragraphs>52</Paragraphs>
  <ScaleCrop>false</ScaleCrop>
  <Company/>
  <LinksUpToDate>false</LinksUpToDate>
  <CharactersWithSpaces>26322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Nurul Subhan</dc:creator>
  <cp:keywords/>
  <dc:description/>
  <cp:lastModifiedBy>Nurul Subhan (2307239)</cp:lastModifiedBy>
  <cp:revision>15</cp:revision>
  <dcterms:created xsi:type="dcterms:W3CDTF">2023-09-05T05:57:00Z</dcterms:created>
  <dcterms:modified xsi:type="dcterms:W3CDTF">2024-10-27T21:15:00Z</dcterms:modified>
</cp:coreProperties>
</file>