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4EAFCA" w14:textId="47AB9CC1" w:rsidR="00756C74" w:rsidRDefault="00882B84" w:rsidP="00882B84">
      <w:pPr>
        <w:jc w:val="center"/>
      </w:pPr>
      <w:r>
        <w:t>Essay question</w:t>
      </w:r>
    </w:p>
    <w:p w14:paraId="50A58876" w14:textId="61177CFF" w:rsidR="00671F2D" w:rsidRDefault="00671F2D" w:rsidP="00671F2D">
      <w:r>
        <w:t>What is Bad Faith?</w:t>
      </w:r>
      <w:r w:rsidR="00882B84">
        <w:t xml:space="preserve"> </w:t>
      </w:r>
      <w:bookmarkStart w:id="0" w:name="_GoBack"/>
      <w:bookmarkEnd w:id="0"/>
    </w:p>
    <w:p w14:paraId="3069EFD0" w14:textId="4FC19C5C" w:rsidR="00E34A05" w:rsidRDefault="00DA632C" w:rsidP="00671F2D">
      <w:r>
        <w:t>The Idea of bad faith is a concept that Sartre fought long and hard against</w:t>
      </w:r>
      <w:r w:rsidR="00FE6036">
        <w:t xml:space="preserve">, especially when coming to the terms of defining it. </w:t>
      </w:r>
      <w:r w:rsidR="003D0CF7">
        <w:t>In this essay</w:t>
      </w:r>
      <w:r w:rsidR="00464C0F">
        <w:t>,</w:t>
      </w:r>
      <w:r w:rsidR="00464C0F">
        <w:t xml:space="preserve"> I will compare the works of hi</w:t>
      </w:r>
      <w:r w:rsidR="00DA55F8">
        <w:t>s</w:t>
      </w:r>
      <w:r w:rsidR="00464C0F">
        <w:t xml:space="preserve"> main text; Being and nothingness</w:t>
      </w:r>
      <w:r w:rsidR="00464C0F">
        <w:rPr>
          <w:rStyle w:val="FootnoteReference"/>
        </w:rPr>
        <w:footnoteReference w:id="1"/>
      </w:r>
      <w:r w:rsidR="00464C0F">
        <w:t xml:space="preserve"> and his essay of existentialism is a humanism</w:t>
      </w:r>
      <w:r w:rsidR="00464C0F">
        <w:rPr>
          <w:rStyle w:val="FootnoteReference"/>
        </w:rPr>
        <w:footnoteReference w:id="2"/>
      </w:r>
      <w:r w:rsidR="00464C0F">
        <w:t xml:space="preserve"> as well as looking at the work of others who both criticize and asses what Sartre means by Bad faith.</w:t>
      </w:r>
      <w:r w:rsidR="00464C0F">
        <w:t xml:space="preserve"> </w:t>
      </w:r>
      <w:r w:rsidR="00862592">
        <w:t xml:space="preserve">After </w:t>
      </w:r>
      <w:r w:rsidR="00BA2A2A">
        <w:t>careful ana</w:t>
      </w:r>
      <w:r w:rsidR="007D3B72">
        <w:t>lysis</w:t>
      </w:r>
      <w:r w:rsidR="00E759CA">
        <w:t xml:space="preserve"> </w:t>
      </w:r>
      <w:r w:rsidR="00085E7F">
        <w:t xml:space="preserve">I </w:t>
      </w:r>
      <w:r w:rsidR="007D3B72">
        <w:t xml:space="preserve">will </w:t>
      </w:r>
      <w:r w:rsidR="00085E7F">
        <w:t>attempt to understand how he</w:t>
      </w:r>
      <w:r w:rsidR="00724B7A">
        <w:t xml:space="preserve"> defines by Bad faith</w:t>
      </w:r>
      <w:r w:rsidR="00085E7F">
        <w:t xml:space="preserve"> </w:t>
      </w:r>
      <w:r w:rsidR="007D3B72">
        <w:t>and for what</w:t>
      </w:r>
      <w:r w:rsidR="00531ED5">
        <w:t xml:space="preserve"> purpose we need to understand it.</w:t>
      </w:r>
    </w:p>
    <w:p w14:paraId="644B927F" w14:textId="52480409" w:rsidR="00F3743E" w:rsidRDefault="00C55EA7" w:rsidP="00671F2D">
      <w:r>
        <w:t>Sartre argue</w:t>
      </w:r>
      <w:r w:rsidR="00E3315F">
        <w:t>s</w:t>
      </w:r>
      <w:r>
        <w:t xml:space="preserve"> that we are free beings and in no way is our future determined or fixed</w:t>
      </w:r>
      <w:r w:rsidR="006069EB">
        <w:t xml:space="preserve"> however, he believes it</w:t>
      </w:r>
      <w:r w:rsidR="00AF49F0">
        <w:t xml:space="preserve"> is this freedom that gives us the feeling of anguish</w:t>
      </w:r>
      <w:r w:rsidR="00BC5E8A">
        <w:t>.</w:t>
      </w:r>
      <w:r w:rsidR="00666ED9">
        <w:t xml:space="preserve"> For anguish h</w:t>
      </w:r>
      <w:r w:rsidR="00BC5E8A">
        <w:t xml:space="preserve">e argues that we don’t like the idea of being free </w:t>
      </w:r>
      <w:r w:rsidR="00B95E9D">
        <w:t>as it means one is</w:t>
      </w:r>
      <w:r w:rsidR="005C0CDF">
        <w:t xml:space="preserve"> entirely </w:t>
      </w:r>
      <w:r w:rsidR="00B95E9D">
        <w:t>responsible</w:t>
      </w:r>
      <w:r w:rsidR="005C0CDF">
        <w:t xml:space="preserve"> for one’s own actions</w:t>
      </w:r>
      <w:r w:rsidR="00CA1FE5">
        <w:t xml:space="preserve"> therefore, the idea that we are</w:t>
      </w:r>
      <w:r w:rsidR="00666ED9">
        <w:t xml:space="preserve"> not</w:t>
      </w:r>
      <w:r w:rsidR="00023166">
        <w:t xml:space="preserve"> free beings allows one to escape from such anguish</w:t>
      </w:r>
      <w:r w:rsidR="00243982">
        <w:t xml:space="preserve"> as it allows the possibility that not all actions are one’s own</w:t>
      </w:r>
      <w:r w:rsidR="00B56652">
        <w:t>.</w:t>
      </w:r>
      <w:r w:rsidR="00A65149">
        <w:t xml:space="preserve"> When defining anguish in his essay existentialism is a humanism </w:t>
      </w:r>
      <w:r w:rsidR="00F0331D">
        <w:t xml:space="preserve">he uses the example of </w:t>
      </w:r>
      <w:r w:rsidR="002064B8">
        <w:t>a military leader</w:t>
      </w:r>
      <w:r w:rsidR="00A80E48">
        <w:t xml:space="preserve"> sending men into an attack</w:t>
      </w:r>
      <w:r w:rsidR="009D2164">
        <w:t>, he argues that “in making the dec</w:t>
      </w:r>
      <w:r w:rsidR="00FD7F55">
        <w:t>ision he cannot help but feel a certain anguish”</w:t>
      </w:r>
      <w:r w:rsidR="00BD0B50">
        <w:rPr>
          <w:rStyle w:val="FootnoteReference"/>
        </w:rPr>
        <w:footnoteReference w:id="3"/>
      </w:r>
      <w:r w:rsidR="00FD7F55">
        <w:t xml:space="preserve"> </w:t>
      </w:r>
      <w:r w:rsidR="000B0A1F">
        <w:t>however he then proceeds to say “</w:t>
      </w:r>
      <w:r w:rsidR="00767C88">
        <w:t xml:space="preserve">it does not </w:t>
      </w:r>
      <w:r w:rsidR="00964DC1">
        <w:t>prevent their action</w:t>
      </w:r>
      <w:r w:rsidR="00151652">
        <w:t>, on the contrary</w:t>
      </w:r>
      <w:r w:rsidR="00F008B8">
        <w:t xml:space="preserve"> it is the very condition of their action for the action presup</w:t>
      </w:r>
      <w:r w:rsidR="000D7F98">
        <w:t>poses there is a plurality of possibilities…”</w:t>
      </w:r>
      <w:r w:rsidR="00DA3055">
        <w:rPr>
          <w:rStyle w:val="FootnoteReference"/>
        </w:rPr>
        <w:footnoteReference w:id="4"/>
      </w:r>
      <w:r w:rsidR="000D7F98">
        <w:t xml:space="preserve"> </w:t>
      </w:r>
      <w:r w:rsidR="002D0EF4">
        <w:t>this clearly defines that in anguish we find we have a freedom of choice that we cannot escape</w:t>
      </w:r>
      <w:r w:rsidR="0058243F">
        <w:t>. And it is this choice that we fear as it makes us responsible. In the example above the idea that the military leader</w:t>
      </w:r>
      <w:r w:rsidR="00F46092">
        <w:t xml:space="preserve"> who</w:t>
      </w:r>
      <w:r w:rsidR="0058243F">
        <w:t xml:space="preserve"> has </w:t>
      </w:r>
      <w:r w:rsidR="00864787">
        <w:t>led</w:t>
      </w:r>
      <w:r w:rsidR="0058243F">
        <w:t xml:space="preserve"> men to their deaths leaves him with anguish but will also leave him with the guilt that he may not be able to escape. </w:t>
      </w:r>
      <w:r w:rsidR="0014554E">
        <w:t xml:space="preserve">It is this lasting idea of guilt that can also lead us to </w:t>
      </w:r>
      <w:r w:rsidR="00532415">
        <w:t xml:space="preserve">want to believe we have no choice in our actions </w:t>
      </w:r>
      <w:r w:rsidR="000335BF">
        <w:t>however if that were true it would mean we have no freedom</w:t>
      </w:r>
      <w:r w:rsidR="00AA4D07">
        <w:t xml:space="preserve"> which would contradict what Sartre says in Existentialism is a humanism where he states “man is free</w:t>
      </w:r>
      <w:r w:rsidR="00BD0B50">
        <w:t>, man is freedom”</w:t>
      </w:r>
      <w:r w:rsidR="00DA3055">
        <w:rPr>
          <w:rStyle w:val="FootnoteReference"/>
        </w:rPr>
        <w:footnoteReference w:id="5"/>
      </w:r>
    </w:p>
    <w:p w14:paraId="0C833893" w14:textId="6C2DAACC" w:rsidR="00E34A05" w:rsidRDefault="00F46092" w:rsidP="00671F2D">
      <w:r>
        <w:t>Sartre</w:t>
      </w:r>
      <w:r w:rsidR="00343D63">
        <w:t xml:space="preserve"> also argues the idea of</w:t>
      </w:r>
      <w:r w:rsidR="00AF737A">
        <w:t xml:space="preserve"> lying to one</w:t>
      </w:r>
      <w:r w:rsidR="00AF27DB">
        <w:t>’</w:t>
      </w:r>
      <w:r w:rsidR="00AF737A">
        <w:t>s self about our actions not being of our own consciousness</w:t>
      </w:r>
      <w:r w:rsidR="00AF27DB">
        <w:t xml:space="preserve"> and free actions</w:t>
      </w:r>
      <w:r w:rsidR="00AF737A">
        <w:t xml:space="preserve"> is something discussed in the beginning of bad faith in </w:t>
      </w:r>
      <w:r w:rsidR="00364D17">
        <w:t>Sartre’s</w:t>
      </w:r>
      <w:r w:rsidR="00AF737A">
        <w:t xml:space="preserve"> book being and n</w:t>
      </w:r>
      <w:r w:rsidR="00364D17">
        <w:t>o</w:t>
      </w:r>
      <w:r w:rsidR="00AF737A">
        <w:t>thingness.</w:t>
      </w:r>
      <w:r w:rsidR="00114041">
        <w:t xml:space="preserve"> He uses this example of lying </w:t>
      </w:r>
      <w:r w:rsidR="00067080">
        <w:t xml:space="preserve">to demonstrate how bad faith and lying have a similar structure. </w:t>
      </w:r>
      <w:r w:rsidR="00F06528">
        <w:t xml:space="preserve">When talking about lying Sartre argues that it isn’t </w:t>
      </w:r>
      <w:r w:rsidR="000F2948">
        <w:t>necessarily</w:t>
      </w:r>
      <w:r w:rsidR="00F06528">
        <w:t xml:space="preserve"> a negative </w:t>
      </w:r>
      <w:r w:rsidR="000F2948">
        <w:t xml:space="preserve">thing. </w:t>
      </w:r>
      <w:r w:rsidR="00EB37FF">
        <w:t xml:space="preserve">The idea of lying to one another is wrong </w:t>
      </w:r>
      <w:r w:rsidR="003F0C7A">
        <w:t xml:space="preserve">however in this instance Sartre talks about how you </w:t>
      </w:r>
      <w:r w:rsidR="003975BD">
        <w:t>are both the liar and the one being lied to</w:t>
      </w:r>
      <w:r w:rsidR="00E7263E">
        <w:t xml:space="preserve"> thus, </w:t>
      </w:r>
      <w:r w:rsidR="00C31871">
        <w:t xml:space="preserve">it makes the lying justified as </w:t>
      </w:r>
      <w:r w:rsidR="00300477">
        <w:t>he states “the essence of the lie implies</w:t>
      </w:r>
      <w:r w:rsidR="00C0373F">
        <w:t xml:space="preserve"> in fact that the liar is in complete possession of the tru</w:t>
      </w:r>
      <w:r w:rsidR="00843FD1">
        <w:t>th which he is hiding.”</w:t>
      </w:r>
      <w:r w:rsidR="00843FD1">
        <w:rPr>
          <w:rStyle w:val="FootnoteReference"/>
        </w:rPr>
        <w:footnoteReference w:id="6"/>
      </w:r>
      <w:r w:rsidR="009512E0">
        <w:t xml:space="preserve"> </w:t>
      </w:r>
      <w:r w:rsidR="00CF047C">
        <w:t xml:space="preserve">This example </w:t>
      </w:r>
      <w:r w:rsidR="00D77D00">
        <w:t>clearly shows</w:t>
      </w:r>
      <w:r w:rsidR="00CF047C">
        <w:t xml:space="preserve"> that</w:t>
      </w:r>
      <w:r w:rsidR="00044772">
        <w:t xml:space="preserve"> one can lie to one’s self </w:t>
      </w:r>
      <w:r w:rsidR="00C53A86">
        <w:t xml:space="preserve">as an escape from anguish but one can never truly </w:t>
      </w:r>
      <w:r w:rsidR="00EF1C48">
        <w:t>deceive</w:t>
      </w:r>
      <w:r w:rsidR="00FF56EB">
        <w:t xml:space="preserve"> one’s self as he knows the truth</w:t>
      </w:r>
      <w:r w:rsidR="00B70A79">
        <w:t xml:space="preserve"> from which he is hiding.</w:t>
      </w:r>
      <w:r w:rsidR="004D64D7">
        <w:t xml:space="preserve"> </w:t>
      </w:r>
      <w:r w:rsidR="00837CA0">
        <w:t>I</w:t>
      </w:r>
      <w:r w:rsidR="00901449">
        <w:t>n this example we can argue how bad faith may be defined as lying to one</w:t>
      </w:r>
      <w:r w:rsidR="00A64F97">
        <w:t>’</w:t>
      </w:r>
      <w:r w:rsidR="00901449">
        <w:t>s self</w:t>
      </w:r>
      <w:r w:rsidR="00C8678A">
        <w:t xml:space="preserve">. </w:t>
      </w:r>
    </w:p>
    <w:p w14:paraId="5A2ADF7D" w14:textId="77A533A7" w:rsidR="007C4F49" w:rsidRDefault="00486AD1" w:rsidP="00DF61E4">
      <w:r>
        <w:t>A further example of what Sartre means by bad fa</w:t>
      </w:r>
      <w:r w:rsidR="006057CE">
        <w:t xml:space="preserve">ith is displayed in his </w:t>
      </w:r>
      <w:r w:rsidR="00415B43">
        <w:t>anecdote</w:t>
      </w:r>
      <w:r w:rsidR="006057CE">
        <w:t xml:space="preserve"> of the wom</w:t>
      </w:r>
      <w:r w:rsidR="00415B43">
        <w:t>a</w:t>
      </w:r>
      <w:r w:rsidR="006057CE">
        <w:t xml:space="preserve">n who goes </w:t>
      </w:r>
      <w:r w:rsidR="0037749F">
        <w:t xml:space="preserve">out with a particular man </w:t>
      </w:r>
      <w:r w:rsidR="006057CE">
        <w:t>on a date.</w:t>
      </w:r>
      <w:r w:rsidR="00147221">
        <w:rPr>
          <w:rStyle w:val="FootnoteReference"/>
        </w:rPr>
        <w:footnoteReference w:id="7"/>
      </w:r>
      <w:r w:rsidR="006057CE">
        <w:t xml:space="preserve"> </w:t>
      </w:r>
      <w:r w:rsidR="00D1761F">
        <w:t>The wom</w:t>
      </w:r>
      <w:r w:rsidR="00415B43">
        <w:t>a</w:t>
      </w:r>
      <w:r w:rsidR="00D1761F">
        <w:t>n goes on a date with a man</w:t>
      </w:r>
      <w:r w:rsidR="006B55DA">
        <w:t xml:space="preserve"> and </w:t>
      </w:r>
      <w:r w:rsidR="00415B43">
        <w:t xml:space="preserve">understands </w:t>
      </w:r>
      <w:r w:rsidR="00C602A9">
        <w:t>what his intentions are however the wom</w:t>
      </w:r>
      <w:r w:rsidR="00415B43">
        <w:t>a</w:t>
      </w:r>
      <w:r w:rsidR="00C602A9">
        <w:t xml:space="preserve">n tries to ignore the </w:t>
      </w:r>
      <w:r w:rsidR="00F36CC9">
        <w:t xml:space="preserve">fact she has to </w:t>
      </w:r>
      <w:r w:rsidR="00415B43">
        <w:t>decide</w:t>
      </w:r>
      <w:r w:rsidR="00F36CC9">
        <w:t xml:space="preserve"> as to what she wants from the man.</w:t>
      </w:r>
      <w:r w:rsidR="00ED5119">
        <w:t xml:space="preserve"> </w:t>
      </w:r>
      <w:r w:rsidR="00054C09">
        <w:t>It is this ignorance from the w</w:t>
      </w:r>
      <w:r w:rsidR="0057488C">
        <w:t>oman</w:t>
      </w:r>
      <w:r w:rsidR="00FD64F4">
        <w:t xml:space="preserve"> that </w:t>
      </w:r>
      <w:r w:rsidR="00560278">
        <w:t xml:space="preserve">gives the example of bad faith </w:t>
      </w:r>
      <w:r w:rsidR="00476F5C">
        <w:t>as she is lying to herself about what she needs to d</w:t>
      </w:r>
      <w:r w:rsidR="00FE3909">
        <w:t xml:space="preserve">ecide. </w:t>
      </w:r>
      <w:r w:rsidR="00D72322">
        <w:t xml:space="preserve">In the book being and nothingness the following is said </w:t>
      </w:r>
      <w:r w:rsidR="00AA4336">
        <w:t>about the woman on the date;</w:t>
      </w:r>
    </w:p>
    <w:p w14:paraId="5CD5856B" w14:textId="7E7990E0" w:rsidR="00AA4336" w:rsidRDefault="00AA4336" w:rsidP="00AA4336">
      <w:pPr>
        <w:ind w:left="720"/>
      </w:pPr>
      <w:r>
        <w:t>“</w:t>
      </w:r>
      <w:r w:rsidR="009D071E">
        <w:t>S</w:t>
      </w:r>
      <w:r w:rsidR="006B31A0">
        <w:t>he is profoundly aware of the desire which she inspire</w:t>
      </w:r>
      <w:r w:rsidR="00B64F08">
        <w:t xml:space="preserve">s, but the desire </w:t>
      </w:r>
      <w:r w:rsidR="00892B17">
        <w:t>cruel and naked</w:t>
      </w:r>
      <w:r w:rsidR="005C33D9">
        <w:t xml:space="preserve"> would humiliate</w:t>
      </w:r>
      <w:r w:rsidR="00BC7255">
        <w:t xml:space="preserve"> and horrify her</w:t>
      </w:r>
      <w:r w:rsidR="0069358C">
        <w:t>. Yet she would find no charm in a respect</w:t>
      </w:r>
      <w:r w:rsidR="00DB2A13">
        <w:t xml:space="preserve"> which</w:t>
      </w:r>
      <w:r w:rsidR="00FF1E5C">
        <w:t xml:space="preserve"> </w:t>
      </w:r>
      <w:r w:rsidR="00DB2A13">
        <w:t>would only be respect</w:t>
      </w:r>
      <w:r w:rsidR="00FF1E5C">
        <w:t>”</w:t>
      </w:r>
      <w:r w:rsidR="00FF1E5C">
        <w:rPr>
          <w:rStyle w:val="FootnoteReference"/>
        </w:rPr>
        <w:footnoteReference w:id="8"/>
      </w:r>
    </w:p>
    <w:p w14:paraId="3432B6AF" w14:textId="4E778A90" w:rsidR="00FF1E5C" w:rsidRDefault="00FF1E5C" w:rsidP="00FF1E5C">
      <w:r>
        <w:t>This quote shows that the woman has a complete understanding of what the man in her company desires however she is confused about what she wants. In this instance it is fair to argue that Sartre may be wrong for using this as an example of bad faith</w:t>
      </w:r>
      <w:r w:rsidR="00394B03">
        <w:t>. If we are to understand that the wom</w:t>
      </w:r>
      <w:r w:rsidR="00282221">
        <w:t>a</w:t>
      </w:r>
      <w:r w:rsidR="00394B03">
        <w:t xml:space="preserve">n knows what </w:t>
      </w:r>
      <w:r w:rsidR="00394B03">
        <w:lastRenderedPageBreak/>
        <w:t xml:space="preserve">she wants but is just </w:t>
      </w:r>
      <w:r w:rsidR="0062553B">
        <w:t>ly</w:t>
      </w:r>
      <w:r w:rsidR="00C66E1A">
        <w:t xml:space="preserve">ing to herself about </w:t>
      </w:r>
      <w:r w:rsidR="004C29E1">
        <w:t xml:space="preserve">it then yes that would be an example of bad faith as she is hiding the truth from herself however, </w:t>
      </w:r>
      <w:r w:rsidR="00BE5953">
        <w:t xml:space="preserve">in this instance she may just be confused as to what she wants. </w:t>
      </w:r>
      <w:r w:rsidR="0064020A">
        <w:t>In the example it does state that she knows his intentions however it does not state hers</w:t>
      </w:r>
      <w:r w:rsidR="00F96D52">
        <w:t>. Here it should be mentioned that maybe Sartre is mistaking bad faith for confusion. If the woman is confused as to what she wants and therefore hasn’t decided yet, then she is not lying to herself. This would mean she is not an example of bad faith</w:t>
      </w:r>
      <w:r w:rsidR="00C4472E">
        <w:t xml:space="preserve">. </w:t>
      </w:r>
      <w:r w:rsidR="00BC16A8">
        <w:t xml:space="preserve">Within this example the woman </w:t>
      </w:r>
      <w:r w:rsidR="00C87D93">
        <w:t xml:space="preserve">rests her hand and the man holds it but rather than acknowledge his hand is there or move her hand </w:t>
      </w:r>
      <w:r w:rsidR="001C1B3E">
        <w:t xml:space="preserve">away from his </w:t>
      </w:r>
      <w:r w:rsidR="00C87D93">
        <w:t xml:space="preserve">she </w:t>
      </w:r>
      <w:r w:rsidR="0072754E">
        <w:t xml:space="preserve">does nothing. Sartre uses this as support for the example of bad faith as it shows the woman lying to herself about the </w:t>
      </w:r>
      <w:r w:rsidR="00133351">
        <w:t>decision,</w:t>
      </w:r>
      <w:r w:rsidR="0072754E">
        <w:t xml:space="preserve"> she knows she needs to make. </w:t>
      </w:r>
      <w:r w:rsidR="00133351">
        <w:t>However,</w:t>
      </w:r>
      <w:r w:rsidR="0072754E">
        <w:t xml:space="preserve"> the wom</w:t>
      </w:r>
      <w:r w:rsidR="00611692">
        <w:t>a</w:t>
      </w:r>
      <w:r w:rsidR="0072754E">
        <w:t>n treat</w:t>
      </w:r>
      <w:r w:rsidR="00611692">
        <w:t>s</w:t>
      </w:r>
      <w:r w:rsidR="0072754E">
        <w:t xml:space="preserve"> the man</w:t>
      </w:r>
      <w:r w:rsidR="0072319F">
        <w:t>’</w:t>
      </w:r>
      <w:r w:rsidR="0072754E">
        <w:t>s hand as an object</w:t>
      </w:r>
      <w:r w:rsidR="00B26E8D">
        <w:t>,</w:t>
      </w:r>
      <w:r w:rsidR="0072754E">
        <w:t xml:space="preserve"> a being</w:t>
      </w:r>
      <w:r w:rsidR="009D4FE6">
        <w:t>-in-itself</w:t>
      </w:r>
      <w:r w:rsidR="006F030B">
        <w:t xml:space="preserve">. </w:t>
      </w:r>
      <w:r w:rsidR="00550093">
        <w:t>It is here one should define that a being-in-its</w:t>
      </w:r>
      <w:r w:rsidR="00CF0760">
        <w:t xml:space="preserve">elf means that it has no </w:t>
      </w:r>
      <w:r w:rsidR="008E369D">
        <w:t>consciousness</w:t>
      </w:r>
      <w:r w:rsidR="0011684A">
        <w:t xml:space="preserve"> and </w:t>
      </w:r>
      <w:r w:rsidR="00952158">
        <w:t xml:space="preserve">is nothing more than an object. </w:t>
      </w:r>
      <w:r w:rsidR="00BA3B0F">
        <w:t>Therefore, when the wom</w:t>
      </w:r>
      <w:r w:rsidR="0072319F">
        <w:t>a</w:t>
      </w:r>
      <w:r w:rsidR="00BA3B0F">
        <w:t xml:space="preserve">n </w:t>
      </w:r>
      <w:r w:rsidR="0072319F">
        <w:t>depicts</w:t>
      </w:r>
      <w:r w:rsidR="00BA3B0F">
        <w:t xml:space="preserve"> the </w:t>
      </w:r>
      <w:r w:rsidR="00133351">
        <w:t>man’s</w:t>
      </w:r>
      <w:r w:rsidR="00BA3B0F">
        <w:t xml:space="preserve"> hand as </w:t>
      </w:r>
      <w:r w:rsidR="009132EF">
        <w:t>a being-in-itself she see</w:t>
      </w:r>
      <w:r w:rsidR="0072319F">
        <w:t>s</w:t>
      </w:r>
      <w:r w:rsidR="009132EF">
        <w:t xml:space="preserve"> no reason to have to </w:t>
      </w:r>
      <w:proofErr w:type="gramStart"/>
      <w:r w:rsidR="009132EF">
        <w:t>make a decision</w:t>
      </w:r>
      <w:proofErr w:type="gramEnd"/>
      <w:r w:rsidR="009132EF">
        <w:t xml:space="preserve"> just as she does not need to make a de</w:t>
      </w:r>
      <w:r w:rsidR="0046643A">
        <w:t>c</w:t>
      </w:r>
      <w:r w:rsidR="009132EF">
        <w:t>i</w:t>
      </w:r>
      <w:r w:rsidR="00133351">
        <w:t>si</w:t>
      </w:r>
      <w:r w:rsidR="009132EF">
        <w:t xml:space="preserve">on about any of the other objects in the room. </w:t>
      </w:r>
      <w:r w:rsidR="00245492">
        <w:t>Within this date the man also makes comments to the wom</w:t>
      </w:r>
      <w:r w:rsidR="00E73E72">
        <w:t>an</w:t>
      </w:r>
      <w:r w:rsidR="00245492">
        <w:t xml:space="preserve"> about her beauty and </w:t>
      </w:r>
      <w:r w:rsidR="0081172D">
        <w:t xml:space="preserve">appearance, within these comments she </w:t>
      </w:r>
      <w:r w:rsidR="006C2F7D">
        <w:t xml:space="preserve">resigns the idea of any sexual meaning the comments carry with them and </w:t>
      </w:r>
      <w:r w:rsidR="00E73E72">
        <w:t>instead</w:t>
      </w:r>
      <w:r w:rsidR="006C2F7D">
        <w:t xml:space="preserve"> she takes them as</w:t>
      </w:r>
      <w:r w:rsidR="003D6717">
        <w:t xml:space="preserve"> if she were a being-in-itself rather than a being-for-itself. </w:t>
      </w:r>
      <w:r w:rsidR="00C04C74">
        <w:t xml:space="preserve">A being-for-itself is different to a being-in-itself as it </w:t>
      </w:r>
      <w:r w:rsidR="0079399E">
        <w:t xml:space="preserve">is not objectified. When describing a being-for-itself we often think of human beings as its definition rest upon the idea that a being-for-itself </w:t>
      </w:r>
      <w:r w:rsidR="00FB05FB">
        <w:t>is a conscious being.</w:t>
      </w:r>
      <w:r w:rsidR="00E73E72">
        <w:t xml:space="preserve"> Therefore</w:t>
      </w:r>
      <w:r w:rsidR="00543F7E">
        <w:t xml:space="preserve">, when the women </w:t>
      </w:r>
      <w:proofErr w:type="gramStart"/>
      <w:r w:rsidR="00543F7E">
        <w:t>was</w:t>
      </w:r>
      <w:proofErr w:type="gramEnd"/>
      <w:r w:rsidR="00543F7E">
        <w:t xml:space="preserve"> accepting the comments from the man we </w:t>
      </w:r>
      <w:r w:rsidR="000C1720">
        <w:t>allowed herself to become objectified in ord</w:t>
      </w:r>
      <w:r w:rsidR="00A370E3">
        <w:t>er to avoid making her final decision with the man.</w:t>
      </w:r>
      <w:r w:rsidR="00FB05FB">
        <w:t xml:space="preserve"> </w:t>
      </w:r>
      <w:r w:rsidR="008C0C85">
        <w:t>I do agree that by the woman viewing the man</w:t>
      </w:r>
      <w:r w:rsidR="0072319F">
        <w:t>’</w:t>
      </w:r>
      <w:r w:rsidR="008C0C85">
        <w:t xml:space="preserve">s hand as a being-in-itself she is ignorant to his </w:t>
      </w:r>
      <w:r w:rsidR="0072319F">
        <w:t>intentions</w:t>
      </w:r>
      <w:r w:rsidR="00F1251E">
        <w:t xml:space="preserve"> </w:t>
      </w:r>
      <w:r w:rsidR="001B023F">
        <w:t xml:space="preserve">furthermore by her </w:t>
      </w:r>
      <w:r w:rsidR="003A133B">
        <w:t>interpretation</w:t>
      </w:r>
      <w:r w:rsidR="00AB477F">
        <w:t xml:space="preserve"> his comments </w:t>
      </w:r>
      <w:r w:rsidR="00582B03">
        <w:t xml:space="preserve">in a way that made them less understanding to the way they </w:t>
      </w:r>
      <w:r w:rsidR="00FD37F9">
        <w:t xml:space="preserve">were intended </w:t>
      </w:r>
      <w:r w:rsidR="00AC5DBF">
        <w:t>she also displays bad faith as she was</w:t>
      </w:r>
      <w:r w:rsidR="00344F55">
        <w:t xml:space="preserve"> trying to </w:t>
      </w:r>
      <w:r w:rsidR="003A133B">
        <w:t>deceive</w:t>
      </w:r>
      <w:r w:rsidR="00344F55">
        <w:t xml:space="preserve"> herself of </w:t>
      </w:r>
      <w:r w:rsidR="003A133B">
        <w:t>his intentions</w:t>
      </w:r>
      <w:r w:rsidR="0072319F">
        <w:t>,</w:t>
      </w:r>
      <w:r w:rsidR="008C0C85">
        <w:t xml:space="preserve"> but I disagree that she is </w:t>
      </w:r>
      <w:r w:rsidR="00EF361D">
        <w:t>being ignor</w:t>
      </w:r>
      <w:r w:rsidR="005C5621">
        <w:t>ant</w:t>
      </w:r>
      <w:r w:rsidR="008C0C85">
        <w:t xml:space="preserve"> about </w:t>
      </w:r>
      <w:r w:rsidR="0072319F">
        <w:t xml:space="preserve">deciding what she wants. </w:t>
      </w:r>
      <w:r w:rsidR="00C170FB">
        <w:t xml:space="preserve">Therefore, if Sartre is going to define bad faith as </w:t>
      </w:r>
      <w:r w:rsidR="000433A4">
        <w:t xml:space="preserve">lying to one’s self then this is </w:t>
      </w:r>
      <w:r w:rsidR="00474AD7">
        <w:t>a weaker example. Within this example it is very easy to mistake bad faith with being confused</w:t>
      </w:r>
      <w:r w:rsidR="007A2CDE">
        <w:t xml:space="preserve">, unless we can define that the woman </w:t>
      </w:r>
      <w:r w:rsidR="001F0A19">
        <w:t xml:space="preserve">had the same or opposite intentions to the man she was accompanied by there is no real way of telling if she was flattered by the attention from the man or if she was indeed </w:t>
      </w:r>
      <w:r w:rsidR="00754401">
        <w:t xml:space="preserve">just confused as to what she wanted. </w:t>
      </w:r>
    </w:p>
    <w:p w14:paraId="72A9B197" w14:textId="0E8139FB" w:rsidR="00DE02DD" w:rsidRDefault="00196D8F" w:rsidP="001856D1">
      <w:r>
        <w:t>The next example in his book is the</w:t>
      </w:r>
      <w:r w:rsidR="00E73E24">
        <w:t xml:space="preserve"> waiter in the café example.</w:t>
      </w:r>
      <w:r w:rsidR="00C21CC8">
        <w:t xml:space="preserve"> </w:t>
      </w:r>
      <w:r w:rsidR="00CC4840">
        <w:t xml:space="preserve">Here we see the example of </w:t>
      </w:r>
      <w:r w:rsidR="000473A0">
        <w:t xml:space="preserve">a man who is a waiter in a </w:t>
      </w:r>
      <w:r w:rsidR="00BD7BEA">
        <w:t>café,</w:t>
      </w:r>
      <w:r w:rsidR="000473A0">
        <w:t xml:space="preserve"> but Sartre argues he is playing a waiter which is an act of bad faith</w:t>
      </w:r>
      <w:r w:rsidR="00643C48">
        <w:t xml:space="preserve">. </w:t>
      </w:r>
      <w:r w:rsidR="002E16C9">
        <w:t xml:space="preserve">In this instance it must be argued </w:t>
      </w:r>
      <w:r w:rsidR="00CB5EFB">
        <w:t>that is a man who’s job it is to be a waiter is in bad faith is that the same fo</w:t>
      </w:r>
      <w:r w:rsidR="005D6972">
        <w:t>r</w:t>
      </w:r>
      <w:r w:rsidR="00CB5EFB">
        <w:t xml:space="preserve"> all those with jobs</w:t>
      </w:r>
      <w:r w:rsidR="00FF69B1">
        <w:t>? A</w:t>
      </w:r>
      <w:r w:rsidR="006225C4">
        <w:t>re they too in bad faith?</w:t>
      </w:r>
      <w:r w:rsidR="00DE02DD">
        <w:t xml:space="preserve"> Sartre argues</w:t>
      </w:r>
      <w:r w:rsidR="006F290C">
        <w:t xml:space="preserve"> that </w:t>
      </w:r>
      <w:r w:rsidR="00B55A4B">
        <w:t xml:space="preserve">those with jobs being to convince themselves they are nothing other than their job, from this those in the society around them then </w:t>
      </w:r>
      <w:r w:rsidR="000B1C8C">
        <w:t>view them this way too:</w:t>
      </w:r>
    </w:p>
    <w:p w14:paraId="57E06860" w14:textId="6800CF6B" w:rsidR="00FF69B1" w:rsidRDefault="00FF69B1" w:rsidP="00FF69B1">
      <w:pPr>
        <w:ind w:left="720"/>
      </w:pPr>
      <w:r>
        <w:t>“</w:t>
      </w:r>
      <w:r w:rsidR="000F0276">
        <w:t xml:space="preserve">the public demands of them </w:t>
      </w:r>
      <w:r w:rsidR="008728A1">
        <w:t>that they realize it is a ceremony</w:t>
      </w:r>
      <w:r w:rsidR="00775FB4">
        <w:t>;</w:t>
      </w:r>
      <w:r w:rsidR="002B38BE">
        <w:t xml:space="preserve"> there is the dance of </w:t>
      </w:r>
      <w:proofErr w:type="spellStart"/>
      <w:r w:rsidR="002B38BE">
        <w:t>te</w:t>
      </w:r>
      <w:proofErr w:type="spellEnd"/>
      <w:r w:rsidR="002B38BE">
        <w:t xml:space="preserve"> </w:t>
      </w:r>
      <w:r w:rsidR="00AD206A">
        <w:t>grocer, of the tailor</w:t>
      </w:r>
      <w:r w:rsidR="00E20E78">
        <w:t>, of the auctioneer, by which</w:t>
      </w:r>
      <w:r w:rsidR="00F644EC">
        <w:t xml:space="preserve"> they endeavor to p</w:t>
      </w:r>
      <w:r w:rsidR="000A3448">
        <w:t>ersuade their clientele that</w:t>
      </w:r>
      <w:r w:rsidR="006358FC">
        <w:t xml:space="preserve"> </w:t>
      </w:r>
      <w:r w:rsidR="0072106A">
        <w:t xml:space="preserve">they are nothing but a grocer, </w:t>
      </w:r>
      <w:r w:rsidR="00CE5B89">
        <w:t>an auctioneer</w:t>
      </w:r>
      <w:r w:rsidR="00E277F5">
        <w:t>, a tailor</w:t>
      </w:r>
      <w:r w:rsidR="00F54679">
        <w:t>… society demands that he limit himsel</w:t>
      </w:r>
      <w:r w:rsidR="00A970DD">
        <w:t>f to his function.”</w:t>
      </w:r>
    </w:p>
    <w:p w14:paraId="4644EAD2" w14:textId="2E37DDC9" w:rsidR="00C568FC" w:rsidRDefault="00810275" w:rsidP="001856D1">
      <w:r>
        <w:t>From this we can argue</w:t>
      </w:r>
      <w:r w:rsidR="006F2651">
        <w:t xml:space="preserve"> everyone is in bad faith </w:t>
      </w:r>
      <w:r w:rsidR="00E70BF1">
        <w:t xml:space="preserve">and bad faith becomes impossible to avoid. </w:t>
      </w:r>
      <w:r w:rsidR="00F33B94">
        <w:t xml:space="preserve">In this example </w:t>
      </w:r>
      <w:r w:rsidR="00D015D5">
        <w:t>the idea of having</w:t>
      </w:r>
      <w:r w:rsidR="00610DAB">
        <w:t xml:space="preserve"> </w:t>
      </w:r>
      <w:r w:rsidR="00D015D5">
        <w:t xml:space="preserve">to limit one’s self in order to conform to society is a concept </w:t>
      </w:r>
      <w:r w:rsidR="00691A7A">
        <w:t>much rejected by Sartre as it rejects the idea that we are free beings</w:t>
      </w:r>
      <w:r w:rsidR="00610DAB">
        <w:t xml:space="preserve">. </w:t>
      </w:r>
      <w:r w:rsidR="005A4D20">
        <w:t>This quote from</w:t>
      </w:r>
      <w:r w:rsidR="00270AFF">
        <w:t xml:space="preserve"> </w:t>
      </w:r>
      <w:r w:rsidR="00270AFF">
        <w:rPr>
          <w:i/>
          <w:iCs/>
        </w:rPr>
        <w:t xml:space="preserve">bad faith and the </w:t>
      </w:r>
      <w:r w:rsidR="00270AFF" w:rsidRPr="00E63797">
        <w:rPr>
          <w:i/>
          <w:iCs/>
        </w:rPr>
        <w:t>other</w:t>
      </w:r>
      <w:r w:rsidR="00270AFF">
        <w:t xml:space="preserve"> </w:t>
      </w:r>
      <w:r w:rsidR="0033559F">
        <w:t>supports the idea that bad faith i</w:t>
      </w:r>
      <w:r w:rsidR="00EA450A">
        <w:t xml:space="preserve">s a problem of </w:t>
      </w:r>
      <w:r w:rsidR="00BF17E5">
        <w:t>free beings feeling the need to conform to society</w:t>
      </w:r>
      <w:r w:rsidR="00BB1A99">
        <w:t xml:space="preserve"> and thus limiting their actions to do so.</w:t>
      </w:r>
    </w:p>
    <w:p w14:paraId="4115A86D" w14:textId="53201C20" w:rsidR="00C568FC" w:rsidRDefault="006C3FF7" w:rsidP="00C568FC">
      <w:pPr>
        <w:ind w:left="720"/>
      </w:pPr>
      <w:r>
        <w:t>“</w:t>
      </w:r>
      <w:r w:rsidR="00587E7F">
        <w:t>Bad Faith, therefore, is a social disease rather than</w:t>
      </w:r>
      <w:r w:rsidR="002433DF">
        <w:t xml:space="preserve"> an individual failing</w:t>
      </w:r>
      <w:r w:rsidR="00CD6137">
        <w:t xml:space="preserve">, in </w:t>
      </w:r>
      <w:r w:rsidR="00C568FC">
        <w:t>Sartre’s</w:t>
      </w:r>
      <w:r w:rsidR="00CD6137">
        <w:t xml:space="preserve"> View, and is an ongoing condition rather than a s</w:t>
      </w:r>
      <w:r w:rsidR="00D60A51">
        <w:t>poradic activity”</w:t>
      </w:r>
      <w:r w:rsidR="00C568FC">
        <w:rPr>
          <w:rStyle w:val="FootnoteReference"/>
        </w:rPr>
        <w:footnoteReference w:id="9"/>
      </w:r>
    </w:p>
    <w:p w14:paraId="1922E5CB" w14:textId="3A5EB94F" w:rsidR="00C26E10" w:rsidRDefault="00686714" w:rsidP="001856D1">
      <w:r w:rsidRPr="00270AFF">
        <w:t>This</w:t>
      </w:r>
      <w:r>
        <w:t xml:space="preserve"> need to limit one’s self</w:t>
      </w:r>
      <w:r w:rsidR="005C16B1">
        <w:t xml:space="preserve"> for society</w:t>
      </w:r>
      <w:r>
        <w:t xml:space="preserve"> </w:t>
      </w:r>
      <w:r w:rsidR="0065304A">
        <w:t>could be the very definition of bad faith</w:t>
      </w:r>
      <w:r w:rsidR="008C330B">
        <w:t xml:space="preserve">, it gives the ideology that even as free beings we have no choice in our actions </w:t>
      </w:r>
      <w:r w:rsidR="002F5FB0">
        <w:t xml:space="preserve">due to </w:t>
      </w:r>
      <w:r w:rsidR="000C21FF">
        <w:t xml:space="preserve">having to conform in </w:t>
      </w:r>
      <w:r w:rsidR="002F5FB0">
        <w:t>society rather than a higher being that has determined our future.</w:t>
      </w:r>
      <w:r w:rsidR="000C21FF">
        <w:t xml:space="preserve"> </w:t>
      </w:r>
      <w:r w:rsidR="00CC3BB0">
        <w:t xml:space="preserve">It is in this example we see </w:t>
      </w:r>
      <w:r w:rsidR="00670F62">
        <w:t>this</w:t>
      </w:r>
      <w:r w:rsidR="00CC3BB0">
        <w:t xml:space="preserve"> different understanding of bad faith. Unlike the first example</w:t>
      </w:r>
      <w:r w:rsidR="006A69C3">
        <w:t>, where bad faith was understood as lying to one’s self,</w:t>
      </w:r>
      <w:r w:rsidR="00CC3BB0">
        <w:t xml:space="preserve"> there is no </w:t>
      </w:r>
      <w:r w:rsidR="00AC3C4E">
        <w:t xml:space="preserve">reason for the waiter to lie to himself, he is just doing his job so, if he is not lying to himself or hiding from the truth then how is he in bad faith. </w:t>
      </w:r>
      <w:r w:rsidR="009F041A">
        <w:t xml:space="preserve">In this </w:t>
      </w:r>
      <w:proofErr w:type="gramStart"/>
      <w:r w:rsidR="009F041A">
        <w:t>particular example</w:t>
      </w:r>
      <w:proofErr w:type="gramEnd"/>
      <w:r w:rsidR="009F041A">
        <w:t xml:space="preserve"> Sartre thus moves on to </w:t>
      </w:r>
      <w:r w:rsidR="00663B3A">
        <w:t>a ty</w:t>
      </w:r>
      <w:r w:rsidR="00577588">
        <w:t>p</w:t>
      </w:r>
      <w:r w:rsidR="00663B3A">
        <w:t xml:space="preserve">e of bad faith where instead of lying to yourself you are acting as something you are not. </w:t>
      </w:r>
      <w:r w:rsidR="00D33DFB">
        <w:t xml:space="preserve">In this instance </w:t>
      </w:r>
      <w:r w:rsidR="00577588">
        <w:t xml:space="preserve">the man is playing a waiter. </w:t>
      </w:r>
      <w:r w:rsidR="00C26E10">
        <w:t>It is here Sartre argues the man is playing because he is not constantly a waiter but rather that is his job. He states</w:t>
      </w:r>
      <w:r w:rsidR="001856D1">
        <w:t xml:space="preserve"> </w:t>
      </w:r>
      <w:r w:rsidR="00C26E10">
        <w:t>“</w:t>
      </w:r>
      <w:r w:rsidR="00070239">
        <w:t xml:space="preserve">…The waiter In the </w:t>
      </w:r>
      <w:r w:rsidR="00562466">
        <w:t>café can not be immediately a waiter</w:t>
      </w:r>
      <w:r w:rsidR="000139F5">
        <w:t xml:space="preserve"> in the same sense </w:t>
      </w:r>
      <w:r w:rsidR="005A713E">
        <w:t xml:space="preserve">that this inkwell is an </w:t>
      </w:r>
      <w:r w:rsidR="00C268A6">
        <w:t>inkwell,</w:t>
      </w:r>
      <w:r w:rsidR="000071CD">
        <w:t xml:space="preserve"> or this glass is a glass”</w:t>
      </w:r>
      <w:r w:rsidR="001856D1">
        <w:rPr>
          <w:rStyle w:val="FootnoteReference"/>
        </w:rPr>
        <w:footnoteReference w:id="10"/>
      </w:r>
      <w:r w:rsidR="00C268A6">
        <w:t xml:space="preserve"> from this </w:t>
      </w:r>
      <w:r w:rsidR="00EF7F5D">
        <w:t>we see that Sartre is trying to identify that the waiter becomes something it is not. When the waiter is not a waiter it is just a man, it is only when that man goes to work that he becomes a waiter</w:t>
      </w:r>
      <w:r w:rsidR="00045130">
        <w:t xml:space="preserve">. This is where the idea of </w:t>
      </w:r>
      <w:r w:rsidR="0028191A">
        <w:t>bad faith is installed in the anecdote</w:t>
      </w:r>
      <w:r w:rsidR="009C54B6">
        <w:t xml:space="preserve">. The </w:t>
      </w:r>
      <w:r w:rsidR="0025142A">
        <w:t>man</w:t>
      </w:r>
      <w:r w:rsidR="009C54B6">
        <w:t xml:space="preserve"> is restricting his </w:t>
      </w:r>
      <w:r w:rsidR="009C54B6">
        <w:lastRenderedPageBreak/>
        <w:t>freedoms</w:t>
      </w:r>
      <w:r w:rsidR="0025142A">
        <w:t xml:space="preserve"> when he goes to work as he is restricted to do only what a waiter would do. It is clear to see why this is considered bad faith to Sartre as it means the decisions of the waiter are some what influenced due to his job. </w:t>
      </w:r>
      <w:r w:rsidR="00425605">
        <w:t xml:space="preserve">It is in this example the </w:t>
      </w:r>
      <w:r w:rsidR="003E5982">
        <w:t xml:space="preserve">man is trying to convince himself he </w:t>
      </w:r>
      <w:r w:rsidR="006F2468">
        <w:t>must</w:t>
      </w:r>
      <w:r w:rsidR="003E5982">
        <w:t xml:space="preserve"> </w:t>
      </w:r>
      <w:r w:rsidR="00260B32">
        <w:t xml:space="preserve">be a waiter </w:t>
      </w:r>
      <w:r w:rsidR="000D58D2">
        <w:t xml:space="preserve">because he </w:t>
      </w:r>
      <w:r w:rsidR="002414A5">
        <w:t>must</w:t>
      </w:r>
      <w:r w:rsidR="000D58D2">
        <w:t xml:space="preserve"> make money to provide and it is this exact thinking that leads him to believe he has no other choice</w:t>
      </w:r>
      <w:r w:rsidR="00C4578D">
        <w:t>.</w:t>
      </w:r>
      <w:r w:rsidR="00D96D61">
        <w:t xml:space="preserve"> In this instance we can agree with the first example that </w:t>
      </w:r>
      <w:r w:rsidR="001A48AF">
        <w:t>bad faith is deceiving yourself as the waiter is trying to deceive himself buy arguing he has no other choice</w:t>
      </w:r>
      <w:r w:rsidR="004754E1">
        <w:t>.</w:t>
      </w:r>
      <w:r w:rsidR="00C4578D">
        <w:t xml:space="preserve"> If the </w:t>
      </w:r>
      <w:r w:rsidR="00D96D61">
        <w:t>man,</w:t>
      </w:r>
      <w:r w:rsidR="00C4578D">
        <w:t xml:space="preserve"> then believes he has no</w:t>
      </w:r>
      <w:r w:rsidR="00572A84">
        <w:t xml:space="preserve"> other choice he can not see how he would be a free being. In this instance we see bad f</w:t>
      </w:r>
      <w:r w:rsidR="00A26AC3">
        <w:t>aith</w:t>
      </w:r>
      <w:r w:rsidR="00572A84">
        <w:t xml:space="preserve"> as </w:t>
      </w:r>
      <w:r w:rsidR="00FE194A">
        <w:t>not having a choice</w:t>
      </w:r>
      <w:r w:rsidR="004049A8">
        <w:t>, we see it as there is a restriction on your freedom</w:t>
      </w:r>
      <w:r w:rsidR="00D96D61">
        <w:t xml:space="preserve">. </w:t>
      </w:r>
    </w:p>
    <w:p w14:paraId="33320AE3" w14:textId="53992B72" w:rsidR="00B42F26" w:rsidRPr="009D7C9E" w:rsidRDefault="00E739D7" w:rsidP="00B51F0B">
      <w:r>
        <w:t xml:space="preserve">The example of the waiter is criticized in the </w:t>
      </w:r>
      <w:r w:rsidR="00B31DE6" w:rsidRPr="009D7C9E">
        <w:rPr>
          <w:i/>
          <w:iCs/>
        </w:rPr>
        <w:t>Bad faith and the other</w:t>
      </w:r>
      <w:r w:rsidR="009D7C9E">
        <w:rPr>
          <w:i/>
          <w:iCs/>
        </w:rPr>
        <w:t xml:space="preserve"> </w:t>
      </w:r>
      <w:r w:rsidR="00B42F26">
        <w:t xml:space="preserve">where it </w:t>
      </w:r>
      <w:r w:rsidR="00FF7A56">
        <w:t xml:space="preserve">argues </w:t>
      </w:r>
      <w:r w:rsidR="00481217">
        <w:t>“</w:t>
      </w:r>
      <w:r w:rsidR="00194E2C">
        <w:t xml:space="preserve">why does Sartre think he can </w:t>
      </w:r>
      <w:r w:rsidR="007A302F">
        <w:t>surmise s</w:t>
      </w:r>
      <w:r w:rsidR="00177938">
        <w:t xml:space="preserve">omeone’s motivation on the </w:t>
      </w:r>
      <w:r w:rsidR="00360ACB">
        <w:t xml:space="preserve">basis </w:t>
      </w:r>
      <w:r w:rsidR="00177938">
        <w:t>of brief observation</w:t>
      </w:r>
      <w:r w:rsidR="00BE7531">
        <w:t>s of their behavior across the café floor?</w:t>
      </w:r>
      <w:r w:rsidR="00645C57">
        <w:t>”</w:t>
      </w:r>
      <w:r w:rsidR="005A6C73">
        <w:rPr>
          <w:rStyle w:val="FootnoteReference"/>
        </w:rPr>
        <w:footnoteReference w:id="11"/>
      </w:r>
      <w:r w:rsidR="00051E2B">
        <w:t xml:space="preserve"> He cannot. There is no way Sartre can deeply understand the person </w:t>
      </w:r>
      <w:r w:rsidR="00461525">
        <w:t>motivations</w:t>
      </w:r>
      <w:r w:rsidR="00051E2B">
        <w:t xml:space="preserve"> from a brief observation however, he is able to make assumptions</w:t>
      </w:r>
      <w:r w:rsidR="00461525">
        <w:t>. These assumptions however may not always be the correct fact of the mat</w:t>
      </w:r>
      <w:r w:rsidR="00963D19">
        <w:t>ter.</w:t>
      </w:r>
    </w:p>
    <w:p w14:paraId="35537BC3" w14:textId="54EA0934" w:rsidR="004B3B1A" w:rsidRDefault="0058059B" w:rsidP="00671F2D">
      <w:r>
        <w:t xml:space="preserve">By careful analysis </w:t>
      </w:r>
      <w:r w:rsidR="004B3B1A">
        <w:t xml:space="preserve">his works it is </w:t>
      </w:r>
      <w:r w:rsidR="00122F24">
        <w:t xml:space="preserve">clear to see there is a divide of whether bad faith is lying and trying to </w:t>
      </w:r>
      <w:r w:rsidR="00551678">
        <w:t>deceive</w:t>
      </w:r>
      <w:r w:rsidR="00122F24">
        <w:t xml:space="preserve"> one’s self or </w:t>
      </w:r>
      <w:r w:rsidR="00775CD8">
        <w:t>bad faith may also be l</w:t>
      </w:r>
      <w:r w:rsidR="007E6949">
        <w:t>imiting one’s freedom.</w:t>
      </w:r>
      <w:r w:rsidR="00187537">
        <w:t xml:space="preserve"> I would support that bad faith </w:t>
      </w:r>
      <w:r w:rsidR="008E26BF">
        <w:t xml:space="preserve">fits both of those definitions. </w:t>
      </w:r>
      <w:r w:rsidR="00B83D5E">
        <w:t>There can be no one answer to the question of what is bad fait</w:t>
      </w:r>
      <w:r w:rsidR="00262083">
        <w:t>h?</w:t>
      </w:r>
      <w:r w:rsidR="00063A73">
        <w:t xml:space="preserve"> By looking at both examples bad faith fits them both the same</w:t>
      </w:r>
      <w:r w:rsidR="00D6519B">
        <w:t xml:space="preserve">. </w:t>
      </w:r>
      <w:r w:rsidR="005B4C0B">
        <w:t>Bad faith is the term that best fits both situations in the examples</w:t>
      </w:r>
      <w:r w:rsidR="00A07E4D">
        <w:t xml:space="preserve">. When the woman was trying to deceive herself </w:t>
      </w:r>
      <w:r w:rsidR="00565B28">
        <w:t xml:space="preserve">from the </w:t>
      </w:r>
      <w:r w:rsidR="00491FCC">
        <w:t>acknowledgment,</w:t>
      </w:r>
      <w:r w:rsidR="0069733A">
        <w:t xml:space="preserve"> she had to make a cho</w:t>
      </w:r>
      <w:r w:rsidR="0082798E">
        <w:t xml:space="preserve">ice about the guy she was </w:t>
      </w:r>
      <w:r w:rsidR="00CD458A">
        <w:t xml:space="preserve">out with. It shows an example of bad faith </w:t>
      </w:r>
      <w:r w:rsidR="009E4615">
        <w:t xml:space="preserve">as she was lying to herself even though she was not pretending to be something else she was being ignorant to the facts. In the second example with the waiter </w:t>
      </w:r>
      <w:r w:rsidR="000D6457">
        <w:t xml:space="preserve">I believe the term of bad faith sits well here as the waiter was doing his job however, by doing so </w:t>
      </w:r>
      <w:r w:rsidR="008E74FC">
        <w:t xml:space="preserve">it meant that he was not able </w:t>
      </w:r>
      <w:r w:rsidR="0056756E">
        <w:t xml:space="preserve">to live to his full freedom as his job limits his actions. Here it is an example of bad faith as </w:t>
      </w:r>
      <w:r w:rsidR="00D56A7B">
        <w:t xml:space="preserve">Sartre </w:t>
      </w:r>
      <w:r w:rsidR="00FF634E">
        <w:t>insists,</w:t>
      </w:r>
      <w:r w:rsidR="00D56A7B">
        <w:t xml:space="preserve"> we are all free beings and that we are not limited in our actions in anyway. </w:t>
      </w:r>
    </w:p>
    <w:p w14:paraId="316FFEC9" w14:textId="77777777" w:rsidR="00D92C33" w:rsidRDefault="00D92C33" w:rsidP="00671F2D"/>
    <w:p w14:paraId="31BC8C56" w14:textId="71B894F2" w:rsidR="4FC39A58" w:rsidRDefault="0062520D" w:rsidP="0062520D">
      <w:pPr>
        <w:jc w:val="center"/>
      </w:pPr>
      <w:r>
        <w:t>Bibliography</w:t>
      </w:r>
    </w:p>
    <w:p w14:paraId="1BB64459" w14:textId="77777777" w:rsidR="00D92C33" w:rsidRDefault="00D92C33" w:rsidP="00ED4335">
      <w:r>
        <w:t xml:space="preserve">Cumming E.D, </w:t>
      </w:r>
      <w:r>
        <w:rPr>
          <w:i/>
          <w:iCs/>
        </w:rPr>
        <w:t xml:space="preserve">The Philosophy of Jean-Paul Sartre, </w:t>
      </w:r>
      <w:r>
        <w:t xml:space="preserve">London: Lowe &amp; </w:t>
      </w:r>
      <w:proofErr w:type="spellStart"/>
      <w:r>
        <w:t>Brydone</w:t>
      </w:r>
      <w:proofErr w:type="spellEnd"/>
      <w:r>
        <w:t xml:space="preserve"> Ltd (1968)</w:t>
      </w:r>
    </w:p>
    <w:p w14:paraId="3A68CEF8" w14:textId="77777777" w:rsidR="00D92C33" w:rsidRDefault="00D92C33" w:rsidP="00ED4335">
      <w:proofErr w:type="spellStart"/>
      <w:r>
        <w:t>Santoni</w:t>
      </w:r>
      <w:proofErr w:type="spellEnd"/>
      <w:r>
        <w:t xml:space="preserve">, Ronald e, </w:t>
      </w:r>
      <w:r>
        <w:rPr>
          <w:i/>
          <w:iCs/>
        </w:rPr>
        <w:t>Bad faith, Good faith, and authenticity I Sartre’s philosophy</w:t>
      </w:r>
      <w:r>
        <w:t>, Philadelphia: Temple University Press (1995)</w:t>
      </w:r>
    </w:p>
    <w:p w14:paraId="61D8C241" w14:textId="77777777" w:rsidR="00D92C33" w:rsidRDefault="00D92C33" w:rsidP="0062520D">
      <w:r>
        <w:t xml:space="preserve">Sartre, Jean-Paul, </w:t>
      </w:r>
      <w:r>
        <w:rPr>
          <w:i/>
          <w:iCs/>
        </w:rPr>
        <w:t>Being and nothingness</w:t>
      </w:r>
      <w:r>
        <w:t>, New York: Methuen &amp; Co. Ltd (1957).</w:t>
      </w:r>
    </w:p>
    <w:p w14:paraId="53A1205D" w14:textId="77777777" w:rsidR="00D92C33" w:rsidRDefault="00D92C33" w:rsidP="00ED4335">
      <w:r>
        <w:t xml:space="preserve">Sartre, Jean-Paul, </w:t>
      </w:r>
      <w:r>
        <w:rPr>
          <w:i/>
          <w:iCs/>
        </w:rPr>
        <w:t xml:space="preserve">Existentialism is a humanism, </w:t>
      </w:r>
      <w:r>
        <w:t>1946 &lt;</w:t>
      </w:r>
      <w:hyperlink r:id="rId8" w:history="1">
        <w:r>
          <w:rPr>
            <w:rStyle w:val="Hyperlink"/>
          </w:rPr>
          <w:t>http://homepages.wmich.edu/~baldner/existentialism.pdf</w:t>
        </w:r>
      </w:hyperlink>
      <w:r>
        <w:t>&gt; [accessed 04.11.2019].</w:t>
      </w:r>
    </w:p>
    <w:p w14:paraId="67636713" w14:textId="77777777" w:rsidR="00D92C33" w:rsidRPr="00424143" w:rsidRDefault="00D92C33" w:rsidP="00ED4335">
      <w:r>
        <w:t xml:space="preserve">Webber. J, </w:t>
      </w:r>
      <w:r>
        <w:rPr>
          <w:i/>
          <w:iCs/>
        </w:rPr>
        <w:t>Bad Faith and the other</w:t>
      </w:r>
      <w:r>
        <w:t>, &lt;</w:t>
      </w:r>
      <w:hyperlink r:id="rId9" w:history="1">
        <w:r w:rsidRPr="00D011D1">
          <w:rPr>
            <w:rStyle w:val="Hyperlink"/>
          </w:rPr>
          <w:t>https://www.jonathanwebber.co.uk/articles/BadFaithAndTheOther.pdf</w:t>
        </w:r>
      </w:hyperlink>
      <w:r>
        <w:t>&gt; [accessed 07.11.2019]</w:t>
      </w:r>
    </w:p>
    <w:p w14:paraId="30457A2D" w14:textId="77777777" w:rsidR="003F29CA" w:rsidRPr="00632656" w:rsidRDefault="003F29CA" w:rsidP="00ED4335"/>
    <w:p w14:paraId="2027EB89" w14:textId="77777777" w:rsidR="0062520D" w:rsidRDefault="0062520D" w:rsidP="4FC39A58"/>
    <w:sectPr w:rsidR="0062520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722DD" w14:textId="77777777" w:rsidR="00494E28" w:rsidRDefault="00494E28" w:rsidP="00494E28">
      <w:pPr>
        <w:spacing w:after="0" w:line="240" w:lineRule="auto"/>
      </w:pPr>
      <w:r>
        <w:separator/>
      </w:r>
    </w:p>
  </w:endnote>
  <w:endnote w:type="continuationSeparator" w:id="0">
    <w:p w14:paraId="7FBF678C" w14:textId="77777777" w:rsidR="00494E28" w:rsidRDefault="00494E28" w:rsidP="00494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B3E7C" w14:textId="77777777" w:rsidR="00494E28" w:rsidRDefault="00494E28" w:rsidP="00494E28">
      <w:pPr>
        <w:spacing w:after="0" w:line="240" w:lineRule="auto"/>
      </w:pPr>
      <w:r>
        <w:separator/>
      </w:r>
    </w:p>
  </w:footnote>
  <w:footnote w:type="continuationSeparator" w:id="0">
    <w:p w14:paraId="5D4B2A8A" w14:textId="77777777" w:rsidR="00494E28" w:rsidRDefault="00494E28" w:rsidP="00494E28">
      <w:pPr>
        <w:spacing w:after="0" w:line="240" w:lineRule="auto"/>
      </w:pPr>
      <w:r>
        <w:continuationSeparator/>
      </w:r>
    </w:p>
  </w:footnote>
  <w:footnote w:id="1">
    <w:p w14:paraId="04434E8D" w14:textId="77777777" w:rsidR="00464C0F" w:rsidRDefault="00464C0F" w:rsidP="00464C0F">
      <w:r>
        <w:rPr>
          <w:rStyle w:val="FootnoteReference"/>
        </w:rPr>
        <w:footnoteRef/>
      </w:r>
      <w:r>
        <w:t xml:space="preserve"> </w:t>
      </w:r>
      <w:r>
        <w:rPr>
          <w:lang w:val="en-GB"/>
        </w:rPr>
        <w:t xml:space="preserve">Jean-Paul Sartre, </w:t>
      </w:r>
      <w:r>
        <w:rPr>
          <w:i/>
          <w:iCs/>
        </w:rPr>
        <w:t>Being and nothingness</w:t>
      </w:r>
      <w:r>
        <w:t>, New York: Methuen &amp; Co. Ltd (1957).</w:t>
      </w:r>
    </w:p>
    <w:p w14:paraId="25292DD9" w14:textId="77777777" w:rsidR="00464C0F" w:rsidRPr="00494E28" w:rsidRDefault="00464C0F" w:rsidP="00464C0F">
      <w:pPr>
        <w:pStyle w:val="FootnoteText"/>
        <w:rPr>
          <w:lang w:val="en-GB"/>
        </w:rPr>
      </w:pPr>
    </w:p>
  </w:footnote>
  <w:footnote w:id="2">
    <w:p w14:paraId="37D0A145" w14:textId="77777777" w:rsidR="00464C0F" w:rsidRPr="006A16B3" w:rsidRDefault="00464C0F" w:rsidP="00464C0F">
      <w:pPr>
        <w:pStyle w:val="FootnoteText"/>
        <w:rPr>
          <w:lang w:val="en-GB"/>
        </w:rPr>
      </w:pPr>
      <w:r>
        <w:rPr>
          <w:rStyle w:val="FootnoteReference"/>
        </w:rPr>
        <w:footnoteRef/>
      </w:r>
      <w:r>
        <w:t xml:space="preserve"> </w:t>
      </w:r>
      <w:r>
        <w:rPr>
          <w:lang w:val="en-GB"/>
        </w:rPr>
        <w:t xml:space="preserve">Jean-Paul Sartre, </w:t>
      </w:r>
      <w:r>
        <w:rPr>
          <w:i/>
          <w:iCs/>
        </w:rPr>
        <w:t xml:space="preserve">Existentialism is a humanism, </w:t>
      </w:r>
      <w:r>
        <w:t>1946 &lt;</w:t>
      </w:r>
      <w:hyperlink r:id="rId1" w:history="1">
        <w:r>
          <w:rPr>
            <w:rStyle w:val="Hyperlink"/>
          </w:rPr>
          <w:t>http://homepages.wmich.edu/~baldner/existentialism.pdf</w:t>
        </w:r>
      </w:hyperlink>
      <w:r>
        <w:t>&gt; [accessed 19.11.2019].</w:t>
      </w:r>
    </w:p>
  </w:footnote>
  <w:footnote w:id="3">
    <w:p w14:paraId="31298B7F" w14:textId="6DD774E9" w:rsidR="00BD0B50" w:rsidRPr="006A16B3" w:rsidRDefault="00BD0B50" w:rsidP="00BD0B50">
      <w:pPr>
        <w:pStyle w:val="FootnoteText"/>
        <w:rPr>
          <w:lang w:val="en-GB"/>
        </w:rPr>
      </w:pPr>
      <w:r>
        <w:rPr>
          <w:rStyle w:val="FootnoteReference"/>
        </w:rPr>
        <w:footnoteRef/>
      </w:r>
      <w:r>
        <w:t xml:space="preserve"> </w:t>
      </w:r>
      <w:r>
        <w:rPr>
          <w:lang w:val="en-GB"/>
        </w:rPr>
        <w:t xml:space="preserve">Jean-Paul Sartre, </w:t>
      </w:r>
      <w:r>
        <w:rPr>
          <w:i/>
          <w:iCs/>
        </w:rPr>
        <w:t xml:space="preserve">Existentialism is a humanism, </w:t>
      </w:r>
      <w:r>
        <w:t>1946 &lt;</w:t>
      </w:r>
      <w:hyperlink r:id="rId2" w:history="1">
        <w:r>
          <w:rPr>
            <w:rStyle w:val="Hyperlink"/>
          </w:rPr>
          <w:t>http://homepages.wmich.edu/~baldner/existentialism.pdf</w:t>
        </w:r>
      </w:hyperlink>
      <w:r>
        <w:t>&gt; [accessed 19.11.2019].</w:t>
      </w:r>
      <w:r>
        <w:t xml:space="preserve"> page </w:t>
      </w:r>
      <w:r w:rsidR="00DA3055">
        <w:t>4</w:t>
      </w:r>
    </w:p>
    <w:p w14:paraId="40121ADB" w14:textId="21D957FD" w:rsidR="00BD0B50" w:rsidRPr="00BD0B50" w:rsidRDefault="00BD0B50">
      <w:pPr>
        <w:pStyle w:val="FootnoteText"/>
        <w:rPr>
          <w:lang w:val="en-GB"/>
        </w:rPr>
      </w:pPr>
    </w:p>
  </w:footnote>
  <w:footnote w:id="4">
    <w:p w14:paraId="5BC55584" w14:textId="0DFC599A" w:rsidR="00DA3055" w:rsidRPr="006A16B3" w:rsidRDefault="00DA3055" w:rsidP="00DA3055">
      <w:pPr>
        <w:pStyle w:val="FootnoteText"/>
        <w:rPr>
          <w:lang w:val="en-GB"/>
        </w:rPr>
      </w:pPr>
      <w:r>
        <w:rPr>
          <w:rStyle w:val="FootnoteReference"/>
        </w:rPr>
        <w:footnoteRef/>
      </w:r>
      <w:r>
        <w:t xml:space="preserve"> </w:t>
      </w:r>
      <w:r>
        <w:rPr>
          <w:lang w:val="en-GB"/>
        </w:rPr>
        <w:t xml:space="preserve">Jean-Paul Sartre, </w:t>
      </w:r>
      <w:r>
        <w:rPr>
          <w:i/>
          <w:iCs/>
        </w:rPr>
        <w:t xml:space="preserve">Existentialism is a humanism, </w:t>
      </w:r>
      <w:r>
        <w:t>1946 &lt;</w:t>
      </w:r>
      <w:hyperlink r:id="rId3" w:history="1">
        <w:r>
          <w:rPr>
            <w:rStyle w:val="Hyperlink"/>
          </w:rPr>
          <w:t>http://homepages.wmich.edu/~baldner/existentialism.pdf</w:t>
        </w:r>
      </w:hyperlink>
      <w:r>
        <w:t>&gt; [accessed 19.11.2019].</w:t>
      </w:r>
      <w:r>
        <w:t xml:space="preserve"> page 4</w:t>
      </w:r>
    </w:p>
    <w:p w14:paraId="7270148A" w14:textId="3C6E8797" w:rsidR="00DA3055" w:rsidRPr="00DA3055" w:rsidRDefault="00DA3055">
      <w:pPr>
        <w:pStyle w:val="FootnoteText"/>
        <w:rPr>
          <w:lang w:val="en-GB"/>
        </w:rPr>
      </w:pPr>
    </w:p>
  </w:footnote>
  <w:footnote w:id="5">
    <w:p w14:paraId="4762A325" w14:textId="55FE0B0E" w:rsidR="00DA3055" w:rsidRPr="006A16B3" w:rsidRDefault="00DA3055" w:rsidP="00DA3055">
      <w:pPr>
        <w:pStyle w:val="FootnoteText"/>
        <w:rPr>
          <w:lang w:val="en-GB"/>
        </w:rPr>
      </w:pPr>
      <w:r>
        <w:rPr>
          <w:rStyle w:val="FootnoteReference"/>
        </w:rPr>
        <w:footnoteRef/>
      </w:r>
      <w:r>
        <w:t xml:space="preserve"> </w:t>
      </w:r>
      <w:r>
        <w:rPr>
          <w:lang w:val="en-GB"/>
        </w:rPr>
        <w:t xml:space="preserve">Jean-Paul Sartre, </w:t>
      </w:r>
      <w:r>
        <w:rPr>
          <w:i/>
          <w:iCs/>
        </w:rPr>
        <w:t xml:space="preserve">Existentialism is a humanism, </w:t>
      </w:r>
      <w:r>
        <w:t>1946 &lt;</w:t>
      </w:r>
      <w:hyperlink r:id="rId4" w:history="1">
        <w:r>
          <w:rPr>
            <w:rStyle w:val="Hyperlink"/>
          </w:rPr>
          <w:t>http://homepages.wmich.edu/~baldner/existentialism.pdf</w:t>
        </w:r>
      </w:hyperlink>
      <w:r>
        <w:t>&gt; [accessed 19.11.2019].</w:t>
      </w:r>
      <w:r>
        <w:t xml:space="preserve"> page 5</w:t>
      </w:r>
    </w:p>
    <w:p w14:paraId="2D06917A" w14:textId="2E19ADF7" w:rsidR="00DA3055" w:rsidRPr="00DA3055" w:rsidRDefault="00DA3055">
      <w:pPr>
        <w:pStyle w:val="FootnoteText"/>
        <w:rPr>
          <w:lang w:val="en-GB"/>
        </w:rPr>
      </w:pPr>
    </w:p>
  </w:footnote>
  <w:footnote w:id="6">
    <w:p w14:paraId="555B6F51" w14:textId="3261EF89" w:rsidR="00843FD1" w:rsidRPr="00843FD1" w:rsidRDefault="00843FD1">
      <w:pPr>
        <w:pStyle w:val="FootnoteText"/>
        <w:rPr>
          <w:lang w:val="en-GB"/>
        </w:rPr>
      </w:pPr>
      <w:r>
        <w:rPr>
          <w:rStyle w:val="FootnoteReference"/>
        </w:rPr>
        <w:footnoteRef/>
      </w:r>
      <w:r>
        <w:t xml:space="preserve"> </w:t>
      </w:r>
      <w:r>
        <w:rPr>
          <w:lang w:val="en-GB"/>
        </w:rPr>
        <w:t xml:space="preserve">Jean-Paul Sartre, </w:t>
      </w:r>
      <w:r>
        <w:rPr>
          <w:i/>
          <w:iCs/>
        </w:rPr>
        <w:t>Being and nothingness</w:t>
      </w:r>
      <w:r>
        <w:t>, New York: Methuen &amp; Co. Ltd (1957)</w:t>
      </w:r>
      <w:r>
        <w:t xml:space="preserve"> </w:t>
      </w:r>
      <w:r w:rsidR="00012BBA">
        <w:t>p</w:t>
      </w:r>
      <w:r w:rsidR="009512E0">
        <w:t>age 71</w:t>
      </w:r>
    </w:p>
  </w:footnote>
  <w:footnote w:id="7">
    <w:p w14:paraId="50FC006F" w14:textId="75F6EC97" w:rsidR="0045242D" w:rsidRPr="00843FD1" w:rsidRDefault="00147221" w:rsidP="0045242D">
      <w:pPr>
        <w:pStyle w:val="FootnoteText"/>
        <w:rPr>
          <w:lang w:val="en-GB"/>
        </w:rPr>
      </w:pPr>
      <w:r>
        <w:rPr>
          <w:rStyle w:val="FootnoteReference"/>
        </w:rPr>
        <w:footnoteRef/>
      </w:r>
      <w:r>
        <w:t xml:space="preserve"> </w:t>
      </w:r>
      <w:r w:rsidR="0045242D">
        <w:rPr>
          <w:lang w:val="en-GB"/>
        </w:rPr>
        <w:t xml:space="preserve">Jean-Paul Sartre, </w:t>
      </w:r>
      <w:r w:rsidR="0045242D">
        <w:rPr>
          <w:i/>
          <w:iCs/>
        </w:rPr>
        <w:t>Being and nothingness</w:t>
      </w:r>
      <w:r w:rsidR="0045242D">
        <w:t>, New York: Methuen &amp; Co. Ltd (1957) page 7</w:t>
      </w:r>
      <w:r w:rsidR="0045242D">
        <w:t>8-79</w:t>
      </w:r>
    </w:p>
    <w:p w14:paraId="633DE8BF" w14:textId="6EA98A3F" w:rsidR="00147221" w:rsidRPr="00147221" w:rsidRDefault="00147221">
      <w:pPr>
        <w:pStyle w:val="FootnoteText"/>
        <w:rPr>
          <w:lang w:val="en-GB"/>
        </w:rPr>
      </w:pPr>
    </w:p>
  </w:footnote>
  <w:footnote w:id="8">
    <w:p w14:paraId="57F2A15F" w14:textId="55593D6D" w:rsidR="00FF1E5C" w:rsidRPr="00FF1E5C" w:rsidRDefault="00FF1E5C">
      <w:pPr>
        <w:pStyle w:val="FootnoteText"/>
        <w:rPr>
          <w:lang w:val="en-GB"/>
        </w:rPr>
      </w:pPr>
      <w:r>
        <w:rPr>
          <w:rStyle w:val="FootnoteReference"/>
        </w:rPr>
        <w:footnoteRef/>
      </w:r>
      <w:r>
        <w:t xml:space="preserve"> </w:t>
      </w:r>
      <w:r>
        <w:rPr>
          <w:lang w:val="en-GB"/>
        </w:rPr>
        <w:t xml:space="preserve">Jean-Paul Sartre, </w:t>
      </w:r>
      <w:r>
        <w:rPr>
          <w:i/>
          <w:iCs/>
        </w:rPr>
        <w:t>Being and nothingness</w:t>
      </w:r>
      <w:r>
        <w:t>, New York: Methuen &amp; Co. Ltd (1957) page 78</w:t>
      </w:r>
    </w:p>
  </w:footnote>
  <w:footnote w:id="9">
    <w:p w14:paraId="7AF0C9B8" w14:textId="70219362" w:rsidR="00C568FC" w:rsidRPr="00424143" w:rsidRDefault="00C568FC" w:rsidP="00C568FC">
      <w:r>
        <w:rPr>
          <w:rStyle w:val="FootnoteReference"/>
        </w:rPr>
        <w:footnoteRef/>
      </w:r>
      <w:r>
        <w:t xml:space="preserve"> Jonathan</w:t>
      </w:r>
      <w:r w:rsidR="00E63797">
        <w:t>. W</w:t>
      </w:r>
      <w:r>
        <w:t xml:space="preserve">, </w:t>
      </w:r>
      <w:r>
        <w:rPr>
          <w:i/>
          <w:iCs/>
        </w:rPr>
        <w:t>Bad Faith and the other</w:t>
      </w:r>
      <w:r>
        <w:t>, &lt;</w:t>
      </w:r>
      <w:hyperlink r:id="rId5" w:history="1">
        <w:r w:rsidRPr="00D011D1">
          <w:rPr>
            <w:rStyle w:val="Hyperlink"/>
          </w:rPr>
          <w:t>https://www.jonathanwebber.co.uk/articles/BadFaithAndTheOther.pdf</w:t>
        </w:r>
      </w:hyperlink>
      <w:r>
        <w:t>&gt; [accessed 07.11.2019]</w:t>
      </w:r>
    </w:p>
    <w:p w14:paraId="218F07D1" w14:textId="0277A2BA" w:rsidR="00C568FC" w:rsidRPr="00C568FC" w:rsidRDefault="00C568FC">
      <w:pPr>
        <w:pStyle w:val="FootnoteText"/>
        <w:rPr>
          <w:lang w:val="en-GB"/>
        </w:rPr>
      </w:pPr>
    </w:p>
  </w:footnote>
  <w:footnote w:id="10">
    <w:p w14:paraId="6A08ABBB" w14:textId="05AF207E" w:rsidR="001856D1" w:rsidRPr="001856D1" w:rsidRDefault="001856D1">
      <w:pPr>
        <w:pStyle w:val="FootnoteText"/>
        <w:rPr>
          <w:lang w:val="en-GB"/>
        </w:rPr>
      </w:pPr>
      <w:r>
        <w:rPr>
          <w:rStyle w:val="FootnoteReference"/>
        </w:rPr>
        <w:footnoteRef/>
      </w:r>
      <w:r>
        <w:t xml:space="preserve"> </w:t>
      </w:r>
      <w:r>
        <w:rPr>
          <w:lang w:val="en-GB"/>
        </w:rPr>
        <w:t xml:space="preserve">Jean-Paul Sartre, </w:t>
      </w:r>
      <w:r>
        <w:rPr>
          <w:i/>
          <w:iCs/>
        </w:rPr>
        <w:t>Being and nothingness</w:t>
      </w:r>
      <w:r>
        <w:t xml:space="preserve">, New York: Methuen &amp; Co. Ltd (1957) page </w:t>
      </w:r>
      <w:r w:rsidR="000348F1">
        <w:t>83</w:t>
      </w:r>
    </w:p>
  </w:footnote>
  <w:footnote w:id="11">
    <w:p w14:paraId="7777C592" w14:textId="54E0EE59" w:rsidR="00771C09" w:rsidRPr="00424143" w:rsidRDefault="005A6C73" w:rsidP="00771C09">
      <w:r>
        <w:rPr>
          <w:rStyle w:val="FootnoteReference"/>
        </w:rPr>
        <w:footnoteRef/>
      </w:r>
      <w:r w:rsidR="00771C09">
        <w:t>Jo</w:t>
      </w:r>
      <w:r w:rsidR="00106C0F">
        <w:t>nathan</w:t>
      </w:r>
      <w:r w:rsidR="00AA5102">
        <w:t>. W</w:t>
      </w:r>
      <w:r w:rsidR="00771C09">
        <w:t xml:space="preserve">, </w:t>
      </w:r>
      <w:r w:rsidR="00771C09">
        <w:rPr>
          <w:i/>
          <w:iCs/>
        </w:rPr>
        <w:t>Bad Faith and the other</w:t>
      </w:r>
      <w:r w:rsidR="00771C09">
        <w:t>, &lt;</w:t>
      </w:r>
      <w:hyperlink r:id="rId6" w:history="1">
        <w:r w:rsidR="00771C09" w:rsidRPr="00D011D1">
          <w:rPr>
            <w:rStyle w:val="Hyperlink"/>
          </w:rPr>
          <w:t>https://www.jonathanwebber.co.uk/articles/BadFaithAndTheOther.pdf</w:t>
        </w:r>
      </w:hyperlink>
      <w:r w:rsidR="00771C09">
        <w:t>&gt; [accessed 07.11.2019]</w:t>
      </w:r>
    </w:p>
    <w:p w14:paraId="33E29DC1" w14:textId="48E3711E" w:rsidR="005A6C73" w:rsidRPr="005A6C73" w:rsidRDefault="005A6C73">
      <w:pPr>
        <w:pStyle w:val="FootnoteText"/>
        <w:rPr>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232C6"/>
    <w:multiLevelType w:val="hybridMultilevel"/>
    <w:tmpl w:val="04EC3F52"/>
    <w:lvl w:ilvl="0" w:tplc="BBECE9BA">
      <w:start w:val="1"/>
      <w:numFmt w:val="decimal"/>
      <w:lvlText w:val="%1."/>
      <w:lvlJc w:val="left"/>
      <w:pPr>
        <w:ind w:left="720" w:hanging="360"/>
      </w:pPr>
    </w:lvl>
    <w:lvl w:ilvl="1" w:tplc="1FF8F7A2">
      <w:start w:val="1"/>
      <w:numFmt w:val="lowerLetter"/>
      <w:lvlText w:val="%2."/>
      <w:lvlJc w:val="left"/>
      <w:pPr>
        <w:ind w:left="1440" w:hanging="360"/>
      </w:pPr>
    </w:lvl>
    <w:lvl w:ilvl="2" w:tplc="BB02B398">
      <w:start w:val="1"/>
      <w:numFmt w:val="lowerRoman"/>
      <w:lvlText w:val="%3."/>
      <w:lvlJc w:val="right"/>
      <w:pPr>
        <w:ind w:left="2160" w:hanging="180"/>
      </w:pPr>
    </w:lvl>
    <w:lvl w:ilvl="3" w:tplc="4C32A226">
      <w:start w:val="1"/>
      <w:numFmt w:val="decimal"/>
      <w:lvlText w:val="%4."/>
      <w:lvlJc w:val="left"/>
      <w:pPr>
        <w:ind w:left="2880" w:hanging="360"/>
      </w:pPr>
    </w:lvl>
    <w:lvl w:ilvl="4" w:tplc="FA96F05A">
      <w:start w:val="1"/>
      <w:numFmt w:val="lowerLetter"/>
      <w:lvlText w:val="%5."/>
      <w:lvlJc w:val="left"/>
      <w:pPr>
        <w:ind w:left="3600" w:hanging="360"/>
      </w:pPr>
    </w:lvl>
    <w:lvl w:ilvl="5" w:tplc="764CB412">
      <w:start w:val="1"/>
      <w:numFmt w:val="lowerRoman"/>
      <w:lvlText w:val="%6."/>
      <w:lvlJc w:val="right"/>
      <w:pPr>
        <w:ind w:left="4320" w:hanging="180"/>
      </w:pPr>
    </w:lvl>
    <w:lvl w:ilvl="6" w:tplc="9692DAF0">
      <w:start w:val="1"/>
      <w:numFmt w:val="decimal"/>
      <w:lvlText w:val="%7."/>
      <w:lvlJc w:val="left"/>
      <w:pPr>
        <w:ind w:left="5040" w:hanging="360"/>
      </w:pPr>
    </w:lvl>
    <w:lvl w:ilvl="7" w:tplc="D8085C18">
      <w:start w:val="1"/>
      <w:numFmt w:val="lowerLetter"/>
      <w:lvlText w:val="%8."/>
      <w:lvlJc w:val="left"/>
      <w:pPr>
        <w:ind w:left="5760" w:hanging="360"/>
      </w:pPr>
    </w:lvl>
    <w:lvl w:ilvl="8" w:tplc="849029AA">
      <w:start w:val="1"/>
      <w:numFmt w:val="lowerRoman"/>
      <w:lvlText w:val="%9."/>
      <w:lvlJc w:val="right"/>
      <w:pPr>
        <w:ind w:left="6480" w:hanging="180"/>
      </w:pPr>
    </w:lvl>
  </w:abstractNum>
  <w:abstractNum w:abstractNumId="1" w15:restartNumberingAfterBreak="0">
    <w:nsid w:val="5EC60DEC"/>
    <w:multiLevelType w:val="hybridMultilevel"/>
    <w:tmpl w:val="A8649070"/>
    <w:lvl w:ilvl="0" w:tplc="92B47150">
      <w:start w:val="1"/>
      <w:numFmt w:val="decimal"/>
      <w:lvlText w:val="%1."/>
      <w:lvlJc w:val="left"/>
      <w:pPr>
        <w:ind w:left="720" w:hanging="360"/>
      </w:pPr>
    </w:lvl>
    <w:lvl w:ilvl="1" w:tplc="68CE4382">
      <w:start w:val="1"/>
      <w:numFmt w:val="lowerLetter"/>
      <w:lvlText w:val="%2."/>
      <w:lvlJc w:val="left"/>
      <w:pPr>
        <w:ind w:left="1440" w:hanging="360"/>
      </w:pPr>
    </w:lvl>
    <w:lvl w:ilvl="2" w:tplc="3C54BD18">
      <w:start w:val="1"/>
      <w:numFmt w:val="lowerRoman"/>
      <w:lvlText w:val="%3."/>
      <w:lvlJc w:val="right"/>
      <w:pPr>
        <w:ind w:left="2160" w:hanging="180"/>
      </w:pPr>
    </w:lvl>
    <w:lvl w:ilvl="3" w:tplc="DCE25028">
      <w:start w:val="1"/>
      <w:numFmt w:val="decimal"/>
      <w:lvlText w:val="%4."/>
      <w:lvlJc w:val="left"/>
      <w:pPr>
        <w:ind w:left="2880" w:hanging="360"/>
      </w:pPr>
    </w:lvl>
    <w:lvl w:ilvl="4" w:tplc="84FA1088">
      <w:start w:val="1"/>
      <w:numFmt w:val="lowerLetter"/>
      <w:lvlText w:val="%5."/>
      <w:lvlJc w:val="left"/>
      <w:pPr>
        <w:ind w:left="3600" w:hanging="360"/>
      </w:pPr>
    </w:lvl>
    <w:lvl w:ilvl="5" w:tplc="A53C871A">
      <w:start w:val="1"/>
      <w:numFmt w:val="lowerRoman"/>
      <w:lvlText w:val="%6."/>
      <w:lvlJc w:val="right"/>
      <w:pPr>
        <w:ind w:left="4320" w:hanging="180"/>
      </w:pPr>
    </w:lvl>
    <w:lvl w:ilvl="6" w:tplc="78389D08">
      <w:start w:val="1"/>
      <w:numFmt w:val="decimal"/>
      <w:lvlText w:val="%7."/>
      <w:lvlJc w:val="left"/>
      <w:pPr>
        <w:ind w:left="5040" w:hanging="360"/>
      </w:pPr>
    </w:lvl>
    <w:lvl w:ilvl="7" w:tplc="CB00406C">
      <w:start w:val="1"/>
      <w:numFmt w:val="lowerLetter"/>
      <w:lvlText w:val="%8."/>
      <w:lvlJc w:val="left"/>
      <w:pPr>
        <w:ind w:left="5760" w:hanging="360"/>
      </w:pPr>
    </w:lvl>
    <w:lvl w:ilvl="8" w:tplc="C0A0675E">
      <w:start w:val="1"/>
      <w:numFmt w:val="lowerRoman"/>
      <w:lvlText w:val="%9."/>
      <w:lvlJc w:val="right"/>
      <w:pPr>
        <w:ind w:left="6480" w:hanging="180"/>
      </w:pPr>
    </w:lvl>
  </w:abstractNum>
  <w:abstractNum w:abstractNumId="2" w15:restartNumberingAfterBreak="0">
    <w:nsid w:val="685D0F73"/>
    <w:multiLevelType w:val="hybridMultilevel"/>
    <w:tmpl w:val="B2C010CC"/>
    <w:lvl w:ilvl="0" w:tplc="A178E896">
      <w:start w:val="1"/>
      <w:numFmt w:val="decimal"/>
      <w:lvlText w:val="%1."/>
      <w:lvlJc w:val="left"/>
      <w:pPr>
        <w:ind w:left="720" w:hanging="360"/>
      </w:pPr>
    </w:lvl>
    <w:lvl w:ilvl="1" w:tplc="4F5C1528">
      <w:start w:val="1"/>
      <w:numFmt w:val="bullet"/>
      <w:lvlText w:val=""/>
      <w:lvlJc w:val="left"/>
      <w:pPr>
        <w:ind w:left="1440" w:hanging="360"/>
      </w:pPr>
      <w:rPr>
        <w:rFonts w:ascii="Symbol" w:hAnsi="Symbol" w:hint="default"/>
      </w:rPr>
    </w:lvl>
    <w:lvl w:ilvl="2" w:tplc="F1A26D12">
      <w:start w:val="1"/>
      <w:numFmt w:val="lowerRoman"/>
      <w:lvlText w:val="%3."/>
      <w:lvlJc w:val="right"/>
      <w:pPr>
        <w:ind w:left="2160" w:hanging="180"/>
      </w:pPr>
    </w:lvl>
    <w:lvl w:ilvl="3" w:tplc="D17E472C">
      <w:start w:val="1"/>
      <w:numFmt w:val="decimal"/>
      <w:lvlText w:val="%4."/>
      <w:lvlJc w:val="left"/>
      <w:pPr>
        <w:ind w:left="2880" w:hanging="360"/>
      </w:pPr>
    </w:lvl>
    <w:lvl w:ilvl="4" w:tplc="E3C0C07A">
      <w:start w:val="1"/>
      <w:numFmt w:val="lowerLetter"/>
      <w:lvlText w:val="%5."/>
      <w:lvlJc w:val="left"/>
      <w:pPr>
        <w:ind w:left="3600" w:hanging="360"/>
      </w:pPr>
    </w:lvl>
    <w:lvl w:ilvl="5" w:tplc="B3BE0B42">
      <w:start w:val="1"/>
      <w:numFmt w:val="lowerRoman"/>
      <w:lvlText w:val="%6."/>
      <w:lvlJc w:val="right"/>
      <w:pPr>
        <w:ind w:left="4320" w:hanging="180"/>
      </w:pPr>
    </w:lvl>
    <w:lvl w:ilvl="6" w:tplc="601EDF50">
      <w:start w:val="1"/>
      <w:numFmt w:val="decimal"/>
      <w:lvlText w:val="%7."/>
      <w:lvlJc w:val="left"/>
      <w:pPr>
        <w:ind w:left="5040" w:hanging="360"/>
      </w:pPr>
    </w:lvl>
    <w:lvl w:ilvl="7" w:tplc="B9C8A5B2">
      <w:start w:val="1"/>
      <w:numFmt w:val="lowerLetter"/>
      <w:lvlText w:val="%8."/>
      <w:lvlJc w:val="left"/>
      <w:pPr>
        <w:ind w:left="5760" w:hanging="360"/>
      </w:pPr>
    </w:lvl>
    <w:lvl w:ilvl="8" w:tplc="367A4226">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4C99AC"/>
    <w:rsid w:val="00001F44"/>
    <w:rsid w:val="000071CD"/>
    <w:rsid w:val="00012BBA"/>
    <w:rsid w:val="000139F5"/>
    <w:rsid w:val="00023166"/>
    <w:rsid w:val="000335BF"/>
    <w:rsid w:val="000348F1"/>
    <w:rsid w:val="000433A4"/>
    <w:rsid w:val="00044772"/>
    <w:rsid w:val="00045130"/>
    <w:rsid w:val="000473A0"/>
    <w:rsid w:val="000473A6"/>
    <w:rsid w:val="000476A9"/>
    <w:rsid w:val="00051E2B"/>
    <w:rsid w:val="00054C09"/>
    <w:rsid w:val="00063A73"/>
    <w:rsid w:val="00067080"/>
    <w:rsid w:val="00070239"/>
    <w:rsid w:val="000755FE"/>
    <w:rsid w:val="00085E7F"/>
    <w:rsid w:val="000A1A99"/>
    <w:rsid w:val="000A3448"/>
    <w:rsid w:val="000B0A1F"/>
    <w:rsid w:val="000B1C8C"/>
    <w:rsid w:val="000C1720"/>
    <w:rsid w:val="000C21FF"/>
    <w:rsid w:val="000D58D2"/>
    <w:rsid w:val="000D6457"/>
    <w:rsid w:val="000D7F98"/>
    <w:rsid w:val="000F0276"/>
    <w:rsid w:val="000F2948"/>
    <w:rsid w:val="0010256A"/>
    <w:rsid w:val="00106C0F"/>
    <w:rsid w:val="00114041"/>
    <w:rsid w:val="0011684A"/>
    <w:rsid w:val="00122F24"/>
    <w:rsid w:val="001257A2"/>
    <w:rsid w:val="0013291E"/>
    <w:rsid w:val="00133351"/>
    <w:rsid w:val="0014554E"/>
    <w:rsid w:val="00147221"/>
    <w:rsid w:val="00151652"/>
    <w:rsid w:val="00160099"/>
    <w:rsid w:val="00170176"/>
    <w:rsid w:val="00177938"/>
    <w:rsid w:val="001856D1"/>
    <w:rsid w:val="00187537"/>
    <w:rsid w:val="00194E2C"/>
    <w:rsid w:val="001953D7"/>
    <w:rsid w:val="00196D8F"/>
    <w:rsid w:val="001A48AF"/>
    <w:rsid w:val="001B023F"/>
    <w:rsid w:val="001B68C2"/>
    <w:rsid w:val="001C0E28"/>
    <w:rsid w:val="001C1B3E"/>
    <w:rsid w:val="001C5B0A"/>
    <w:rsid w:val="001F0A19"/>
    <w:rsid w:val="001F3100"/>
    <w:rsid w:val="002064B8"/>
    <w:rsid w:val="00220AB2"/>
    <w:rsid w:val="00230A00"/>
    <w:rsid w:val="00232459"/>
    <w:rsid w:val="002414A5"/>
    <w:rsid w:val="002433DF"/>
    <w:rsid w:val="00243982"/>
    <w:rsid w:val="00245492"/>
    <w:rsid w:val="0025142A"/>
    <w:rsid w:val="00260B32"/>
    <w:rsid w:val="00262083"/>
    <w:rsid w:val="00270AFF"/>
    <w:rsid w:val="0028191A"/>
    <w:rsid w:val="00282221"/>
    <w:rsid w:val="002963A2"/>
    <w:rsid w:val="002A2A00"/>
    <w:rsid w:val="002B38BE"/>
    <w:rsid w:val="002D0EF4"/>
    <w:rsid w:val="002D718A"/>
    <w:rsid w:val="002E0377"/>
    <w:rsid w:val="002E0D79"/>
    <w:rsid w:val="002E16C9"/>
    <w:rsid w:val="002F5FB0"/>
    <w:rsid w:val="00300477"/>
    <w:rsid w:val="003064C2"/>
    <w:rsid w:val="0033559F"/>
    <w:rsid w:val="00343D63"/>
    <w:rsid w:val="00344F55"/>
    <w:rsid w:val="00360ACB"/>
    <w:rsid w:val="00364D17"/>
    <w:rsid w:val="0037749F"/>
    <w:rsid w:val="00380994"/>
    <w:rsid w:val="003923E2"/>
    <w:rsid w:val="00392F19"/>
    <w:rsid w:val="00394B03"/>
    <w:rsid w:val="003975BD"/>
    <w:rsid w:val="003A133B"/>
    <w:rsid w:val="003D0CF7"/>
    <w:rsid w:val="003D6717"/>
    <w:rsid w:val="003E5982"/>
    <w:rsid w:val="003F0C7A"/>
    <w:rsid w:val="003F29CA"/>
    <w:rsid w:val="004049A8"/>
    <w:rsid w:val="004137D0"/>
    <w:rsid w:val="00415B43"/>
    <w:rsid w:val="00424143"/>
    <w:rsid w:val="00425605"/>
    <w:rsid w:val="00425DEF"/>
    <w:rsid w:val="004417F1"/>
    <w:rsid w:val="00443244"/>
    <w:rsid w:val="0044691B"/>
    <w:rsid w:val="0045242D"/>
    <w:rsid w:val="00461525"/>
    <w:rsid w:val="00464C0F"/>
    <w:rsid w:val="0046643A"/>
    <w:rsid w:val="00471D30"/>
    <w:rsid w:val="00474AD7"/>
    <w:rsid w:val="004754E1"/>
    <w:rsid w:val="00476F5C"/>
    <w:rsid w:val="00481217"/>
    <w:rsid w:val="00486AD1"/>
    <w:rsid w:val="00491FCC"/>
    <w:rsid w:val="00494E28"/>
    <w:rsid w:val="004A3451"/>
    <w:rsid w:val="004B1DA4"/>
    <w:rsid w:val="004B3B1A"/>
    <w:rsid w:val="004C29E1"/>
    <w:rsid w:val="004C6241"/>
    <w:rsid w:val="004D64D7"/>
    <w:rsid w:val="00531ED5"/>
    <w:rsid w:val="00532415"/>
    <w:rsid w:val="00543F7E"/>
    <w:rsid w:val="00550093"/>
    <w:rsid w:val="0055140F"/>
    <w:rsid w:val="00551678"/>
    <w:rsid w:val="00560278"/>
    <w:rsid w:val="00562466"/>
    <w:rsid w:val="00565B28"/>
    <w:rsid w:val="0056756E"/>
    <w:rsid w:val="00572A84"/>
    <w:rsid w:val="0057488C"/>
    <w:rsid w:val="00577588"/>
    <w:rsid w:val="0058059B"/>
    <w:rsid w:val="00581741"/>
    <w:rsid w:val="0058243F"/>
    <w:rsid w:val="00582B03"/>
    <w:rsid w:val="00586197"/>
    <w:rsid w:val="00587E7F"/>
    <w:rsid w:val="00596CF7"/>
    <w:rsid w:val="005A4D20"/>
    <w:rsid w:val="005A6C73"/>
    <w:rsid w:val="005A713E"/>
    <w:rsid w:val="005B159D"/>
    <w:rsid w:val="005B4C0B"/>
    <w:rsid w:val="005C0CDF"/>
    <w:rsid w:val="005C16B1"/>
    <w:rsid w:val="005C33D9"/>
    <w:rsid w:val="005C5621"/>
    <w:rsid w:val="005D6972"/>
    <w:rsid w:val="005F00F7"/>
    <w:rsid w:val="0060179B"/>
    <w:rsid w:val="006057CE"/>
    <w:rsid w:val="006069EB"/>
    <w:rsid w:val="00610DAB"/>
    <w:rsid w:val="00611692"/>
    <w:rsid w:val="006225C4"/>
    <w:rsid w:val="0062520D"/>
    <w:rsid w:val="0062553B"/>
    <w:rsid w:val="00632656"/>
    <w:rsid w:val="006358FC"/>
    <w:rsid w:val="0064020A"/>
    <w:rsid w:val="00643C48"/>
    <w:rsid w:val="00645C57"/>
    <w:rsid w:val="0065304A"/>
    <w:rsid w:val="00663B3A"/>
    <w:rsid w:val="00666ED9"/>
    <w:rsid w:val="00670F62"/>
    <w:rsid w:val="00671F2D"/>
    <w:rsid w:val="0068557C"/>
    <w:rsid w:val="00686714"/>
    <w:rsid w:val="00691A7A"/>
    <w:rsid w:val="0069358C"/>
    <w:rsid w:val="0069733A"/>
    <w:rsid w:val="006A16B3"/>
    <w:rsid w:val="006A69C3"/>
    <w:rsid w:val="006B31A0"/>
    <w:rsid w:val="006B55DA"/>
    <w:rsid w:val="006C2F7D"/>
    <w:rsid w:val="006C3FF7"/>
    <w:rsid w:val="006D4EAE"/>
    <w:rsid w:val="006D6A79"/>
    <w:rsid w:val="006F030B"/>
    <w:rsid w:val="006F0420"/>
    <w:rsid w:val="006F1735"/>
    <w:rsid w:val="006F2468"/>
    <w:rsid w:val="006F2651"/>
    <w:rsid w:val="006F290C"/>
    <w:rsid w:val="006F6E5F"/>
    <w:rsid w:val="00711C3B"/>
    <w:rsid w:val="0072106A"/>
    <w:rsid w:val="0072319F"/>
    <w:rsid w:val="00724B7A"/>
    <w:rsid w:val="0072754E"/>
    <w:rsid w:val="00744521"/>
    <w:rsid w:val="00754401"/>
    <w:rsid w:val="00756C74"/>
    <w:rsid w:val="00760FB6"/>
    <w:rsid w:val="00767C88"/>
    <w:rsid w:val="00771C09"/>
    <w:rsid w:val="00775CD8"/>
    <w:rsid w:val="00775FB4"/>
    <w:rsid w:val="0077633B"/>
    <w:rsid w:val="00780CC7"/>
    <w:rsid w:val="0079399E"/>
    <w:rsid w:val="007A2CDE"/>
    <w:rsid w:val="007A302F"/>
    <w:rsid w:val="007B01A7"/>
    <w:rsid w:val="007B642F"/>
    <w:rsid w:val="007C4F49"/>
    <w:rsid w:val="007D3B72"/>
    <w:rsid w:val="007E6949"/>
    <w:rsid w:val="008079D3"/>
    <w:rsid w:val="00810275"/>
    <w:rsid w:val="0081172D"/>
    <w:rsid w:val="0082798E"/>
    <w:rsid w:val="00837CA0"/>
    <w:rsid w:val="00843FD1"/>
    <w:rsid w:val="00862592"/>
    <w:rsid w:val="00864787"/>
    <w:rsid w:val="008660A2"/>
    <w:rsid w:val="008728A1"/>
    <w:rsid w:val="00882B84"/>
    <w:rsid w:val="00882DF2"/>
    <w:rsid w:val="00892B17"/>
    <w:rsid w:val="008C0C85"/>
    <w:rsid w:val="008C1483"/>
    <w:rsid w:val="008C1ABC"/>
    <w:rsid w:val="008C330B"/>
    <w:rsid w:val="008C522F"/>
    <w:rsid w:val="008E26BF"/>
    <w:rsid w:val="008E369D"/>
    <w:rsid w:val="008E74FC"/>
    <w:rsid w:val="008F6E71"/>
    <w:rsid w:val="00901449"/>
    <w:rsid w:val="009132EF"/>
    <w:rsid w:val="0092024F"/>
    <w:rsid w:val="009512E0"/>
    <w:rsid w:val="00952158"/>
    <w:rsid w:val="00963D19"/>
    <w:rsid w:val="00964DC1"/>
    <w:rsid w:val="0096665E"/>
    <w:rsid w:val="00966819"/>
    <w:rsid w:val="0099419E"/>
    <w:rsid w:val="009A10D8"/>
    <w:rsid w:val="009C4367"/>
    <w:rsid w:val="009C54B6"/>
    <w:rsid w:val="009D071E"/>
    <w:rsid w:val="009D2164"/>
    <w:rsid w:val="009D4FE6"/>
    <w:rsid w:val="009D7C9E"/>
    <w:rsid w:val="009E114F"/>
    <w:rsid w:val="009E4615"/>
    <w:rsid w:val="009F041A"/>
    <w:rsid w:val="00A002BE"/>
    <w:rsid w:val="00A07E4D"/>
    <w:rsid w:val="00A25DEB"/>
    <w:rsid w:val="00A26AC3"/>
    <w:rsid w:val="00A355BD"/>
    <w:rsid w:val="00A35814"/>
    <w:rsid w:val="00A370E3"/>
    <w:rsid w:val="00A64F97"/>
    <w:rsid w:val="00A65149"/>
    <w:rsid w:val="00A74524"/>
    <w:rsid w:val="00A80E48"/>
    <w:rsid w:val="00A970DD"/>
    <w:rsid w:val="00AA4336"/>
    <w:rsid w:val="00AA4D07"/>
    <w:rsid w:val="00AA5102"/>
    <w:rsid w:val="00AB477F"/>
    <w:rsid w:val="00AB4C23"/>
    <w:rsid w:val="00AC3C4E"/>
    <w:rsid w:val="00AC5AA6"/>
    <w:rsid w:val="00AC5DBF"/>
    <w:rsid w:val="00AD206A"/>
    <w:rsid w:val="00AE4E49"/>
    <w:rsid w:val="00AE5A1C"/>
    <w:rsid w:val="00AF27DB"/>
    <w:rsid w:val="00AF49F0"/>
    <w:rsid w:val="00AF737A"/>
    <w:rsid w:val="00B26E8D"/>
    <w:rsid w:val="00B31DE6"/>
    <w:rsid w:val="00B42F26"/>
    <w:rsid w:val="00B51F0B"/>
    <w:rsid w:val="00B55A4B"/>
    <w:rsid w:val="00B56652"/>
    <w:rsid w:val="00B64F08"/>
    <w:rsid w:val="00B70A79"/>
    <w:rsid w:val="00B83D5E"/>
    <w:rsid w:val="00B92525"/>
    <w:rsid w:val="00B95E9D"/>
    <w:rsid w:val="00BA2A2A"/>
    <w:rsid w:val="00BA3B0F"/>
    <w:rsid w:val="00BA4070"/>
    <w:rsid w:val="00BB1A99"/>
    <w:rsid w:val="00BC16A8"/>
    <w:rsid w:val="00BC5E8A"/>
    <w:rsid w:val="00BC7082"/>
    <w:rsid w:val="00BC7255"/>
    <w:rsid w:val="00BD0B50"/>
    <w:rsid w:val="00BD47A9"/>
    <w:rsid w:val="00BD7BEA"/>
    <w:rsid w:val="00BE1D37"/>
    <w:rsid w:val="00BE5953"/>
    <w:rsid w:val="00BE7531"/>
    <w:rsid w:val="00BF17E5"/>
    <w:rsid w:val="00C0373F"/>
    <w:rsid w:val="00C04C74"/>
    <w:rsid w:val="00C07379"/>
    <w:rsid w:val="00C170FB"/>
    <w:rsid w:val="00C21CC8"/>
    <w:rsid w:val="00C268A6"/>
    <w:rsid w:val="00C26E10"/>
    <w:rsid w:val="00C31871"/>
    <w:rsid w:val="00C34080"/>
    <w:rsid w:val="00C4472E"/>
    <w:rsid w:val="00C4578D"/>
    <w:rsid w:val="00C53A86"/>
    <w:rsid w:val="00C55EA7"/>
    <w:rsid w:val="00C568FC"/>
    <w:rsid w:val="00C602A9"/>
    <w:rsid w:val="00C61D91"/>
    <w:rsid w:val="00C66BC5"/>
    <w:rsid w:val="00C66E1A"/>
    <w:rsid w:val="00C8678A"/>
    <w:rsid w:val="00C87D93"/>
    <w:rsid w:val="00C92665"/>
    <w:rsid w:val="00CA1FE5"/>
    <w:rsid w:val="00CB5EFB"/>
    <w:rsid w:val="00CC3BB0"/>
    <w:rsid w:val="00CC4840"/>
    <w:rsid w:val="00CD458A"/>
    <w:rsid w:val="00CD6137"/>
    <w:rsid w:val="00CE5B89"/>
    <w:rsid w:val="00CE60FD"/>
    <w:rsid w:val="00CF047C"/>
    <w:rsid w:val="00CF0760"/>
    <w:rsid w:val="00D015D5"/>
    <w:rsid w:val="00D1761F"/>
    <w:rsid w:val="00D279F8"/>
    <w:rsid w:val="00D33DFB"/>
    <w:rsid w:val="00D364F2"/>
    <w:rsid w:val="00D41FE1"/>
    <w:rsid w:val="00D56A7B"/>
    <w:rsid w:val="00D60A51"/>
    <w:rsid w:val="00D6519B"/>
    <w:rsid w:val="00D72322"/>
    <w:rsid w:val="00D77D00"/>
    <w:rsid w:val="00D92C33"/>
    <w:rsid w:val="00D96D61"/>
    <w:rsid w:val="00DA3055"/>
    <w:rsid w:val="00DA55F8"/>
    <w:rsid w:val="00DA632C"/>
    <w:rsid w:val="00DB2A13"/>
    <w:rsid w:val="00DB3C5B"/>
    <w:rsid w:val="00DD16CA"/>
    <w:rsid w:val="00DE02DD"/>
    <w:rsid w:val="00DF61E4"/>
    <w:rsid w:val="00E006FC"/>
    <w:rsid w:val="00E00AEA"/>
    <w:rsid w:val="00E02EB8"/>
    <w:rsid w:val="00E10326"/>
    <w:rsid w:val="00E11119"/>
    <w:rsid w:val="00E12BDC"/>
    <w:rsid w:val="00E1598A"/>
    <w:rsid w:val="00E20E78"/>
    <w:rsid w:val="00E277F5"/>
    <w:rsid w:val="00E3315F"/>
    <w:rsid w:val="00E34A05"/>
    <w:rsid w:val="00E451BE"/>
    <w:rsid w:val="00E60211"/>
    <w:rsid w:val="00E63797"/>
    <w:rsid w:val="00E70AEE"/>
    <w:rsid w:val="00E70BF1"/>
    <w:rsid w:val="00E7263E"/>
    <w:rsid w:val="00E739D7"/>
    <w:rsid w:val="00E73E24"/>
    <w:rsid w:val="00E73E72"/>
    <w:rsid w:val="00E759CA"/>
    <w:rsid w:val="00E915DC"/>
    <w:rsid w:val="00E9587B"/>
    <w:rsid w:val="00E965F2"/>
    <w:rsid w:val="00EA450A"/>
    <w:rsid w:val="00EB37FF"/>
    <w:rsid w:val="00EC5E28"/>
    <w:rsid w:val="00ED4335"/>
    <w:rsid w:val="00ED5119"/>
    <w:rsid w:val="00ED698B"/>
    <w:rsid w:val="00EF1C48"/>
    <w:rsid w:val="00EF361D"/>
    <w:rsid w:val="00EF57FC"/>
    <w:rsid w:val="00EF7F5D"/>
    <w:rsid w:val="00F008B8"/>
    <w:rsid w:val="00F02205"/>
    <w:rsid w:val="00F0331D"/>
    <w:rsid w:val="00F06528"/>
    <w:rsid w:val="00F1251E"/>
    <w:rsid w:val="00F21DA8"/>
    <w:rsid w:val="00F33B94"/>
    <w:rsid w:val="00F36CC9"/>
    <w:rsid w:val="00F3743E"/>
    <w:rsid w:val="00F46092"/>
    <w:rsid w:val="00F54679"/>
    <w:rsid w:val="00F644EC"/>
    <w:rsid w:val="00F96D52"/>
    <w:rsid w:val="00FB05FB"/>
    <w:rsid w:val="00FB2876"/>
    <w:rsid w:val="00FB4CEC"/>
    <w:rsid w:val="00FD1CE3"/>
    <w:rsid w:val="00FD37F9"/>
    <w:rsid w:val="00FD64F4"/>
    <w:rsid w:val="00FD7F55"/>
    <w:rsid w:val="00FE194A"/>
    <w:rsid w:val="00FE3909"/>
    <w:rsid w:val="00FE6036"/>
    <w:rsid w:val="00FF1E5C"/>
    <w:rsid w:val="00FF56EB"/>
    <w:rsid w:val="00FF634E"/>
    <w:rsid w:val="00FF69B1"/>
    <w:rsid w:val="00FF7A56"/>
    <w:rsid w:val="4FC39A58"/>
    <w:rsid w:val="654C99AC"/>
    <w:rsid w:val="73558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9EC65"/>
  <w15:chartTrackingRefBased/>
  <w15:docId w15:val="{5FAA23AA-89F6-4968-A816-AE53FBDC3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0473A6"/>
    <w:rPr>
      <w:color w:val="0000FF"/>
      <w:u w:val="single"/>
    </w:rPr>
  </w:style>
  <w:style w:type="paragraph" w:styleId="FootnoteText">
    <w:name w:val="footnote text"/>
    <w:basedOn w:val="Normal"/>
    <w:link w:val="FootnoteTextChar"/>
    <w:uiPriority w:val="99"/>
    <w:semiHidden/>
    <w:unhideWhenUsed/>
    <w:rsid w:val="00494E2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4E28"/>
    <w:rPr>
      <w:sz w:val="20"/>
      <w:szCs w:val="20"/>
    </w:rPr>
  </w:style>
  <w:style w:type="character" w:styleId="FootnoteReference">
    <w:name w:val="footnote reference"/>
    <w:basedOn w:val="DefaultParagraphFont"/>
    <w:uiPriority w:val="99"/>
    <w:semiHidden/>
    <w:unhideWhenUsed/>
    <w:rsid w:val="00494E28"/>
    <w:rPr>
      <w:vertAlign w:val="superscript"/>
    </w:rPr>
  </w:style>
  <w:style w:type="character" w:styleId="UnresolvedMention">
    <w:name w:val="Unresolved Mention"/>
    <w:basedOn w:val="DefaultParagraphFont"/>
    <w:uiPriority w:val="99"/>
    <w:semiHidden/>
    <w:unhideWhenUsed/>
    <w:rsid w:val="00ED69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omepages.wmich.edu/~baldner/existentialism.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jonathanwebber.co.uk/articles/BadFaithAndTheOther.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homepages.wmich.edu/~baldner/existentialism.pdf" TargetMode="External"/><Relationship Id="rId2" Type="http://schemas.openxmlformats.org/officeDocument/2006/relationships/hyperlink" Target="http://homepages.wmich.edu/~baldner/existentialism.pdf" TargetMode="External"/><Relationship Id="rId1" Type="http://schemas.openxmlformats.org/officeDocument/2006/relationships/hyperlink" Target="http://homepages.wmich.edu/~baldner/existentialism.pdf" TargetMode="External"/><Relationship Id="rId6" Type="http://schemas.openxmlformats.org/officeDocument/2006/relationships/hyperlink" Target="https://www.jonathanwebber.co.uk/articles/BadFaithAndTheOther.pdf" TargetMode="External"/><Relationship Id="rId5" Type="http://schemas.openxmlformats.org/officeDocument/2006/relationships/hyperlink" Target="https://www.jonathanwebber.co.uk/articles/BadFaithAndTheOther.pdf" TargetMode="External"/><Relationship Id="rId4" Type="http://schemas.openxmlformats.org/officeDocument/2006/relationships/hyperlink" Target="http://homepages.wmich.edu/~baldner/existentialis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1173C-527B-4ED2-9E1D-7F3BFBAF0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1869</Words>
  <Characters>10655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Williams (1801640)</dc:creator>
  <cp:keywords/>
  <dc:description/>
  <cp:lastModifiedBy>Georgia Williams (1801640)</cp:lastModifiedBy>
  <cp:revision>2</cp:revision>
  <dcterms:created xsi:type="dcterms:W3CDTF">2019-11-22T16:37:00Z</dcterms:created>
  <dcterms:modified xsi:type="dcterms:W3CDTF">2019-11-22T16:37:00Z</dcterms:modified>
</cp:coreProperties>
</file>