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425A09" w14:textId="77777777" w:rsidR="00395D1C" w:rsidRPr="001602FD" w:rsidRDefault="00E67D3E" w:rsidP="001C18D1">
      <w:pPr>
        <w:rPr>
          <w:lang w:val="en-US"/>
        </w:rPr>
      </w:pPr>
      <w:r w:rsidRPr="001602FD">
        <w:rPr>
          <w:lang w:val="en-US"/>
        </w:rPr>
        <w:t>Introduction</w:t>
      </w:r>
    </w:p>
    <w:p w14:paraId="29789CE7" w14:textId="4F8B44E3" w:rsidR="00875C23" w:rsidRDefault="00E67D3E" w:rsidP="00DA0459">
      <w:pPr>
        <w:rPr>
          <w:b/>
          <w:bCs/>
          <w:lang w:val="en-US"/>
        </w:rPr>
      </w:pPr>
      <w:r>
        <w:rPr>
          <w:lang w:val="en-US"/>
        </w:rPr>
        <w:t xml:space="preserve">This essay will aim to critically analyse </w:t>
      </w:r>
      <w:r w:rsidR="00A20011">
        <w:rPr>
          <w:lang w:val="en-US"/>
        </w:rPr>
        <w:t xml:space="preserve">an easement that may have been created by </w:t>
      </w:r>
      <w:r w:rsidR="0001367D">
        <w:rPr>
          <w:lang w:val="en-US"/>
        </w:rPr>
        <w:t>prescription and in the different ways of how they can be acquired.</w:t>
      </w:r>
      <w:r w:rsidR="00756CE7" w:rsidRPr="00756CE7">
        <w:t xml:space="preserve"> </w:t>
      </w:r>
      <w:r w:rsidR="00756CE7" w:rsidRPr="00756CE7">
        <w:rPr>
          <w:lang w:val="en-US"/>
        </w:rPr>
        <w:t xml:space="preserve">An easement is a right that somebody has over another person’s land. It is one of the 5 legal interests someone can have over land (s1 (2)a Law of Property Act 1925 (LPA 1925). An easement can be legal or equitable (Gray and Gray 2011 pp.15). For an easement to be legal it would have to be in a deed. (s1 Law of Property (Miscellaneous Provisions) Act 1989) (LPAMP1989).  Easements which are recognized and created in a lawful manner can be created by either express grant, implied grant or by prescription (s1 LPA). Equitable easements are described as easements that take effect as fair interests rather than as legal easements (Fox 2006). S. 52(1) of the Law of Property Act of 1925 states that a deed is needed for a lease to be legally binding. In order to be considered a legal deed, a document must say specifically on the face of it that it is designed to be a deed, be signed and witnessed as a deed, and be delivered as a deed. (HM Land Registry 2023). However, according to Pawlowski (2018) there is essentially no difference between an equitable lease produced by a written agreement that can bind successors and a legal lease created by a deed. In the case of Walsh v Lonsdale (1882), it was intended to be written in the deed. This essay will now go onto critically </w:t>
      </w:r>
      <w:proofErr w:type="spellStart"/>
      <w:r w:rsidR="00756CE7" w:rsidRPr="00756CE7">
        <w:rPr>
          <w:lang w:val="en-US"/>
        </w:rPr>
        <w:t>analyse</w:t>
      </w:r>
      <w:proofErr w:type="spellEnd"/>
      <w:r w:rsidR="00756CE7" w:rsidRPr="00756CE7">
        <w:rPr>
          <w:lang w:val="en-US"/>
        </w:rPr>
        <w:t xml:space="preserve"> an easement that may have been created by prescription and in the different ways of how they can be acquired.</w:t>
      </w:r>
      <w:r w:rsidR="00756CE7">
        <w:rPr>
          <w:lang w:val="en-US"/>
        </w:rPr>
        <w:t xml:space="preserve"> </w:t>
      </w:r>
    </w:p>
    <w:p w14:paraId="1089DFB3" w14:textId="4F3EBDC3" w:rsidR="0040541B" w:rsidRDefault="00BA22B7" w:rsidP="0046699F">
      <w:pPr>
        <w:rPr>
          <w:b/>
          <w:bCs/>
        </w:rPr>
      </w:pPr>
      <w:r w:rsidRPr="00BA22B7">
        <w:t>An easement by prescription can be created by lost modern grant, common law or the Prescription Act 1832 (HM Land Registry, 2021).  The p</w:t>
      </w:r>
      <w:r w:rsidR="00534B44">
        <w:t>r</w:t>
      </w:r>
      <w:r w:rsidRPr="00BA22B7">
        <w:t>e</w:t>
      </w:r>
      <w:r w:rsidR="00534B44">
        <w:t>s</w:t>
      </w:r>
      <w:r w:rsidRPr="00BA22B7">
        <w:t>c</w:t>
      </w:r>
      <w:r w:rsidR="00534B44">
        <w:t>ri</w:t>
      </w:r>
      <w:r w:rsidRPr="00BA22B7">
        <w:t>ption act 1832 allows an easement by p</w:t>
      </w:r>
      <w:r w:rsidR="00534B44">
        <w:t>r</w:t>
      </w:r>
      <w:r w:rsidRPr="00BA22B7">
        <w:t>e</w:t>
      </w:r>
      <w:r w:rsidR="00534B44">
        <w:t>s</w:t>
      </w:r>
      <w:r w:rsidRPr="00BA22B7">
        <w:t>c</w:t>
      </w:r>
      <w:r w:rsidR="00534B44">
        <w:t>ri</w:t>
      </w:r>
      <w:r w:rsidRPr="00BA22B7">
        <w:t xml:space="preserve">ption if it has been lawfully granted. In the case of Wright v Macadam (1949) it was said by Jenkins LJ it has certainly been enjoyment by the tenants and it is not new to the law as `a right of way`, the judge in the appeal court agreed and the defendant had to pay costs. </w:t>
      </w:r>
      <w:r w:rsidR="00534B44">
        <w:t>T</w:t>
      </w:r>
      <w:r w:rsidRPr="00BA22B7">
        <w:t xml:space="preserve">he use of the right of way had been used for such a period of time it was not considered a new easement. The different methods of formation set the time period for which an easement must have been used to satisfy </w:t>
      </w:r>
      <w:proofErr w:type="gramStart"/>
      <w:r w:rsidRPr="00BA22B7">
        <w:t>this criteria</w:t>
      </w:r>
      <w:proofErr w:type="gramEnd"/>
      <w:r w:rsidR="001A0D72">
        <w:t xml:space="preserve">, </w:t>
      </w:r>
      <w:r w:rsidRPr="00BA22B7">
        <w:t>for an easement created through prescription. Common law stipulates that the easement must have been in use since 1189 (Statute of Westminster 1275)</w:t>
      </w:r>
      <w:r w:rsidR="0040541B">
        <w:t>, t</w:t>
      </w:r>
      <w:r w:rsidRPr="00BA22B7">
        <w:t>his is criticised as a method of formation, as the length of time is so large it would be relatively easy to evidence that at some point during that time, the individual was unable to use the easement. The method of formation through lost modern grant takes steps to overcome this criticism by stipulating the period of time, the easement must have been enjoyed for was to be 20 years continuously as a minimum. This assumes that a grant was present at some point but lost due to the length of time passed. The prescription act aimed to overcome the diffe</w:t>
      </w:r>
      <w:r w:rsidR="001A0D72">
        <w:t>rent</w:t>
      </w:r>
      <w:r w:rsidRPr="00BA22B7">
        <w:t xml:space="preserve"> approached by codifying the rules of 20 years of use.</w:t>
      </w:r>
      <w:r w:rsidR="0046699F">
        <w:t xml:space="preserve"> </w:t>
      </w:r>
    </w:p>
    <w:p w14:paraId="7DA78701" w14:textId="77777777" w:rsidR="0040541B" w:rsidRDefault="0040541B" w:rsidP="0046699F">
      <w:pPr>
        <w:rPr>
          <w:b/>
          <w:bCs/>
        </w:rPr>
      </w:pPr>
    </w:p>
    <w:p w14:paraId="11B5F18A" w14:textId="77777777" w:rsidR="001A0D72" w:rsidRDefault="0046699F" w:rsidP="005D769E">
      <w:r w:rsidRPr="0046699F">
        <w:t>Re Ellenborough Park set out the rules which govern the characteristics needed for an easement to be valid.  There are 4 rules under this doctrine which must be met or the easement will be seen as invalid. Firstly, there must be a dominant tenement and a servient tenement. This highlights that there must be two lands, a servient land and a dominant land, this is defined in s205 LPA 1925. One that the servient would be burdened by, and one that the dominant would benefit, the land has to be clearly identified. However, in the case of London and Blenheim Estates Ltd v Ladbrokes Retail Parks Ltd 1993, the land was not clearly identified, so this could not be an easement. Secondly, the easement has to accommodate the dominant land. This means the dominant land would have to benefit for an easement to exist. In the case of Hill v Tupper, it could have formed a subject matter of an easement if he wanted to use the lake to go fishing</w:t>
      </w:r>
      <w:r w:rsidR="001A0D72">
        <w:t>,</w:t>
      </w:r>
      <w:r w:rsidRPr="0046699F">
        <w:t xml:space="preserve"> because the courts would have recognized that as being as of right, under the Countryside and Right of way Act 2000, but, because it was a personal benefit it did not fit in with the characteristics in Re Ellenborough Park, it did not benefit the land itself and therefore could not be an easement Gray and Gray (2011, p. 238). </w:t>
      </w:r>
    </w:p>
    <w:p w14:paraId="6A46063D" w14:textId="6C4E44E5" w:rsidR="00D10998" w:rsidRDefault="0046699F" w:rsidP="005D769E">
      <w:r w:rsidRPr="0046699F">
        <w:lastRenderedPageBreak/>
        <w:t xml:space="preserve">Moody v </w:t>
      </w:r>
      <w:proofErr w:type="spellStart"/>
      <w:r w:rsidRPr="0046699F">
        <w:t>Steggles</w:t>
      </w:r>
      <w:proofErr w:type="spellEnd"/>
      <w:r w:rsidRPr="0046699F">
        <w:t xml:space="preserve"> are concerned with fixtures and not land itself</w:t>
      </w:r>
      <w:r w:rsidR="00646DCB">
        <w:t>,</w:t>
      </w:r>
      <w:r w:rsidRPr="0046699F">
        <w:t xml:space="preserve"> but, because the sign has been there for so long</w:t>
      </w:r>
      <w:r w:rsidR="00AA75A4">
        <w:t>,</w:t>
      </w:r>
      <w:r w:rsidRPr="0046699F">
        <w:t xml:space="preserve"> the sign was useful for direction to the pub</w:t>
      </w:r>
      <w:r w:rsidR="00AA75A4">
        <w:t>,</w:t>
      </w:r>
      <w:r w:rsidRPr="0046699F">
        <w:t xml:space="preserve"> which in that sense did benefit the land,</w:t>
      </w:r>
      <w:r w:rsidR="00AA75A4">
        <w:t xml:space="preserve"> </w:t>
      </w:r>
      <w:r w:rsidRPr="0046699F">
        <w:t>the courts allowed an easement through common law.</w:t>
      </w:r>
      <w:r w:rsidR="0099528C">
        <w:rPr>
          <w:b/>
          <w:bCs/>
        </w:rPr>
        <w:t xml:space="preserve"> </w:t>
      </w:r>
      <w:r w:rsidR="0099528C" w:rsidRPr="0099528C">
        <w:t xml:space="preserve">However, in the case Copeland v </w:t>
      </w:r>
      <w:proofErr w:type="spellStart"/>
      <w:r w:rsidR="0099528C" w:rsidRPr="0099528C">
        <w:t>Greenhalf</w:t>
      </w:r>
      <w:proofErr w:type="spellEnd"/>
      <w:r w:rsidR="0099528C" w:rsidRPr="0099528C">
        <w:t xml:space="preserve">, the dominant owner could not use the </w:t>
      </w:r>
      <w:r w:rsidR="00E146D4">
        <w:t>dominant</w:t>
      </w:r>
      <w:r w:rsidR="0099528C" w:rsidRPr="0099528C">
        <w:t xml:space="preserve"> land</w:t>
      </w:r>
      <w:r w:rsidR="0099528C">
        <w:t>,</w:t>
      </w:r>
      <w:r w:rsidR="00604172">
        <w:t xml:space="preserve"> even though the servient owner would be burdened and the dominant owner would benefit, the dominant tenement cannot take over the servient land by using up to mush space, this</w:t>
      </w:r>
      <w:r w:rsidR="0099528C" w:rsidRPr="0099528C">
        <w:t xml:space="preserve"> could not be an easement</w:t>
      </w:r>
      <w:r w:rsidR="00D10998">
        <w:t>.</w:t>
      </w:r>
      <w:r w:rsidR="0099528C" w:rsidRPr="0099528C">
        <w:t xml:space="preserve"> </w:t>
      </w:r>
    </w:p>
    <w:p w14:paraId="271A669F" w14:textId="77777777" w:rsidR="0040541B" w:rsidRDefault="0040541B" w:rsidP="005D769E">
      <w:pPr>
        <w:rPr>
          <w:b/>
          <w:bCs/>
        </w:rPr>
      </w:pPr>
      <w:bookmarkStart w:id="0" w:name="_Hlk140695105"/>
    </w:p>
    <w:p w14:paraId="33456473" w14:textId="1B5EBE79" w:rsidR="0040541B" w:rsidRDefault="00E557C2" w:rsidP="005D769E">
      <w:pPr>
        <w:rPr>
          <w:b/>
          <w:bCs/>
        </w:rPr>
      </w:pPr>
      <w:r w:rsidRPr="00E557C2">
        <w:rPr>
          <w:lang w:val="en-US"/>
        </w:rPr>
        <w:t xml:space="preserve">There was a valuable and established principle in the case of </w:t>
      </w:r>
      <w:proofErr w:type="spellStart"/>
      <w:r w:rsidR="00DA4758">
        <w:rPr>
          <w:lang w:val="en-US"/>
        </w:rPr>
        <w:t>H</w:t>
      </w:r>
      <w:r w:rsidRPr="00E557C2">
        <w:rPr>
          <w:lang w:val="en-US"/>
        </w:rPr>
        <w:t>annings</w:t>
      </w:r>
      <w:bookmarkEnd w:id="0"/>
      <w:proofErr w:type="spellEnd"/>
      <w:r w:rsidRPr="00E557C2">
        <w:rPr>
          <w:lang w:val="en-US"/>
        </w:rPr>
        <w:t xml:space="preserve">, </w:t>
      </w:r>
      <w:r w:rsidR="00DA4758">
        <w:rPr>
          <w:lang w:val="en-US"/>
        </w:rPr>
        <w:t>“</w:t>
      </w:r>
      <w:r w:rsidRPr="00E557C2">
        <w:rPr>
          <w:lang w:val="en-US"/>
        </w:rPr>
        <w:t>not by force or by secret and with lawful permission</w:t>
      </w:r>
      <w:r w:rsidR="00DA4758">
        <w:rPr>
          <w:lang w:val="en-US"/>
        </w:rPr>
        <w:t>”</w:t>
      </w:r>
      <w:r w:rsidRPr="00E557C2">
        <w:rPr>
          <w:lang w:val="en-US"/>
        </w:rPr>
        <w:t xml:space="preserve">. </w:t>
      </w:r>
      <w:r w:rsidR="0040541B">
        <w:rPr>
          <w:b/>
          <w:bCs/>
        </w:rPr>
        <w:t xml:space="preserve"> </w:t>
      </w:r>
      <w:r w:rsidR="00FE60A3">
        <w:rPr>
          <w:lang w:val="en-US"/>
        </w:rPr>
        <w:t>I</w:t>
      </w:r>
      <w:r w:rsidRPr="00E557C2">
        <w:rPr>
          <w:lang w:val="en-US"/>
        </w:rPr>
        <w:t>n the Bakewell case</w:t>
      </w:r>
      <w:r w:rsidR="0024366D">
        <w:rPr>
          <w:lang w:val="en-US"/>
        </w:rPr>
        <w:t>,</w:t>
      </w:r>
      <w:r w:rsidR="00FE60A3">
        <w:rPr>
          <w:lang w:val="en-US"/>
        </w:rPr>
        <w:t xml:space="preserve"> it </w:t>
      </w:r>
      <w:r w:rsidRPr="00E557C2">
        <w:rPr>
          <w:lang w:val="en-US"/>
        </w:rPr>
        <w:t>made it a very difficult case because</w:t>
      </w:r>
      <w:r w:rsidR="0024366D">
        <w:rPr>
          <w:lang w:val="en-US"/>
        </w:rPr>
        <w:t xml:space="preserve"> </w:t>
      </w:r>
      <w:r w:rsidRPr="00E557C2">
        <w:rPr>
          <w:lang w:val="en-US"/>
        </w:rPr>
        <w:t xml:space="preserve">the </w:t>
      </w:r>
      <w:r w:rsidR="002B4ACA">
        <w:rPr>
          <w:lang w:val="en-US"/>
        </w:rPr>
        <w:t>servient</w:t>
      </w:r>
      <w:r w:rsidRPr="00E557C2">
        <w:rPr>
          <w:lang w:val="en-US"/>
        </w:rPr>
        <w:t xml:space="preserve"> owner that owned the land in 1927</w:t>
      </w:r>
      <w:r w:rsidR="0024366D">
        <w:rPr>
          <w:lang w:val="en-US"/>
        </w:rPr>
        <w:t>,</w:t>
      </w:r>
      <w:r w:rsidRPr="00E557C2">
        <w:rPr>
          <w:lang w:val="en-US"/>
        </w:rPr>
        <w:t xml:space="preserve"> made a statement that s193 (4) of the Law of Property Act </w:t>
      </w:r>
      <w:r w:rsidR="00F53E76">
        <w:rPr>
          <w:lang w:val="en-US"/>
        </w:rPr>
        <w:t xml:space="preserve">1925 </w:t>
      </w:r>
      <w:r w:rsidRPr="00E557C2">
        <w:rPr>
          <w:lang w:val="en-US"/>
        </w:rPr>
        <w:t xml:space="preserve">should stand as from 1928, this part of the act would make it an offence for the current </w:t>
      </w:r>
      <w:r w:rsidR="002B4ACA">
        <w:rPr>
          <w:lang w:val="en-US"/>
        </w:rPr>
        <w:t>dominant</w:t>
      </w:r>
      <w:r w:rsidRPr="00E557C2">
        <w:rPr>
          <w:lang w:val="en-US"/>
        </w:rPr>
        <w:t xml:space="preserve"> owners</w:t>
      </w:r>
      <w:r w:rsidR="0024366D">
        <w:rPr>
          <w:lang w:val="en-US"/>
        </w:rPr>
        <w:t>,</w:t>
      </w:r>
      <w:r w:rsidRPr="00E557C2">
        <w:rPr>
          <w:lang w:val="en-US"/>
        </w:rPr>
        <w:t xml:space="preserve"> because</w:t>
      </w:r>
      <w:r w:rsidR="00F53E76">
        <w:rPr>
          <w:lang w:val="en-US"/>
        </w:rPr>
        <w:t xml:space="preserve"> </w:t>
      </w:r>
      <w:r w:rsidRPr="00E557C2">
        <w:rPr>
          <w:lang w:val="en-US"/>
        </w:rPr>
        <w:t>they must cross the land in vehicles as there is no other way to get to their homes. They could not acquire an easement by prescription for as of right under s 2 PA 1832 or by a lost modern grant</w:t>
      </w:r>
      <w:r w:rsidR="008409B7">
        <w:rPr>
          <w:lang w:val="en-US"/>
        </w:rPr>
        <w:t xml:space="preserve">. </w:t>
      </w:r>
      <w:r w:rsidRPr="00E557C2">
        <w:rPr>
          <w:lang w:val="en-US"/>
        </w:rPr>
        <w:t>Bakewell Management Ltd v Brandwood and others</w:t>
      </w:r>
      <w:r w:rsidR="00F53E76">
        <w:rPr>
          <w:lang w:val="en-US"/>
        </w:rPr>
        <w:t xml:space="preserve"> </w:t>
      </w:r>
      <w:r w:rsidRPr="00E557C2">
        <w:rPr>
          <w:lang w:val="en-US"/>
        </w:rPr>
        <w:t xml:space="preserve">(2004). The acquisition of property rights can result from actions that are illegal in that sense, public policy does not prevent somebody from doing something. </w:t>
      </w:r>
      <w:proofErr w:type="spellStart"/>
      <w:r w:rsidR="002B4ACA">
        <w:rPr>
          <w:lang w:val="en-US"/>
        </w:rPr>
        <w:t>H</w:t>
      </w:r>
      <w:r w:rsidRPr="00E557C2">
        <w:rPr>
          <w:lang w:val="en-US"/>
        </w:rPr>
        <w:t>annings</w:t>
      </w:r>
      <w:proofErr w:type="spellEnd"/>
      <w:r w:rsidRPr="00E557C2">
        <w:rPr>
          <w:lang w:val="en-US"/>
        </w:rPr>
        <w:t xml:space="preserve"> can only be justified by public policy because</w:t>
      </w:r>
      <w:r w:rsidR="00400A56">
        <w:rPr>
          <w:lang w:val="en-US"/>
        </w:rPr>
        <w:t xml:space="preserve">, </w:t>
      </w:r>
      <w:r w:rsidRPr="00E557C2">
        <w:rPr>
          <w:lang w:val="en-US"/>
        </w:rPr>
        <w:t>the owner made it illegal as in trespass as the owner did not give permission which then makes it criminal under section 193(4) LPA 1925 (</w:t>
      </w:r>
      <w:proofErr w:type="spellStart"/>
      <w:r w:rsidRPr="00E557C2">
        <w:rPr>
          <w:lang w:val="en-US"/>
        </w:rPr>
        <w:t>Mcfarlane</w:t>
      </w:r>
      <w:proofErr w:type="spellEnd"/>
      <w:r w:rsidRPr="00E557C2">
        <w:rPr>
          <w:lang w:val="en-US"/>
        </w:rPr>
        <w:t xml:space="preserve">, Hopkins and </w:t>
      </w:r>
      <w:proofErr w:type="spellStart"/>
      <w:r w:rsidRPr="00E557C2">
        <w:rPr>
          <w:lang w:val="en-US"/>
        </w:rPr>
        <w:t>Nield</w:t>
      </w:r>
      <w:proofErr w:type="spellEnd"/>
      <w:r w:rsidRPr="00E557C2">
        <w:rPr>
          <w:lang w:val="en-US"/>
        </w:rPr>
        <w:t xml:space="preserve"> (2021.p 883)</w:t>
      </w:r>
      <w:r w:rsidR="00400A56">
        <w:rPr>
          <w:lang w:val="en-US"/>
        </w:rPr>
        <w:t xml:space="preserve">, </w:t>
      </w:r>
      <w:r w:rsidR="00870A33" w:rsidRPr="00870A33">
        <w:rPr>
          <w:lang w:val="en-US"/>
        </w:rPr>
        <w:t>torturous trespass does not prevent an easement by prescription</w:t>
      </w:r>
      <w:r w:rsidR="00C145F8">
        <w:rPr>
          <w:lang w:val="en-US"/>
        </w:rPr>
        <w:t>.</w:t>
      </w:r>
      <w:r w:rsidR="00622CDD">
        <w:rPr>
          <w:lang w:val="en-US"/>
        </w:rPr>
        <w:t xml:space="preserve"> </w:t>
      </w:r>
    </w:p>
    <w:p w14:paraId="00C54F03" w14:textId="77777777" w:rsidR="0040541B" w:rsidRDefault="0040541B" w:rsidP="005D769E">
      <w:pPr>
        <w:rPr>
          <w:b/>
          <w:bCs/>
        </w:rPr>
      </w:pPr>
    </w:p>
    <w:p w14:paraId="054603A7" w14:textId="491193C4" w:rsidR="0040541B" w:rsidRDefault="00622CDD" w:rsidP="005D769E">
      <w:pPr>
        <w:rPr>
          <w:b/>
          <w:bCs/>
        </w:rPr>
      </w:pPr>
      <w:r>
        <w:rPr>
          <w:lang w:val="en-US"/>
        </w:rPr>
        <w:t>Under</w:t>
      </w:r>
      <w:r w:rsidR="00870A33" w:rsidRPr="00870A33">
        <w:rPr>
          <w:lang w:val="en-US"/>
        </w:rPr>
        <w:t xml:space="preserve"> s2 Prescription Act (PA) 1832</w:t>
      </w:r>
      <w:r w:rsidR="00046794">
        <w:rPr>
          <w:lang w:val="en-US"/>
        </w:rPr>
        <w:t>,</w:t>
      </w:r>
      <w:r w:rsidR="00870A33" w:rsidRPr="00870A33">
        <w:rPr>
          <w:lang w:val="en-US"/>
        </w:rPr>
        <w:t xml:space="preserve"> in English law it was never clear about acquiring a prescription by the means of enjoyment, so `the judges used the date` that was set out to be in 1189</w:t>
      </w:r>
      <w:r w:rsidR="00046794">
        <w:rPr>
          <w:lang w:val="en-US"/>
        </w:rPr>
        <w:t>,</w:t>
      </w:r>
      <w:r w:rsidR="00870A33" w:rsidRPr="00870A33">
        <w:rPr>
          <w:lang w:val="en-US"/>
        </w:rPr>
        <w:t xml:space="preserve"> by Statute of Westminster 1275. The servient owner of the land would have to prove they had a legal document </w:t>
      </w:r>
      <w:r w:rsidR="00046794">
        <w:rPr>
          <w:lang w:val="en-US"/>
        </w:rPr>
        <w:t>at the time</w:t>
      </w:r>
      <w:r w:rsidR="00870A33" w:rsidRPr="00870A33">
        <w:rPr>
          <w:lang w:val="en-US"/>
        </w:rPr>
        <w:t xml:space="preserve"> </w:t>
      </w:r>
      <w:r w:rsidR="00046794">
        <w:rPr>
          <w:lang w:val="en-US"/>
        </w:rPr>
        <w:t xml:space="preserve">of </w:t>
      </w:r>
      <w:r w:rsidR="00870A33" w:rsidRPr="00870A33">
        <w:rPr>
          <w:lang w:val="en-US"/>
        </w:rPr>
        <w:t xml:space="preserve">1189 (`R v. </w:t>
      </w:r>
      <w:proofErr w:type="spellStart"/>
      <w:r w:rsidR="00870A33" w:rsidRPr="00870A33">
        <w:rPr>
          <w:lang w:val="en-US"/>
        </w:rPr>
        <w:t>Oxfordshire</w:t>
      </w:r>
      <w:proofErr w:type="spellEnd"/>
      <w:r w:rsidR="00870A33" w:rsidRPr="00870A33">
        <w:rPr>
          <w:lang w:val="en-US"/>
        </w:rPr>
        <w:t xml:space="preserve"> County Council, ex p Sunningwell Parish Council`,1999)</w:t>
      </w:r>
      <w:r>
        <w:rPr>
          <w:lang w:val="en-US"/>
        </w:rPr>
        <w:t>,</w:t>
      </w:r>
      <w:r w:rsidR="00870A33" w:rsidRPr="00870A33">
        <w:rPr>
          <w:lang w:val="en-US"/>
        </w:rPr>
        <w:t xml:space="preserve"> </w:t>
      </w:r>
      <w:r>
        <w:rPr>
          <w:lang w:val="en-US"/>
        </w:rPr>
        <w:t>t</w:t>
      </w:r>
      <w:r w:rsidR="00870A33" w:rsidRPr="00870A33">
        <w:rPr>
          <w:lang w:val="en-US"/>
        </w:rPr>
        <w:t xml:space="preserve">his is time immemorial </w:t>
      </w:r>
      <w:bookmarkStart w:id="1" w:name="_Hlk140703479"/>
      <w:r w:rsidR="00870A33" w:rsidRPr="00870A33">
        <w:rPr>
          <w:lang w:val="en-US"/>
        </w:rPr>
        <w:t>and can be seen in the case of Duke of Norfolk v Arbuthnot (1880)</w:t>
      </w:r>
      <w:r>
        <w:rPr>
          <w:lang w:val="en-US"/>
        </w:rPr>
        <w:t>,</w:t>
      </w:r>
      <w:r w:rsidR="00870A33" w:rsidRPr="00870A33">
        <w:rPr>
          <w:lang w:val="en-US"/>
        </w:rPr>
        <w:t xml:space="preserve"> </w:t>
      </w:r>
      <w:bookmarkEnd w:id="1"/>
      <w:r w:rsidR="007907D3">
        <w:rPr>
          <w:lang w:val="en-US"/>
        </w:rPr>
        <w:t>it</w:t>
      </w:r>
      <w:r w:rsidR="00870A33" w:rsidRPr="00870A33">
        <w:rPr>
          <w:lang w:val="en-US"/>
        </w:rPr>
        <w:t xml:space="preserve"> was updated through the PA 1832 which is the common law, lost modern grant and the prescription act 1832. The lost modern grant can be acquired if there has been 20 years of uninterrupted use after </w:t>
      </w:r>
      <w:r w:rsidR="00F53E76" w:rsidRPr="00870A33">
        <w:rPr>
          <w:lang w:val="en-US"/>
        </w:rPr>
        <w:t>1189</w:t>
      </w:r>
      <w:r>
        <w:rPr>
          <w:lang w:val="en-US"/>
        </w:rPr>
        <w:t>.</w:t>
      </w:r>
      <w:r w:rsidR="00F53E76" w:rsidRPr="00870A33">
        <w:rPr>
          <w:lang w:val="en-US"/>
        </w:rPr>
        <w:t xml:space="preserve"> The</w:t>
      </w:r>
      <w:r w:rsidR="00870A33" w:rsidRPr="00870A33">
        <w:rPr>
          <w:lang w:val="en-US"/>
        </w:rPr>
        <w:t xml:space="preserve"> common law is the time immemorial, meaning the dominant land has been used by previous owners </w:t>
      </w:r>
      <w:r w:rsidR="00046794">
        <w:rPr>
          <w:lang w:val="en-US"/>
        </w:rPr>
        <w:t>at th</w:t>
      </w:r>
      <w:r w:rsidR="00EE7382">
        <w:rPr>
          <w:lang w:val="en-US"/>
        </w:rPr>
        <w:t>e time</w:t>
      </w:r>
      <w:r w:rsidR="00870A33" w:rsidRPr="00870A33">
        <w:rPr>
          <w:lang w:val="en-US"/>
        </w:rPr>
        <w:t xml:space="preserve"> </w:t>
      </w:r>
      <w:r w:rsidR="00046794">
        <w:rPr>
          <w:lang w:val="en-US"/>
        </w:rPr>
        <w:t xml:space="preserve">of </w:t>
      </w:r>
      <w:r w:rsidR="00870A33" w:rsidRPr="00870A33">
        <w:rPr>
          <w:lang w:val="en-US"/>
        </w:rPr>
        <w:t>1189</w:t>
      </w:r>
      <w:r w:rsidR="00046794">
        <w:rPr>
          <w:lang w:val="en-US"/>
        </w:rPr>
        <w:t>,</w:t>
      </w:r>
      <w:r w:rsidR="00870A33" w:rsidRPr="00870A33">
        <w:rPr>
          <w:lang w:val="en-US"/>
        </w:rPr>
        <w:t xml:space="preserve"> for 20 years continuously. However, it would not be possible for an easement through common law if the servient owner had evidence that the right was not used as of right, or the right could not have been used at that date, or that the dominant land and the servient land was the same </w:t>
      </w:r>
      <w:r w:rsidR="002447F3" w:rsidRPr="00870A33">
        <w:rPr>
          <w:lang w:val="en-US"/>
        </w:rPr>
        <w:t>owner</w:t>
      </w:r>
      <w:r w:rsidR="002447F3">
        <w:rPr>
          <w:lang w:val="en-US"/>
        </w:rPr>
        <w:t xml:space="preserve"> </w:t>
      </w:r>
      <w:proofErr w:type="spellStart"/>
      <w:r w:rsidR="002447F3" w:rsidRPr="00870A33">
        <w:rPr>
          <w:lang w:val="en-US"/>
        </w:rPr>
        <w:t>laughton</w:t>
      </w:r>
      <w:proofErr w:type="spellEnd"/>
      <w:r w:rsidR="00870A33" w:rsidRPr="00870A33">
        <w:rPr>
          <w:lang w:val="en-US"/>
        </w:rPr>
        <w:t xml:space="preserve"> (2020). </w:t>
      </w:r>
    </w:p>
    <w:p w14:paraId="247DD400" w14:textId="77777777" w:rsidR="0040541B" w:rsidRDefault="0040541B" w:rsidP="005D769E">
      <w:pPr>
        <w:rPr>
          <w:b/>
          <w:bCs/>
        </w:rPr>
      </w:pPr>
    </w:p>
    <w:p w14:paraId="7A5083AD" w14:textId="77777777" w:rsidR="00EE7382" w:rsidRDefault="00870A33" w:rsidP="00413A0D">
      <w:pPr>
        <w:rPr>
          <w:lang w:val="en-US"/>
        </w:rPr>
      </w:pPr>
      <w:r w:rsidRPr="00870A33">
        <w:rPr>
          <w:lang w:val="en-US"/>
        </w:rPr>
        <w:t xml:space="preserve">The lost modern grant showing that the dominant land has been continuously enjoyed as of right over the last 20 years </w:t>
      </w:r>
      <w:r w:rsidR="00615773">
        <w:rPr>
          <w:lang w:val="en-US"/>
        </w:rPr>
        <w:t>since</w:t>
      </w:r>
      <w:r w:rsidRPr="00870A33">
        <w:rPr>
          <w:lang w:val="en-US"/>
        </w:rPr>
        <w:t xml:space="preserve"> 1189</w:t>
      </w:r>
      <w:r w:rsidR="00EE7382">
        <w:rPr>
          <w:lang w:val="en-US"/>
        </w:rPr>
        <w:t>,</w:t>
      </w:r>
      <w:r w:rsidRPr="00870A33">
        <w:rPr>
          <w:lang w:val="en-US"/>
        </w:rPr>
        <w:t xml:space="preserve"> and </w:t>
      </w:r>
      <w:r w:rsidR="00D94D43">
        <w:rPr>
          <w:lang w:val="en-US"/>
        </w:rPr>
        <w:t xml:space="preserve">there </w:t>
      </w:r>
      <w:r w:rsidRPr="00870A33">
        <w:rPr>
          <w:lang w:val="en-US"/>
        </w:rPr>
        <w:t xml:space="preserve">has </w:t>
      </w:r>
      <w:r w:rsidR="00D94D43">
        <w:rPr>
          <w:lang w:val="en-US"/>
        </w:rPr>
        <w:t>been</w:t>
      </w:r>
      <w:r w:rsidRPr="00870A33">
        <w:rPr>
          <w:lang w:val="en-US"/>
        </w:rPr>
        <w:t xml:space="preserve"> uninterrupted use PA 1932. Each of these methods assume that there was a grant or an easement at some time in the past and that it was without force, or without secrecy and with permission. (HM</w:t>
      </w:r>
      <w:r>
        <w:rPr>
          <w:lang w:val="en-US"/>
        </w:rPr>
        <w:t xml:space="preserve"> </w:t>
      </w:r>
      <w:r w:rsidRPr="00870A33">
        <w:rPr>
          <w:lang w:val="en-US"/>
        </w:rPr>
        <w:t xml:space="preserve">Land Registry, 2016). Despite any proof that no grant was ever given, a right may be formed by a lost modern grant: Norman v. </w:t>
      </w:r>
      <w:proofErr w:type="spellStart"/>
      <w:r w:rsidRPr="00870A33">
        <w:rPr>
          <w:lang w:val="en-US"/>
        </w:rPr>
        <w:t>Tehidy</w:t>
      </w:r>
      <w:proofErr w:type="spellEnd"/>
      <w:r w:rsidRPr="00870A33">
        <w:rPr>
          <w:lang w:val="en-US"/>
        </w:rPr>
        <w:t xml:space="preserve"> Minerals 1971: 2 QB (528), 2 All ER (475). All that was needed was that it was capable of being</w:t>
      </w:r>
      <w:r w:rsidR="00EE7382">
        <w:rPr>
          <w:lang w:val="en-US"/>
        </w:rPr>
        <w:t xml:space="preserve"> </w:t>
      </w:r>
      <w:r w:rsidR="00562EAA" w:rsidRPr="00870A33">
        <w:rPr>
          <w:lang w:val="en-US"/>
        </w:rPr>
        <w:t>granted (</w:t>
      </w:r>
      <w:r w:rsidRPr="00870A33">
        <w:rPr>
          <w:lang w:val="en-US"/>
        </w:rPr>
        <w:t>Braithwaite 2017)</w:t>
      </w:r>
      <w:r w:rsidR="00EE7382">
        <w:rPr>
          <w:lang w:val="en-US"/>
        </w:rPr>
        <w:t xml:space="preserve">, </w:t>
      </w:r>
      <w:r w:rsidRPr="00870A33">
        <w:rPr>
          <w:lang w:val="en-US"/>
        </w:rPr>
        <w:t xml:space="preserve">as it is confirmed in the case of Welford v Graham [2017] UKUT 297 (TCC). </w:t>
      </w:r>
    </w:p>
    <w:p w14:paraId="7451EF6F" w14:textId="77777777" w:rsidR="00EE7382" w:rsidRDefault="00EE7382" w:rsidP="00413A0D">
      <w:pPr>
        <w:rPr>
          <w:lang w:val="en-US"/>
        </w:rPr>
      </w:pPr>
    </w:p>
    <w:p w14:paraId="1BF0DE28" w14:textId="272EBBCF" w:rsidR="0040541B" w:rsidRPr="00EE7382" w:rsidRDefault="00870A33" w:rsidP="00413A0D">
      <w:pPr>
        <w:rPr>
          <w:lang w:val="en-US"/>
        </w:rPr>
      </w:pPr>
      <w:r w:rsidRPr="00870A33">
        <w:rPr>
          <w:lang w:val="en-US"/>
        </w:rPr>
        <w:lastRenderedPageBreak/>
        <w:t>When an easement has been used without force or secrecy but has not had the permission from th</w:t>
      </w:r>
      <w:r w:rsidR="00D94D43">
        <w:rPr>
          <w:lang w:val="en-US"/>
        </w:rPr>
        <w:t>e servient</w:t>
      </w:r>
      <w:r w:rsidRPr="00870A33">
        <w:rPr>
          <w:lang w:val="en-US"/>
        </w:rPr>
        <w:t xml:space="preserve"> owner, if it has been used for 20 years without anybody taking any notice of them using the land it could be assumed that it has been enjoyed as of right, as in the case of Gardener v Hodges`s Kingstone Brewery (1903) (</w:t>
      </w:r>
      <w:proofErr w:type="spellStart"/>
      <w:r w:rsidRPr="00870A33">
        <w:rPr>
          <w:lang w:val="en-US"/>
        </w:rPr>
        <w:t>squareeye</w:t>
      </w:r>
      <w:proofErr w:type="spellEnd"/>
      <w:r w:rsidRPr="00870A33">
        <w:rPr>
          <w:lang w:val="en-US"/>
        </w:rPr>
        <w:t>, 2017).</w:t>
      </w:r>
      <w:r w:rsidR="00227470" w:rsidRPr="00227470">
        <w:t xml:space="preserve"> </w:t>
      </w:r>
      <w:r w:rsidR="00227470" w:rsidRPr="00227470">
        <w:rPr>
          <w:lang w:val="en-US"/>
        </w:rPr>
        <w:t>In the case of Dalton v Angus (1881) it was approved for the right to sue</w:t>
      </w:r>
      <w:r w:rsidR="00EE7382">
        <w:rPr>
          <w:lang w:val="en-US"/>
        </w:rPr>
        <w:t>,</w:t>
      </w:r>
      <w:r w:rsidR="00227470" w:rsidRPr="00227470">
        <w:rPr>
          <w:lang w:val="en-US"/>
        </w:rPr>
        <w:t xml:space="preserve"> </w:t>
      </w:r>
      <w:r w:rsidR="004425C4" w:rsidRPr="00227470">
        <w:rPr>
          <w:lang w:val="en-US"/>
        </w:rPr>
        <w:t>under</w:t>
      </w:r>
      <w:r w:rsidR="00227470" w:rsidRPr="00227470">
        <w:rPr>
          <w:lang w:val="en-US"/>
        </w:rPr>
        <w:t xml:space="preserve"> s 2 of the PA 1832 through the lost modern grant</w:t>
      </w:r>
      <w:r w:rsidR="00EE7382">
        <w:rPr>
          <w:lang w:val="en-US"/>
        </w:rPr>
        <w:t xml:space="preserve">, </w:t>
      </w:r>
      <w:r w:rsidR="00227470" w:rsidRPr="00227470">
        <w:rPr>
          <w:lang w:val="en-US"/>
        </w:rPr>
        <w:t xml:space="preserve">as they enjoyed the right of support for 20 years without anybody saying anything about it and was done openly. </w:t>
      </w:r>
      <w:r w:rsidR="0074096A" w:rsidRPr="0074096A">
        <w:rPr>
          <w:lang w:val="en-US"/>
        </w:rPr>
        <w:t>The term "legal fiction" is typically used to refer to the pre-common law general fictions such as "ejectment," "assumpsit," and "lost modern grant" (which, in the landmark decision of Angus v. Dalton, was described as "a repulsive fiction"</w:t>
      </w:r>
      <w:r w:rsidR="00E9264D" w:rsidRPr="0074096A">
        <w:rPr>
          <w:lang w:val="en-US"/>
        </w:rPr>
        <w:t>)</w:t>
      </w:r>
      <w:r w:rsidR="00E9264D">
        <w:rPr>
          <w:lang w:val="en-US"/>
        </w:rPr>
        <w:t xml:space="preserve">, </w:t>
      </w:r>
      <w:r w:rsidR="00E9264D" w:rsidRPr="00227470">
        <w:rPr>
          <w:lang w:val="en-US"/>
        </w:rPr>
        <w:t>Lord</w:t>
      </w:r>
      <w:r w:rsidR="00227470" w:rsidRPr="00E30718">
        <w:rPr>
          <w:lang w:val="en-US"/>
        </w:rPr>
        <w:t xml:space="preserve"> Walker of </w:t>
      </w:r>
      <w:proofErr w:type="spellStart"/>
      <w:r w:rsidR="00227470" w:rsidRPr="00E30718">
        <w:rPr>
          <w:lang w:val="en-US"/>
        </w:rPr>
        <w:t>Gestingthorpe</w:t>
      </w:r>
      <w:proofErr w:type="spellEnd"/>
      <w:r w:rsidR="00227470" w:rsidRPr="00E30718">
        <w:rPr>
          <w:lang w:val="en-US"/>
        </w:rPr>
        <w:t xml:space="preserve"> </w:t>
      </w:r>
      <w:r w:rsidR="00E9264D">
        <w:rPr>
          <w:lang w:val="en-US"/>
        </w:rPr>
        <w:t>(</w:t>
      </w:r>
      <w:r w:rsidR="00227470" w:rsidRPr="00E30718">
        <w:rPr>
          <w:lang w:val="en-US"/>
        </w:rPr>
        <w:t>2016</w:t>
      </w:r>
      <w:r w:rsidR="00227470" w:rsidRPr="00227470">
        <w:rPr>
          <w:b/>
          <w:bCs/>
          <w:lang w:val="en-US"/>
        </w:rPr>
        <w:t>)</w:t>
      </w:r>
      <w:r w:rsidR="00E9264D">
        <w:rPr>
          <w:lang w:val="en-US"/>
        </w:rPr>
        <w:t xml:space="preserve">.  </w:t>
      </w:r>
      <w:r w:rsidR="00C47BA0" w:rsidRPr="00C47BA0">
        <w:rPr>
          <w:lang w:val="en-US"/>
        </w:rPr>
        <w:t>As a limitation period dating back to</w:t>
      </w:r>
      <w:r w:rsidR="00C47BA0">
        <w:rPr>
          <w:lang w:val="en-US"/>
        </w:rPr>
        <w:t xml:space="preserve"> time immemorial </w:t>
      </w:r>
      <w:r w:rsidR="00C47BA0" w:rsidRPr="00C47BA0">
        <w:rPr>
          <w:lang w:val="en-US"/>
        </w:rPr>
        <w:t xml:space="preserve">to utilize the term, many judges have expanded on and made comments about 1189. In Angus v. Dalton (1877) 2 QBD 85, Cockburn J. </w:t>
      </w:r>
      <w:r w:rsidR="00C47BA0">
        <w:rPr>
          <w:lang w:val="en-US"/>
        </w:rPr>
        <w:t>thought</w:t>
      </w:r>
      <w:r w:rsidR="00C47BA0" w:rsidRPr="00C47BA0">
        <w:rPr>
          <w:lang w:val="en-US"/>
        </w:rPr>
        <w:t xml:space="preserve"> that there didn't seem to be a set term of prescription under common law.</w:t>
      </w:r>
      <w:r w:rsidR="00227470" w:rsidRPr="00227470">
        <w:rPr>
          <w:lang w:val="en-US"/>
        </w:rPr>
        <w:t xml:space="preserve"> (Nash 1989).</w:t>
      </w:r>
      <w:r w:rsidR="00C47BA0" w:rsidRPr="00C47BA0">
        <w:t xml:space="preserve"> </w:t>
      </w:r>
      <w:r w:rsidR="00C47BA0" w:rsidRPr="00C47BA0">
        <w:rPr>
          <w:lang w:val="en-US"/>
        </w:rPr>
        <w:t>Where it can be demonstrated that the origin of the enjoyment must have occurred more recently than 1189, a claim to an easement through use since the beginning of time may be challenged</w:t>
      </w:r>
      <w:r w:rsidR="00C47BA0">
        <w:rPr>
          <w:lang w:val="en-US"/>
        </w:rPr>
        <w:t xml:space="preserve"> </w:t>
      </w:r>
      <w:r w:rsidR="00E9264D">
        <w:rPr>
          <w:lang w:val="en-US"/>
        </w:rPr>
        <w:t xml:space="preserve">as can be seen in the case of </w:t>
      </w:r>
      <w:r w:rsidR="00227470" w:rsidRPr="005C056B">
        <w:rPr>
          <w:lang w:val="en-US"/>
        </w:rPr>
        <w:t xml:space="preserve">Bury v Pope </w:t>
      </w:r>
      <w:r w:rsidR="005841A1" w:rsidRPr="005C056B">
        <w:rPr>
          <w:lang w:val="en-US"/>
        </w:rPr>
        <w:t>1588</w:t>
      </w:r>
      <w:r w:rsidR="005841A1">
        <w:rPr>
          <w:lang w:val="en-US"/>
        </w:rPr>
        <w:t xml:space="preserve">. </w:t>
      </w:r>
      <w:r w:rsidR="005841A1" w:rsidRPr="005C056B">
        <w:rPr>
          <w:lang w:val="en-US"/>
        </w:rPr>
        <w:t xml:space="preserve"> </w:t>
      </w:r>
      <w:r w:rsidR="005841A1">
        <w:rPr>
          <w:lang w:val="en-US"/>
        </w:rPr>
        <w:t>Legal</w:t>
      </w:r>
      <w:r w:rsidR="005C056B" w:rsidRPr="005C056B">
        <w:rPr>
          <w:lang w:val="en-US"/>
        </w:rPr>
        <w:t xml:space="preserve"> fictions are by no means indicators of the system's immaturity; rather, they are dynamic tools that over time enable courts to strike a balance between adaption and openness</w:t>
      </w:r>
      <w:r w:rsidRPr="00870A33">
        <w:rPr>
          <w:lang w:val="en-US"/>
        </w:rPr>
        <w:t xml:space="preserve"> </w:t>
      </w:r>
      <w:r w:rsidRPr="00E30718">
        <w:rPr>
          <w:lang w:val="en-US"/>
        </w:rPr>
        <w:t>(Del Mar 2013)</w:t>
      </w:r>
      <w:r w:rsidR="00562EAA">
        <w:rPr>
          <w:lang w:val="en-US"/>
        </w:rPr>
        <w:t>.</w:t>
      </w:r>
    </w:p>
    <w:p w14:paraId="1FB4FA77" w14:textId="77777777" w:rsidR="0040541B" w:rsidRDefault="0040541B" w:rsidP="00413A0D">
      <w:pPr>
        <w:rPr>
          <w:b/>
          <w:bCs/>
        </w:rPr>
      </w:pPr>
    </w:p>
    <w:p w14:paraId="524E9997" w14:textId="05E35384" w:rsidR="0040541B" w:rsidRDefault="00562EAA" w:rsidP="00CA5B61">
      <w:pPr>
        <w:rPr>
          <w:b/>
          <w:bCs/>
        </w:rPr>
      </w:pPr>
      <w:r>
        <w:rPr>
          <w:lang w:val="en-US"/>
        </w:rPr>
        <w:t>The d</w:t>
      </w:r>
      <w:r w:rsidR="002C6CA9" w:rsidRPr="002C6CA9">
        <w:rPr>
          <w:lang w:val="en-US"/>
        </w:rPr>
        <w:t>ominant land must be close</w:t>
      </w:r>
      <w:r w:rsidR="00593C57">
        <w:rPr>
          <w:lang w:val="en-US"/>
        </w:rPr>
        <w:t>. I</w:t>
      </w:r>
      <w:r w:rsidR="002C6CA9" w:rsidRPr="002C6CA9">
        <w:rPr>
          <w:lang w:val="en-US"/>
        </w:rPr>
        <w:t>n the case of Bailey v Stephens an easement by prescription was not capable of being an easement</w:t>
      </w:r>
      <w:r w:rsidR="00593C57">
        <w:rPr>
          <w:lang w:val="en-US"/>
        </w:rPr>
        <w:t>,</w:t>
      </w:r>
      <w:r w:rsidR="002C6CA9" w:rsidRPr="002C6CA9">
        <w:rPr>
          <w:lang w:val="en-US"/>
        </w:rPr>
        <w:t xml:space="preserve"> because</w:t>
      </w:r>
      <w:r w:rsidR="00593C57">
        <w:rPr>
          <w:lang w:val="en-US"/>
        </w:rPr>
        <w:t xml:space="preserve"> </w:t>
      </w:r>
      <w:r w:rsidR="002C6CA9" w:rsidRPr="002C6CA9">
        <w:rPr>
          <w:lang w:val="en-US"/>
        </w:rPr>
        <w:t>the dominant land and the servient land were miles apart</w:t>
      </w:r>
      <w:r w:rsidR="00593C57">
        <w:rPr>
          <w:lang w:val="en-US"/>
        </w:rPr>
        <w:t>,</w:t>
      </w:r>
      <w:r w:rsidR="002C6CA9" w:rsidRPr="002C6CA9">
        <w:rPr>
          <w:lang w:val="en-US"/>
        </w:rPr>
        <w:t xml:space="preserve"> </w:t>
      </w:r>
      <w:r w:rsidR="00593C57">
        <w:rPr>
          <w:lang w:val="en-US"/>
        </w:rPr>
        <w:t>it</w:t>
      </w:r>
      <w:r w:rsidR="002C6CA9" w:rsidRPr="002C6CA9">
        <w:rPr>
          <w:lang w:val="en-US"/>
        </w:rPr>
        <w:t xml:space="preserve"> did not meet the characteristics in Re Ellenborough Park</w:t>
      </w:r>
      <w:r w:rsidR="001D03B5">
        <w:rPr>
          <w:lang w:val="en-US"/>
        </w:rPr>
        <w:t>,</w:t>
      </w:r>
      <w:r w:rsidR="002C6CA9" w:rsidRPr="002C6CA9">
        <w:rPr>
          <w:lang w:val="en-US"/>
        </w:rPr>
        <w:t xml:space="preserve"> and therefore could not acquire an easement by prescription. However, in Pugh v Savage</w:t>
      </w:r>
      <w:r w:rsidR="00593C57">
        <w:rPr>
          <w:lang w:val="en-US"/>
        </w:rPr>
        <w:t>,</w:t>
      </w:r>
      <w:r w:rsidR="002C6CA9" w:rsidRPr="002C6CA9">
        <w:rPr>
          <w:lang w:val="en-US"/>
        </w:rPr>
        <w:t xml:space="preserve"> although it did not meet the characteristics in RE Ellenborough Park</w:t>
      </w:r>
      <w:r w:rsidR="00D94D43">
        <w:rPr>
          <w:lang w:val="en-US"/>
        </w:rPr>
        <w:t>,</w:t>
      </w:r>
      <w:r w:rsidR="002C6CA9" w:rsidRPr="002C6CA9">
        <w:rPr>
          <w:lang w:val="en-US"/>
        </w:rPr>
        <w:t xml:space="preserve"> because the dominant land was not close</w:t>
      </w:r>
      <w:r w:rsidR="003C567E">
        <w:rPr>
          <w:lang w:val="en-US"/>
        </w:rPr>
        <w:t>,</w:t>
      </w:r>
      <w:r w:rsidR="002C6CA9" w:rsidRPr="002C6CA9">
        <w:rPr>
          <w:lang w:val="en-US"/>
        </w:rPr>
        <w:t xml:space="preserve"> it was</w:t>
      </w:r>
      <w:r w:rsidR="003C567E">
        <w:rPr>
          <w:lang w:val="en-US"/>
        </w:rPr>
        <w:t xml:space="preserve"> </w:t>
      </w:r>
      <w:r w:rsidR="002C6CA9" w:rsidRPr="002C6CA9">
        <w:rPr>
          <w:lang w:val="en-US"/>
        </w:rPr>
        <w:t>a leasehold</w:t>
      </w:r>
      <w:r w:rsidR="003C567E">
        <w:rPr>
          <w:lang w:val="en-US"/>
        </w:rPr>
        <w:t>,</w:t>
      </w:r>
      <w:r w:rsidR="002C6CA9" w:rsidRPr="002C6CA9">
        <w:rPr>
          <w:lang w:val="en-US"/>
        </w:rPr>
        <w:t xml:space="preserve"> and </w:t>
      </w:r>
      <w:r w:rsidR="003C567E">
        <w:rPr>
          <w:lang w:val="en-US"/>
        </w:rPr>
        <w:t xml:space="preserve">was for </w:t>
      </w:r>
      <w:r w:rsidR="002C6CA9" w:rsidRPr="002C6CA9">
        <w:rPr>
          <w:lang w:val="en-US"/>
        </w:rPr>
        <w:t>a fixed period</w:t>
      </w:r>
      <w:r w:rsidR="003C567E">
        <w:rPr>
          <w:lang w:val="en-US"/>
        </w:rPr>
        <w:t>,</w:t>
      </w:r>
      <w:r w:rsidR="002C6CA9" w:rsidRPr="002C6CA9">
        <w:rPr>
          <w:lang w:val="en-US"/>
        </w:rPr>
        <w:t xml:space="preserve"> s1 (3) LPA 1925</w:t>
      </w:r>
      <w:r w:rsidR="003C567E">
        <w:rPr>
          <w:lang w:val="en-US"/>
        </w:rPr>
        <w:t>,</w:t>
      </w:r>
      <w:r w:rsidR="002C6CA9" w:rsidRPr="002C6CA9">
        <w:rPr>
          <w:lang w:val="en-US"/>
        </w:rPr>
        <w:t xml:space="preserve"> he was given permission to use the dominant land by the </w:t>
      </w:r>
      <w:r w:rsidR="00D94D43">
        <w:rPr>
          <w:lang w:val="en-US"/>
        </w:rPr>
        <w:t>servient</w:t>
      </w:r>
      <w:r w:rsidR="002C6CA9" w:rsidRPr="002C6CA9">
        <w:rPr>
          <w:lang w:val="en-US"/>
        </w:rPr>
        <w:t xml:space="preserve"> owner, savage was able to acquire an easement by prescription</w:t>
      </w:r>
      <w:r w:rsidR="001D03B5">
        <w:rPr>
          <w:lang w:val="en-US"/>
        </w:rPr>
        <w:t>,</w:t>
      </w:r>
      <w:r w:rsidR="002C6CA9" w:rsidRPr="002C6CA9">
        <w:rPr>
          <w:lang w:val="en-US"/>
        </w:rPr>
        <w:t xml:space="preserve"> th</w:t>
      </w:r>
      <w:r w:rsidR="004425C4">
        <w:rPr>
          <w:lang w:val="en-US"/>
        </w:rPr>
        <w:t>r</w:t>
      </w:r>
      <w:r w:rsidR="002C6CA9" w:rsidRPr="002C6CA9">
        <w:rPr>
          <w:lang w:val="en-US"/>
        </w:rPr>
        <w:t>ough the prescription act 1832,</w:t>
      </w:r>
      <w:r w:rsidR="00657EC9">
        <w:rPr>
          <w:lang w:val="en-US"/>
        </w:rPr>
        <w:t xml:space="preserve"> i</w:t>
      </w:r>
      <w:r w:rsidR="002C6CA9" w:rsidRPr="002C6CA9">
        <w:rPr>
          <w:lang w:val="en-US"/>
        </w:rPr>
        <w:t xml:space="preserve">n this case it was an exception which made it capable of an easement through the lost modern grant. </w:t>
      </w:r>
      <w:bookmarkStart w:id="2" w:name="_Hlk118149636"/>
    </w:p>
    <w:p w14:paraId="09E5E4ED" w14:textId="77777777" w:rsidR="0040541B" w:rsidRDefault="0040541B" w:rsidP="00CA5B61">
      <w:pPr>
        <w:rPr>
          <w:b/>
          <w:bCs/>
        </w:rPr>
      </w:pPr>
    </w:p>
    <w:p w14:paraId="75D1FFF5" w14:textId="227B396F" w:rsidR="0040541B" w:rsidRDefault="003708FB">
      <w:pPr>
        <w:rPr>
          <w:b/>
          <w:bCs/>
        </w:rPr>
      </w:pPr>
      <w:r w:rsidRPr="00D1636B">
        <w:rPr>
          <w:lang w:val="en-US"/>
        </w:rPr>
        <w:t>In th</w:t>
      </w:r>
      <w:r w:rsidR="00C0284A">
        <w:rPr>
          <w:lang w:val="en-US"/>
        </w:rPr>
        <w:t>e</w:t>
      </w:r>
      <w:r w:rsidRPr="00D1636B">
        <w:rPr>
          <w:lang w:val="en-US"/>
        </w:rPr>
        <w:t xml:space="preserve"> case </w:t>
      </w:r>
      <w:r w:rsidR="00725FA8">
        <w:rPr>
          <w:lang w:val="en-US"/>
        </w:rPr>
        <w:t>of Orme</w:t>
      </w:r>
      <w:r w:rsidR="00C0284A" w:rsidRPr="00DD2134">
        <w:rPr>
          <w:b/>
          <w:bCs/>
          <w:lang w:val="en-US"/>
        </w:rPr>
        <w:t xml:space="preserve"> </w:t>
      </w:r>
      <w:r w:rsidR="00C0284A" w:rsidRPr="00CE742B">
        <w:rPr>
          <w:lang w:val="en-US"/>
        </w:rPr>
        <w:t>v Lyons (2012)</w:t>
      </w:r>
      <w:r w:rsidR="00DE6385">
        <w:rPr>
          <w:lang w:val="en-US"/>
        </w:rPr>
        <w:t>,</w:t>
      </w:r>
      <w:r w:rsidR="00C0284A">
        <w:rPr>
          <w:lang w:val="en-US"/>
        </w:rPr>
        <w:t xml:space="preserve"> </w:t>
      </w:r>
      <w:r w:rsidRPr="00D1636B">
        <w:rPr>
          <w:lang w:val="en-US"/>
        </w:rPr>
        <w:t xml:space="preserve">the users were </w:t>
      </w:r>
      <w:r w:rsidR="006137CB">
        <w:rPr>
          <w:lang w:val="en-US"/>
        </w:rPr>
        <w:t xml:space="preserve">not </w:t>
      </w:r>
      <w:r w:rsidRPr="00D1636B">
        <w:rPr>
          <w:lang w:val="en-US"/>
        </w:rPr>
        <w:t>in continuous use of the lan</w:t>
      </w:r>
      <w:r>
        <w:rPr>
          <w:lang w:val="en-US"/>
        </w:rPr>
        <w:t>d</w:t>
      </w:r>
      <w:bookmarkStart w:id="3" w:name="_Hlk118142577"/>
      <w:r w:rsidR="008B6EBB">
        <w:rPr>
          <w:lang w:val="en-US"/>
        </w:rPr>
        <w:t>.</w:t>
      </w:r>
      <w:r w:rsidR="00C0284A">
        <w:rPr>
          <w:b/>
          <w:bCs/>
          <w:lang w:val="en-US"/>
        </w:rPr>
        <w:t xml:space="preserve"> </w:t>
      </w:r>
      <w:bookmarkStart w:id="4" w:name="_Hlk117672336"/>
      <w:bookmarkEnd w:id="3"/>
      <w:r w:rsidR="008B6EBB">
        <w:rPr>
          <w:lang w:val="en-US"/>
        </w:rPr>
        <w:t>I</w:t>
      </w:r>
      <w:r w:rsidR="005D769E">
        <w:rPr>
          <w:lang w:val="en-US"/>
        </w:rPr>
        <w:t xml:space="preserve">t must be a necessity enjoyment of the </w:t>
      </w:r>
      <w:r w:rsidR="00E44773">
        <w:rPr>
          <w:lang w:val="en-US"/>
        </w:rPr>
        <w:t xml:space="preserve">land </w:t>
      </w:r>
      <w:r w:rsidR="005D769E">
        <w:rPr>
          <w:lang w:val="en-US"/>
        </w:rPr>
        <w:t>and</w:t>
      </w:r>
      <w:r w:rsidR="005D769E" w:rsidRPr="00465B49">
        <w:rPr>
          <w:lang w:val="en-US"/>
        </w:rPr>
        <w:t xml:space="preserve"> </w:t>
      </w:r>
      <w:r w:rsidR="005D769E">
        <w:rPr>
          <w:lang w:val="en-US"/>
        </w:rPr>
        <w:t xml:space="preserve">must have been </w:t>
      </w:r>
      <w:r w:rsidR="005D769E" w:rsidRPr="00465B49">
        <w:rPr>
          <w:lang w:val="en-US"/>
        </w:rPr>
        <w:t xml:space="preserve">used at the time by the </w:t>
      </w:r>
      <w:r w:rsidR="00D94D43">
        <w:rPr>
          <w:lang w:val="en-US"/>
        </w:rPr>
        <w:t>dominant</w:t>
      </w:r>
      <w:r w:rsidR="006137CB">
        <w:rPr>
          <w:lang w:val="en-US"/>
        </w:rPr>
        <w:t xml:space="preserve"> </w:t>
      </w:r>
      <w:r w:rsidR="005D769E" w:rsidRPr="00465B49">
        <w:rPr>
          <w:lang w:val="en-US"/>
        </w:rPr>
        <w:t xml:space="preserve">owner when the property </w:t>
      </w:r>
      <w:r w:rsidR="005D769E">
        <w:rPr>
          <w:lang w:val="en-US"/>
        </w:rPr>
        <w:t>had been</w:t>
      </w:r>
      <w:r w:rsidR="005D769E" w:rsidRPr="00465B49">
        <w:rPr>
          <w:lang w:val="en-US"/>
        </w:rPr>
        <w:t xml:space="preserve"> sold</w:t>
      </w:r>
      <w:r w:rsidR="005D769E">
        <w:rPr>
          <w:lang w:val="en-US"/>
        </w:rPr>
        <w:t xml:space="preserve">. </w:t>
      </w:r>
      <w:r w:rsidR="00B378D4">
        <w:rPr>
          <w:lang w:val="en-US"/>
        </w:rPr>
        <w:t>I</w:t>
      </w:r>
      <w:r w:rsidR="006137CB">
        <w:rPr>
          <w:lang w:val="en-US"/>
        </w:rPr>
        <w:t>f they had carried on using the track after the previous owners</w:t>
      </w:r>
      <w:r w:rsidR="00D94D43">
        <w:rPr>
          <w:lang w:val="en-US"/>
        </w:rPr>
        <w:t>,</w:t>
      </w:r>
      <w:r w:rsidR="006137CB">
        <w:rPr>
          <w:lang w:val="en-US"/>
        </w:rPr>
        <w:t xml:space="preserve"> a prescription as of right</w:t>
      </w:r>
      <w:r w:rsidR="00DE6385">
        <w:rPr>
          <w:lang w:val="en-US"/>
        </w:rPr>
        <w:t>,</w:t>
      </w:r>
      <w:r w:rsidR="006137CB">
        <w:rPr>
          <w:lang w:val="en-US"/>
        </w:rPr>
        <w:t xml:space="preserve"> 20years use could have been created through the lost modern grant</w:t>
      </w:r>
      <w:r w:rsidR="00DE6385">
        <w:rPr>
          <w:lang w:val="en-US"/>
        </w:rPr>
        <w:t>,</w:t>
      </w:r>
      <w:r w:rsidR="008B6EBB">
        <w:rPr>
          <w:lang w:val="en-US"/>
        </w:rPr>
        <w:t xml:space="preserve"> </w:t>
      </w:r>
      <w:r w:rsidR="006137CB">
        <w:rPr>
          <w:lang w:val="en-US"/>
        </w:rPr>
        <w:t>because</w:t>
      </w:r>
      <w:r w:rsidR="0040541B">
        <w:rPr>
          <w:lang w:val="en-US"/>
        </w:rPr>
        <w:t xml:space="preserve"> </w:t>
      </w:r>
      <w:r w:rsidR="006137CB">
        <w:rPr>
          <w:lang w:val="en-US"/>
        </w:rPr>
        <w:t>it would have been continuous use</w:t>
      </w:r>
      <w:r w:rsidR="001D03B5">
        <w:rPr>
          <w:lang w:val="en-US"/>
        </w:rPr>
        <w:t>,</w:t>
      </w:r>
      <w:r w:rsidR="00126EF8">
        <w:rPr>
          <w:lang w:val="en-US"/>
        </w:rPr>
        <w:t xml:space="preserve"> </w:t>
      </w:r>
      <w:r w:rsidR="00DE6385">
        <w:rPr>
          <w:lang w:val="en-US"/>
        </w:rPr>
        <w:t>and Mr.</w:t>
      </w:r>
      <w:r w:rsidR="00B378D4">
        <w:rPr>
          <w:lang w:val="en-US"/>
        </w:rPr>
        <w:t xml:space="preserve"> And</w:t>
      </w:r>
      <w:r w:rsidR="005D769E">
        <w:rPr>
          <w:lang w:val="en-US"/>
        </w:rPr>
        <w:t xml:space="preserve"> Mrs. Lyons would have been covered by </w:t>
      </w:r>
      <w:r w:rsidR="00927EDF">
        <w:rPr>
          <w:lang w:val="en-US"/>
        </w:rPr>
        <w:t>s2 PA 1832</w:t>
      </w:r>
      <w:r w:rsidR="00DE6385">
        <w:rPr>
          <w:lang w:val="en-US"/>
        </w:rPr>
        <w:t>,</w:t>
      </w:r>
      <w:r w:rsidR="005D769E">
        <w:rPr>
          <w:lang w:val="en-US"/>
        </w:rPr>
        <w:t xml:space="preserve"> the easement would have automatically been transferred to them </w:t>
      </w:r>
      <w:r w:rsidR="008B6EBB">
        <w:rPr>
          <w:lang w:val="en-US"/>
        </w:rPr>
        <w:t>as</w:t>
      </w:r>
      <w:r w:rsidR="005D769E">
        <w:rPr>
          <w:lang w:val="en-US"/>
        </w:rPr>
        <w:t xml:space="preserve"> they were the new </w:t>
      </w:r>
      <w:r w:rsidR="00B22F60">
        <w:rPr>
          <w:lang w:val="en-US"/>
        </w:rPr>
        <w:t>owners</w:t>
      </w:r>
      <w:r w:rsidR="00DE6385">
        <w:rPr>
          <w:lang w:val="en-US"/>
        </w:rPr>
        <w:t xml:space="preserve">, </w:t>
      </w:r>
      <w:r w:rsidR="00593C57">
        <w:rPr>
          <w:lang w:val="en-US"/>
        </w:rPr>
        <w:t xml:space="preserve">because </w:t>
      </w:r>
      <w:r w:rsidR="00DE6385">
        <w:rPr>
          <w:lang w:val="en-US"/>
        </w:rPr>
        <w:t>t</w:t>
      </w:r>
      <w:r w:rsidR="005E3AF2">
        <w:rPr>
          <w:lang w:val="en-US"/>
        </w:rPr>
        <w:t>h</w:t>
      </w:r>
      <w:r w:rsidR="00E05F22">
        <w:rPr>
          <w:lang w:val="en-US"/>
        </w:rPr>
        <w:t>e</w:t>
      </w:r>
      <w:r w:rsidR="00927EDF">
        <w:rPr>
          <w:lang w:val="en-US"/>
        </w:rPr>
        <w:t xml:space="preserve">re </w:t>
      </w:r>
      <w:r w:rsidR="00E05F22">
        <w:rPr>
          <w:lang w:val="en-US"/>
        </w:rPr>
        <w:t xml:space="preserve">was another route </w:t>
      </w:r>
      <w:r w:rsidR="00927EDF">
        <w:rPr>
          <w:lang w:val="en-US"/>
        </w:rPr>
        <w:t xml:space="preserve">available </w:t>
      </w:r>
      <w:r w:rsidR="00593C57">
        <w:rPr>
          <w:lang w:val="en-US"/>
        </w:rPr>
        <w:t xml:space="preserve">for them, </w:t>
      </w:r>
      <w:r w:rsidR="00E05F22">
        <w:rPr>
          <w:lang w:val="en-US"/>
        </w:rPr>
        <w:t xml:space="preserve">it was not enough to acquire an easement by </w:t>
      </w:r>
      <w:r w:rsidR="00F13477">
        <w:rPr>
          <w:lang w:val="en-US"/>
        </w:rPr>
        <w:t>prescription</w:t>
      </w:r>
      <w:r w:rsidR="00E05F22">
        <w:rPr>
          <w:lang w:val="en-US"/>
        </w:rPr>
        <w:t xml:space="preserve"> th</w:t>
      </w:r>
      <w:r w:rsidR="001D03B5">
        <w:rPr>
          <w:lang w:val="en-US"/>
        </w:rPr>
        <w:t>r</w:t>
      </w:r>
      <w:r w:rsidR="00E05F22">
        <w:rPr>
          <w:lang w:val="en-US"/>
        </w:rPr>
        <w:t>ough the lost modern grant</w:t>
      </w:r>
      <w:r w:rsidR="00126EF8">
        <w:rPr>
          <w:lang w:val="en-US"/>
        </w:rPr>
        <w:t xml:space="preserve">. </w:t>
      </w:r>
      <w:r w:rsidR="00F13477">
        <w:rPr>
          <w:lang w:val="en-US"/>
        </w:rPr>
        <w:t>However,</w:t>
      </w:r>
      <w:r w:rsidR="00A77826">
        <w:rPr>
          <w:lang w:val="en-US"/>
        </w:rPr>
        <w:t xml:space="preserve"> in the case of </w:t>
      </w:r>
      <w:proofErr w:type="spellStart"/>
      <w:r w:rsidR="00A77826" w:rsidRPr="00CE742B">
        <w:rPr>
          <w:u w:val="single"/>
          <w:lang w:val="en-US"/>
        </w:rPr>
        <w:t>Diment</w:t>
      </w:r>
      <w:proofErr w:type="spellEnd"/>
      <w:r w:rsidR="00A77826" w:rsidRPr="00CE742B">
        <w:rPr>
          <w:u w:val="single"/>
          <w:lang w:val="en-US"/>
        </w:rPr>
        <w:t xml:space="preserve"> v Foot</w:t>
      </w:r>
      <w:r w:rsidR="00A77826" w:rsidRPr="00BC02C9">
        <w:rPr>
          <w:b/>
          <w:bCs/>
          <w:lang w:val="en-US"/>
        </w:rPr>
        <w:t xml:space="preserve"> [</w:t>
      </w:r>
      <w:r w:rsidR="00A77826" w:rsidRPr="0085159A">
        <w:rPr>
          <w:lang w:val="en-US"/>
        </w:rPr>
        <w:t>1974]</w:t>
      </w:r>
      <w:r w:rsidR="00A77826">
        <w:rPr>
          <w:lang w:val="en-US"/>
        </w:rPr>
        <w:t xml:space="preserve"> it was capable of an easement </w:t>
      </w:r>
      <w:r w:rsidR="00A379EC">
        <w:rPr>
          <w:lang w:val="en-US"/>
        </w:rPr>
        <w:t xml:space="preserve">through the lost modern grant </w:t>
      </w:r>
      <w:r w:rsidR="00A77826">
        <w:rPr>
          <w:lang w:val="en-US"/>
        </w:rPr>
        <w:t xml:space="preserve">because </w:t>
      </w:r>
      <w:r w:rsidR="008B6EBB">
        <w:rPr>
          <w:lang w:val="en-US"/>
        </w:rPr>
        <w:t xml:space="preserve">of </w:t>
      </w:r>
      <w:r w:rsidR="00A77826">
        <w:rPr>
          <w:lang w:val="en-US"/>
        </w:rPr>
        <w:t>the continuous use over 20</w:t>
      </w:r>
      <w:r w:rsidR="00D95048">
        <w:rPr>
          <w:lang w:val="en-US"/>
        </w:rPr>
        <w:t>years</w:t>
      </w:r>
      <w:bookmarkEnd w:id="4"/>
      <w:bookmarkEnd w:id="2"/>
      <w:r w:rsidR="008B6EBB">
        <w:rPr>
          <w:lang w:val="en-US"/>
        </w:rPr>
        <w:t>,</w:t>
      </w:r>
    </w:p>
    <w:p w14:paraId="29C01196" w14:textId="77777777" w:rsidR="0040541B" w:rsidRDefault="0040541B">
      <w:pPr>
        <w:rPr>
          <w:b/>
          <w:bCs/>
        </w:rPr>
      </w:pPr>
    </w:p>
    <w:p w14:paraId="26F9B168" w14:textId="77777777" w:rsidR="0040541B" w:rsidRDefault="00593C57">
      <w:pPr>
        <w:rPr>
          <w:b/>
          <w:bCs/>
        </w:rPr>
      </w:pPr>
      <w:r>
        <w:rPr>
          <w:lang w:val="en-US"/>
        </w:rPr>
        <w:t xml:space="preserve">An </w:t>
      </w:r>
      <w:r w:rsidR="00C270BA" w:rsidRPr="00C270BA">
        <w:rPr>
          <w:lang w:val="en-US"/>
        </w:rPr>
        <w:t>easement is deemed lost</w:t>
      </w:r>
      <w:r>
        <w:rPr>
          <w:lang w:val="en-US"/>
        </w:rPr>
        <w:t>,</w:t>
      </w:r>
      <w:r w:rsidR="00C270BA" w:rsidRPr="00C270BA">
        <w:rPr>
          <w:lang w:val="en-US"/>
        </w:rPr>
        <w:t xml:space="preserve"> if the</w:t>
      </w:r>
      <w:r w:rsidR="004E5503">
        <w:rPr>
          <w:lang w:val="en-US"/>
        </w:rPr>
        <w:t xml:space="preserve"> servient</w:t>
      </w:r>
      <w:r w:rsidR="00C270BA" w:rsidRPr="00C270BA">
        <w:rPr>
          <w:lang w:val="en-US"/>
        </w:rPr>
        <w:t xml:space="preserve"> owner acts in any way or does nothing with the intention of giving up the right. The difficulty of establishing </w:t>
      </w:r>
      <w:r w:rsidR="004E5503">
        <w:rPr>
          <w:lang w:val="en-US"/>
        </w:rPr>
        <w:t xml:space="preserve">this </w:t>
      </w:r>
      <w:r w:rsidR="00564D80">
        <w:rPr>
          <w:lang w:val="en-US"/>
        </w:rPr>
        <w:t xml:space="preserve">would be that </w:t>
      </w:r>
      <w:r w:rsidR="004E5503">
        <w:rPr>
          <w:lang w:val="en-US"/>
        </w:rPr>
        <w:t xml:space="preserve">the </w:t>
      </w:r>
      <w:r w:rsidR="007E21DD">
        <w:rPr>
          <w:lang w:val="en-US"/>
        </w:rPr>
        <w:t>dominant</w:t>
      </w:r>
      <w:r w:rsidR="004E5503">
        <w:rPr>
          <w:lang w:val="en-US"/>
        </w:rPr>
        <w:t xml:space="preserve"> owner would have to prove </w:t>
      </w:r>
      <w:r w:rsidR="00C270BA" w:rsidRPr="00C270BA">
        <w:rPr>
          <w:lang w:val="en-US"/>
        </w:rPr>
        <w:t xml:space="preserve">that </w:t>
      </w:r>
      <w:r w:rsidR="004E5503">
        <w:rPr>
          <w:lang w:val="en-US"/>
        </w:rPr>
        <w:t>they were paying for the use of the land</w:t>
      </w:r>
      <w:r w:rsidR="00B378D4">
        <w:rPr>
          <w:lang w:val="en-US"/>
        </w:rPr>
        <w:t>,</w:t>
      </w:r>
      <w:r w:rsidR="004E5503">
        <w:rPr>
          <w:lang w:val="en-US"/>
        </w:rPr>
        <w:t xml:space="preserve"> </w:t>
      </w:r>
      <w:r w:rsidR="00564D80">
        <w:rPr>
          <w:lang w:val="en-US"/>
        </w:rPr>
        <w:t xml:space="preserve">as </w:t>
      </w:r>
      <w:r w:rsidR="003F0DD8">
        <w:rPr>
          <w:lang w:val="en-US"/>
        </w:rPr>
        <w:t>th</w:t>
      </w:r>
      <w:r>
        <w:rPr>
          <w:lang w:val="en-US"/>
        </w:rPr>
        <w:t>is</w:t>
      </w:r>
      <w:r w:rsidR="003F0DD8">
        <w:rPr>
          <w:lang w:val="en-US"/>
        </w:rPr>
        <w:t xml:space="preserve"> </w:t>
      </w:r>
      <w:r w:rsidR="004E5503">
        <w:rPr>
          <w:lang w:val="en-US"/>
        </w:rPr>
        <w:t>would be</w:t>
      </w:r>
      <w:r w:rsidR="00C270BA" w:rsidRPr="00C270BA">
        <w:rPr>
          <w:lang w:val="en-US"/>
        </w:rPr>
        <w:t xml:space="preserve"> evidence</w:t>
      </w:r>
      <w:r>
        <w:rPr>
          <w:lang w:val="en-US"/>
        </w:rPr>
        <w:t>.</w:t>
      </w:r>
      <w:r w:rsidR="00B378D4">
        <w:rPr>
          <w:lang w:val="en-US"/>
        </w:rPr>
        <w:t xml:space="preserve"> </w:t>
      </w:r>
      <w:r w:rsidR="00531F75">
        <w:rPr>
          <w:lang w:val="en-US"/>
        </w:rPr>
        <w:t>(</w:t>
      </w:r>
      <w:proofErr w:type="spellStart"/>
      <w:r w:rsidR="00531F75">
        <w:rPr>
          <w:lang w:val="en-US"/>
        </w:rPr>
        <w:t>Mcfarlane</w:t>
      </w:r>
      <w:proofErr w:type="spellEnd"/>
      <w:r w:rsidR="00531F75">
        <w:rPr>
          <w:lang w:val="en-US"/>
        </w:rPr>
        <w:t xml:space="preserve"> 2018 p 954)</w:t>
      </w:r>
      <w:r w:rsidR="003F0DD8">
        <w:rPr>
          <w:lang w:val="en-US"/>
        </w:rPr>
        <w:t>.</w:t>
      </w:r>
      <w:r w:rsidR="00531F75" w:rsidRPr="00531F75">
        <w:rPr>
          <w:lang w:val="en-US"/>
        </w:rPr>
        <w:t xml:space="preserve"> </w:t>
      </w:r>
      <w:r w:rsidR="003F0DD8">
        <w:rPr>
          <w:lang w:val="en-US"/>
        </w:rPr>
        <w:t>H</w:t>
      </w:r>
      <w:r w:rsidR="00531F75" w:rsidRPr="00531F75">
        <w:rPr>
          <w:lang w:val="en-US"/>
        </w:rPr>
        <w:t>owever</w:t>
      </w:r>
      <w:r w:rsidR="00C270BA">
        <w:rPr>
          <w:lang w:val="en-US"/>
        </w:rPr>
        <w:t xml:space="preserve">, </w:t>
      </w:r>
      <w:r w:rsidR="003F0DD8">
        <w:rPr>
          <w:lang w:val="en-US"/>
        </w:rPr>
        <w:t>i</w:t>
      </w:r>
      <w:r w:rsidR="00413A0D" w:rsidRPr="00222429">
        <w:rPr>
          <w:lang w:val="en-US"/>
        </w:rPr>
        <w:t xml:space="preserve">n </w:t>
      </w:r>
      <w:r w:rsidR="00413A0D" w:rsidRPr="00B22F60">
        <w:rPr>
          <w:lang w:val="en-US"/>
        </w:rPr>
        <w:t xml:space="preserve">Liverpool </w:t>
      </w:r>
      <w:proofErr w:type="spellStart"/>
      <w:r w:rsidR="00413A0D" w:rsidRPr="00B22F60">
        <w:rPr>
          <w:lang w:val="en-US"/>
        </w:rPr>
        <w:t>corp</w:t>
      </w:r>
      <w:proofErr w:type="spellEnd"/>
      <w:r w:rsidR="00413A0D" w:rsidRPr="00B22F60">
        <w:rPr>
          <w:lang w:val="en-US"/>
        </w:rPr>
        <w:t xml:space="preserve"> v Coghill (1918)</w:t>
      </w:r>
      <w:r>
        <w:rPr>
          <w:lang w:val="en-US"/>
        </w:rPr>
        <w:t>,</w:t>
      </w:r>
      <w:r w:rsidR="00413A0D">
        <w:rPr>
          <w:lang w:val="en-US"/>
        </w:rPr>
        <w:t xml:space="preserve"> the</w:t>
      </w:r>
      <w:r w:rsidR="003F0DD8">
        <w:rPr>
          <w:lang w:val="en-US"/>
        </w:rPr>
        <w:t xml:space="preserve"> </w:t>
      </w:r>
      <w:r w:rsidR="007E21DD">
        <w:rPr>
          <w:lang w:val="en-US"/>
        </w:rPr>
        <w:t>dominant</w:t>
      </w:r>
      <w:r w:rsidR="003F0DD8">
        <w:rPr>
          <w:lang w:val="en-US"/>
        </w:rPr>
        <w:t xml:space="preserve"> </w:t>
      </w:r>
      <w:r w:rsidR="00413A0D">
        <w:rPr>
          <w:lang w:val="en-US"/>
        </w:rPr>
        <w:t xml:space="preserve">owner enjoyed the right of the </w:t>
      </w:r>
      <w:r>
        <w:rPr>
          <w:lang w:val="en-US"/>
        </w:rPr>
        <w:t>servient</w:t>
      </w:r>
      <w:r w:rsidR="00FA45B5">
        <w:rPr>
          <w:lang w:val="en-US"/>
        </w:rPr>
        <w:t>`</w:t>
      </w:r>
      <w:r w:rsidR="00413A0D">
        <w:rPr>
          <w:lang w:val="en-US"/>
        </w:rPr>
        <w:t xml:space="preserve"> </w:t>
      </w:r>
      <w:r w:rsidR="00B378D4">
        <w:rPr>
          <w:lang w:val="en-US"/>
        </w:rPr>
        <w:t xml:space="preserve">owner’s </w:t>
      </w:r>
      <w:r w:rsidR="00413A0D">
        <w:rPr>
          <w:lang w:val="en-US"/>
        </w:rPr>
        <w:t xml:space="preserve">land in secret and without permission, although the payment would have been </w:t>
      </w:r>
      <w:r w:rsidR="00413A0D">
        <w:rPr>
          <w:lang w:val="en-US"/>
        </w:rPr>
        <w:lastRenderedPageBreak/>
        <w:t>proof</w:t>
      </w:r>
      <w:r>
        <w:rPr>
          <w:lang w:val="en-US"/>
        </w:rPr>
        <w:t>,</w:t>
      </w:r>
      <w:r w:rsidR="00413A0D">
        <w:rPr>
          <w:lang w:val="en-US"/>
        </w:rPr>
        <w:t xml:space="preserve"> the</w:t>
      </w:r>
      <w:r w:rsidR="003F0DD8">
        <w:rPr>
          <w:lang w:val="en-US"/>
        </w:rPr>
        <w:t xml:space="preserve"> </w:t>
      </w:r>
      <w:r w:rsidR="007E21DD">
        <w:rPr>
          <w:lang w:val="en-US"/>
        </w:rPr>
        <w:t>servient</w:t>
      </w:r>
      <w:r w:rsidR="003F0DD8">
        <w:rPr>
          <w:lang w:val="en-US"/>
        </w:rPr>
        <w:t xml:space="preserve"> </w:t>
      </w:r>
      <w:r w:rsidR="00413A0D">
        <w:rPr>
          <w:lang w:val="en-US"/>
        </w:rPr>
        <w:t>owner knew about it</w:t>
      </w:r>
      <w:r>
        <w:rPr>
          <w:lang w:val="en-US"/>
        </w:rPr>
        <w:t>.</w:t>
      </w:r>
      <w:r w:rsidR="00F13477">
        <w:rPr>
          <w:lang w:val="en-US"/>
        </w:rPr>
        <w:t xml:space="preserve"> </w:t>
      </w:r>
      <w:r>
        <w:rPr>
          <w:lang w:val="en-US"/>
        </w:rPr>
        <w:t>T</w:t>
      </w:r>
      <w:r w:rsidR="00F13477" w:rsidRPr="006C499E">
        <w:rPr>
          <w:lang w:val="en-US"/>
        </w:rPr>
        <w:t>he</w:t>
      </w:r>
      <w:r w:rsidR="00413A0D" w:rsidRPr="006C499E">
        <w:rPr>
          <w:lang w:val="en-US"/>
        </w:rPr>
        <w:t xml:space="preserve"> acquisition of a prescriptive easement will not be stopped by simple </w:t>
      </w:r>
      <w:r w:rsidR="00413A0D">
        <w:rPr>
          <w:lang w:val="en-US"/>
        </w:rPr>
        <w:t xml:space="preserve">consent </w:t>
      </w:r>
      <w:r w:rsidR="00413A0D" w:rsidRPr="006C499E">
        <w:rPr>
          <w:lang w:val="en-US"/>
        </w:rPr>
        <w:t xml:space="preserve">without </w:t>
      </w:r>
      <w:r w:rsidR="00413A0D">
        <w:rPr>
          <w:lang w:val="en-US"/>
        </w:rPr>
        <w:t xml:space="preserve">a </w:t>
      </w:r>
      <w:r w:rsidR="00413A0D" w:rsidRPr="006C499E">
        <w:rPr>
          <w:lang w:val="en-US"/>
        </w:rPr>
        <w:t>complaint</w:t>
      </w:r>
      <w:r w:rsidR="00B378D4">
        <w:rPr>
          <w:lang w:val="en-US"/>
        </w:rPr>
        <w:t>,</w:t>
      </w:r>
      <w:r w:rsidR="00413A0D">
        <w:rPr>
          <w:lang w:val="en-US"/>
        </w:rPr>
        <w:t xml:space="preserve"> so, in this situation it is not possible to acquire an easement through the lost modern grant or s2 of the PA 1832, and because the time had run out. </w:t>
      </w:r>
      <w:bookmarkStart w:id="5" w:name="_Hlk116591811"/>
    </w:p>
    <w:p w14:paraId="2B2DCE25" w14:textId="77777777" w:rsidR="0040541B" w:rsidRDefault="0040541B">
      <w:pPr>
        <w:rPr>
          <w:b/>
          <w:bCs/>
        </w:rPr>
      </w:pPr>
    </w:p>
    <w:p w14:paraId="0BD9252D" w14:textId="4E7053E1" w:rsidR="0040541B" w:rsidRDefault="00593C57">
      <w:pPr>
        <w:rPr>
          <w:b/>
          <w:bCs/>
        </w:rPr>
      </w:pPr>
      <w:r w:rsidRPr="00593C57">
        <w:rPr>
          <w:lang w:val="en-US"/>
        </w:rPr>
        <w:t>In</w:t>
      </w:r>
      <w:r>
        <w:rPr>
          <w:b/>
          <w:bCs/>
          <w:lang w:val="en-US"/>
        </w:rPr>
        <w:t xml:space="preserve"> </w:t>
      </w:r>
      <w:r>
        <w:t>u</w:t>
      </w:r>
      <w:r w:rsidR="008125E2" w:rsidRPr="008125E2">
        <w:t>nregistered land</w:t>
      </w:r>
      <w:r>
        <w:t>,</w:t>
      </w:r>
      <w:r w:rsidR="008125E2" w:rsidRPr="008125E2">
        <w:t xml:space="preserve"> the</w:t>
      </w:r>
      <w:r w:rsidR="00FA45B5">
        <w:t xml:space="preserve"> servient</w:t>
      </w:r>
      <w:r w:rsidR="0037618E">
        <w:t xml:space="preserve"> </w:t>
      </w:r>
      <w:r w:rsidR="008125E2" w:rsidRPr="008125E2">
        <w:t xml:space="preserve">owner would have to prove </w:t>
      </w:r>
      <w:r w:rsidR="00680DC5">
        <w:t>that there is something in the deed that has a restriction on the dominant land</w:t>
      </w:r>
      <w:r w:rsidR="003F0DD8">
        <w:t>,</w:t>
      </w:r>
      <w:r w:rsidR="00680DC5">
        <w:t xml:space="preserve"> </w:t>
      </w:r>
      <w:r w:rsidR="008125E2" w:rsidRPr="008125E2">
        <w:t>this can be quite difficult to prove</w:t>
      </w:r>
      <w:r w:rsidR="00DE6385">
        <w:t>,</w:t>
      </w:r>
      <w:r w:rsidR="008125E2" w:rsidRPr="008125E2">
        <w:t xml:space="preserve"> as the real proof is in the title deed, and </w:t>
      </w:r>
      <w:r w:rsidR="005B536F">
        <w:t xml:space="preserve">deeds </w:t>
      </w:r>
      <w:r w:rsidR="008125E2" w:rsidRPr="008125E2">
        <w:t xml:space="preserve">sometimes can get lost over </w:t>
      </w:r>
      <w:r w:rsidR="00DE6385" w:rsidRPr="008125E2">
        <w:t>time</w:t>
      </w:r>
      <w:r w:rsidR="00DE6385">
        <w:t xml:space="preserve">. </w:t>
      </w:r>
      <w:r w:rsidR="00DE6385" w:rsidRPr="008125E2">
        <w:t>The</w:t>
      </w:r>
      <w:r w:rsidR="008125E2" w:rsidRPr="008125E2">
        <w:t xml:space="preserve"> </w:t>
      </w:r>
      <w:r w:rsidR="00FA45B5">
        <w:t xml:space="preserve">dominant </w:t>
      </w:r>
      <w:r w:rsidR="008125E2" w:rsidRPr="008125E2">
        <w:t xml:space="preserve">owners </w:t>
      </w:r>
      <w:r w:rsidR="0037618E">
        <w:t xml:space="preserve">would </w:t>
      </w:r>
      <w:r w:rsidR="008125E2" w:rsidRPr="008125E2">
        <w:t>have to prove they have had p</w:t>
      </w:r>
      <w:r w:rsidR="004425C4">
        <w:t>ermission</w:t>
      </w:r>
      <w:r w:rsidR="008125E2" w:rsidRPr="008125E2">
        <w:t xml:space="preserve"> of the land without disturbance</w:t>
      </w:r>
      <w:r w:rsidR="0037618E">
        <w:t xml:space="preserve"> for 20 years</w:t>
      </w:r>
      <w:r w:rsidR="004425C4">
        <w:t>,</w:t>
      </w:r>
      <w:r w:rsidR="0037618E">
        <w:t xml:space="preserve"> </w:t>
      </w:r>
      <w:r w:rsidR="008125E2" w:rsidRPr="008125E2">
        <w:t xml:space="preserve">Harris and </w:t>
      </w:r>
      <w:proofErr w:type="spellStart"/>
      <w:r w:rsidR="008125E2" w:rsidRPr="008125E2">
        <w:t>Rodell</w:t>
      </w:r>
      <w:proofErr w:type="spellEnd"/>
      <w:r w:rsidR="008125E2" w:rsidRPr="008125E2">
        <w:t xml:space="preserve"> (2022, p. 5)</w:t>
      </w:r>
      <w:r w:rsidR="00A07FDB">
        <w:rPr>
          <w:b/>
          <w:bCs/>
        </w:rPr>
        <w:t>.</w:t>
      </w:r>
      <w:r w:rsidR="008125E2" w:rsidRPr="008125E2">
        <w:rPr>
          <w:b/>
          <w:bCs/>
        </w:rPr>
        <w:t xml:space="preserve"> </w:t>
      </w:r>
      <w:bookmarkEnd w:id="5"/>
      <w:r w:rsidR="000000D5" w:rsidRPr="00B22F60">
        <w:t>The land registry</w:t>
      </w:r>
      <w:r w:rsidR="000000D5">
        <w:rPr>
          <w:b/>
          <w:bCs/>
        </w:rPr>
        <w:t xml:space="preserve"> </w:t>
      </w:r>
      <w:r w:rsidR="000000D5" w:rsidRPr="000000D5">
        <w:t>is there for everything to be stored in one place electronically</w:t>
      </w:r>
      <w:r w:rsidR="001D03B5">
        <w:t>,</w:t>
      </w:r>
      <w:r w:rsidR="000000D5" w:rsidRPr="000000D5">
        <w:t xml:space="preserve"> </w:t>
      </w:r>
      <w:r w:rsidR="005B536F">
        <w:t xml:space="preserve">just </w:t>
      </w:r>
      <w:r w:rsidR="005B536F" w:rsidRPr="000000D5">
        <w:t>encase</w:t>
      </w:r>
      <w:r w:rsidR="000000D5" w:rsidRPr="000000D5">
        <w:t xml:space="preserve"> deeds get lost.</w:t>
      </w:r>
    </w:p>
    <w:p w14:paraId="0E97B5E5" w14:textId="77777777" w:rsidR="0040541B" w:rsidRDefault="0040541B">
      <w:pPr>
        <w:rPr>
          <w:b/>
          <w:bCs/>
        </w:rPr>
      </w:pPr>
    </w:p>
    <w:p w14:paraId="38737271" w14:textId="2473EEAA" w:rsidR="00DE6385" w:rsidRPr="0040541B" w:rsidRDefault="00970AD7">
      <w:pPr>
        <w:rPr>
          <w:b/>
          <w:bCs/>
        </w:rPr>
      </w:pPr>
      <w:r w:rsidRPr="00970AD7">
        <w:rPr>
          <w:b/>
          <w:bCs/>
          <w:lang w:val="en-US"/>
        </w:rPr>
        <w:t>Conclusion</w:t>
      </w:r>
      <w:r w:rsidR="00DE6385" w:rsidRPr="00DE6385">
        <w:t xml:space="preserve"> </w:t>
      </w:r>
    </w:p>
    <w:p w14:paraId="502BD0F2" w14:textId="48FBADA5" w:rsidR="00875C23" w:rsidRPr="00DE6385" w:rsidRDefault="00DE6385" w:rsidP="00A07FDB">
      <w:pPr>
        <w:rPr>
          <w:lang w:val="en-US"/>
        </w:rPr>
      </w:pPr>
      <w:r w:rsidRPr="00DE6385">
        <w:rPr>
          <w:lang w:val="en-US"/>
        </w:rPr>
        <w:t>According to Braithwaite</w:t>
      </w:r>
      <w:r w:rsidR="003C567E">
        <w:rPr>
          <w:lang w:val="en-US"/>
        </w:rPr>
        <w:t xml:space="preserve"> </w:t>
      </w:r>
      <w:r w:rsidRPr="00DE6385">
        <w:rPr>
          <w:lang w:val="en-US"/>
        </w:rPr>
        <w:t>2017</w:t>
      </w:r>
      <w:r>
        <w:rPr>
          <w:lang w:val="en-US"/>
        </w:rPr>
        <w:t>,</w:t>
      </w:r>
      <w:r w:rsidRPr="00DE6385">
        <w:rPr>
          <w:lang w:val="en-US"/>
        </w:rPr>
        <w:t xml:space="preserve"> </w:t>
      </w:r>
      <w:r>
        <w:rPr>
          <w:lang w:val="en-US"/>
        </w:rPr>
        <w:t>t</w:t>
      </w:r>
      <w:r w:rsidR="00C71C0B" w:rsidRPr="00E15757">
        <w:rPr>
          <w:lang w:val="en-US"/>
        </w:rPr>
        <w:t xml:space="preserve">he development of prescription shows the common law's advantages and disadvantages. </w:t>
      </w:r>
      <w:r w:rsidR="00564D80">
        <w:rPr>
          <w:lang w:val="en-US"/>
        </w:rPr>
        <w:t>T</w:t>
      </w:r>
      <w:r w:rsidR="00C71C0B" w:rsidRPr="00E15757">
        <w:rPr>
          <w:lang w:val="en-US"/>
        </w:rPr>
        <w:t>he common law was prepared to defend people who had long-</w:t>
      </w:r>
      <w:r w:rsidR="00C71C0B">
        <w:rPr>
          <w:lang w:val="en-US"/>
        </w:rPr>
        <w:t>use of 20years undisturbed as of right</w:t>
      </w:r>
      <w:r w:rsidR="001D03B5">
        <w:rPr>
          <w:lang w:val="en-US"/>
        </w:rPr>
        <w:t>,</w:t>
      </w:r>
      <w:r w:rsidR="00C71C0B">
        <w:rPr>
          <w:lang w:val="en-US"/>
        </w:rPr>
        <w:t xml:space="preserve"> to</w:t>
      </w:r>
      <w:r w:rsidR="00C71C0B" w:rsidRPr="00E15757">
        <w:rPr>
          <w:lang w:val="en-US"/>
        </w:rPr>
        <w:t xml:space="preserve"> establishing a legal right to defend such use</w:t>
      </w:r>
      <w:r w:rsidR="00C71C0B">
        <w:rPr>
          <w:lang w:val="en-US"/>
        </w:rPr>
        <w:t xml:space="preserve"> over somebody else is land</w:t>
      </w:r>
      <w:r w:rsidR="00C71C0B" w:rsidRPr="00E15757">
        <w:rPr>
          <w:lang w:val="en-US"/>
        </w:rPr>
        <w:t xml:space="preserve">. However, the law </w:t>
      </w:r>
      <w:r w:rsidR="00C71C0B">
        <w:rPr>
          <w:lang w:val="en-US"/>
        </w:rPr>
        <w:t>made it awkward because, they added that there should be at some time in the past</w:t>
      </w:r>
      <w:r w:rsidR="009D3220">
        <w:rPr>
          <w:lang w:val="en-US"/>
        </w:rPr>
        <w:t>,</w:t>
      </w:r>
      <w:r w:rsidR="00C71C0B">
        <w:rPr>
          <w:lang w:val="en-US"/>
        </w:rPr>
        <w:t xml:space="preserve"> a legal grant refusing to let the uninterrupted use of 20years</w:t>
      </w:r>
      <w:r w:rsidR="009D3220">
        <w:rPr>
          <w:lang w:val="en-US"/>
        </w:rPr>
        <w:t>,</w:t>
      </w:r>
      <w:r w:rsidR="00C71C0B">
        <w:rPr>
          <w:lang w:val="en-US"/>
        </w:rPr>
        <w:t xml:space="preserve"> serve itself as the basis of such a right.</w:t>
      </w:r>
      <w:r w:rsidR="00C71C0B" w:rsidRPr="00C71C0B">
        <w:t xml:space="preserve"> </w:t>
      </w:r>
      <w:bookmarkStart w:id="6" w:name="_Hlk140707466"/>
    </w:p>
    <w:bookmarkEnd w:id="6"/>
    <w:p w14:paraId="431461F7" w14:textId="77777777" w:rsidR="00875C23" w:rsidRDefault="00875C23" w:rsidP="00A07FDB">
      <w:pPr>
        <w:rPr>
          <w:b/>
          <w:bCs/>
          <w:lang w:val="en-US"/>
        </w:rPr>
      </w:pPr>
    </w:p>
    <w:p w14:paraId="369E0106" w14:textId="4B80C978" w:rsidR="0045736A" w:rsidRPr="00BB7507" w:rsidRDefault="0080199B" w:rsidP="00A07FDB">
      <w:pPr>
        <w:rPr>
          <w:b/>
          <w:bCs/>
          <w:lang w:val="en-US"/>
        </w:rPr>
      </w:pPr>
      <w:r>
        <w:rPr>
          <w:lang w:val="en-US"/>
        </w:rPr>
        <w:t>When it comes to Benefits</w:t>
      </w:r>
      <w:r w:rsidR="009D3220">
        <w:rPr>
          <w:lang w:val="en-US"/>
        </w:rPr>
        <w:t xml:space="preserve">, </w:t>
      </w:r>
      <w:r>
        <w:rPr>
          <w:lang w:val="en-US"/>
        </w:rPr>
        <w:t>burdens and fairness, it may be a big burden and will not be fair on the servient owner</w:t>
      </w:r>
      <w:r w:rsidR="009D3220">
        <w:rPr>
          <w:lang w:val="en-US"/>
        </w:rPr>
        <w:t>,</w:t>
      </w:r>
      <w:r>
        <w:rPr>
          <w:lang w:val="en-US"/>
        </w:rPr>
        <w:t xml:space="preserve"> when it comes to selling the property</w:t>
      </w:r>
      <w:r w:rsidR="009D3220">
        <w:rPr>
          <w:lang w:val="en-US"/>
        </w:rPr>
        <w:t>,</w:t>
      </w:r>
      <w:r w:rsidR="00564D80">
        <w:rPr>
          <w:lang w:val="en-US"/>
        </w:rPr>
        <w:t xml:space="preserve"> </w:t>
      </w:r>
      <w:r>
        <w:rPr>
          <w:lang w:val="en-US"/>
        </w:rPr>
        <w:t>because</w:t>
      </w:r>
      <w:r w:rsidR="009D3220">
        <w:rPr>
          <w:lang w:val="en-US"/>
        </w:rPr>
        <w:t xml:space="preserve"> </w:t>
      </w:r>
      <w:r>
        <w:rPr>
          <w:lang w:val="en-US"/>
        </w:rPr>
        <w:t>if the</w:t>
      </w:r>
      <w:r w:rsidR="00EF72D5">
        <w:rPr>
          <w:lang w:val="en-US"/>
        </w:rPr>
        <w:t>re</w:t>
      </w:r>
      <w:r>
        <w:rPr>
          <w:lang w:val="en-US"/>
        </w:rPr>
        <w:t xml:space="preserve"> is an easement on the property</w:t>
      </w:r>
      <w:r w:rsidR="009D3220">
        <w:rPr>
          <w:lang w:val="en-US"/>
        </w:rPr>
        <w:t>,</w:t>
      </w:r>
      <w:r>
        <w:rPr>
          <w:lang w:val="en-US"/>
        </w:rPr>
        <w:t xml:space="preserve"> the new owner may not want it</w:t>
      </w:r>
      <w:r w:rsidR="009D3220">
        <w:rPr>
          <w:lang w:val="en-US"/>
        </w:rPr>
        <w:t>,</w:t>
      </w:r>
      <w:r>
        <w:rPr>
          <w:lang w:val="en-US"/>
        </w:rPr>
        <w:t xml:space="preserve"> and it cannot be </w:t>
      </w:r>
      <w:r w:rsidR="00175420">
        <w:rPr>
          <w:lang w:val="en-US"/>
        </w:rPr>
        <w:t>removed whether</w:t>
      </w:r>
      <w:r>
        <w:rPr>
          <w:lang w:val="en-US"/>
        </w:rPr>
        <w:t xml:space="preserve"> </w:t>
      </w:r>
      <w:r w:rsidR="00297A21">
        <w:rPr>
          <w:lang w:val="en-US"/>
        </w:rPr>
        <w:t>it</w:t>
      </w:r>
      <w:r>
        <w:rPr>
          <w:lang w:val="en-US"/>
        </w:rPr>
        <w:t xml:space="preserve"> is lawfully or equitable.</w:t>
      </w:r>
      <w:r w:rsidR="00355CAA">
        <w:rPr>
          <w:lang w:val="en-US"/>
        </w:rPr>
        <w:t xml:space="preserve"> Bevan (201</w:t>
      </w:r>
      <w:r w:rsidR="001B0B57">
        <w:rPr>
          <w:lang w:val="en-US"/>
        </w:rPr>
        <w:t>8</w:t>
      </w:r>
      <w:r w:rsidR="00355CAA">
        <w:rPr>
          <w:lang w:val="en-US"/>
        </w:rPr>
        <w:t xml:space="preserve">). </w:t>
      </w:r>
    </w:p>
    <w:p w14:paraId="57DB62AF" w14:textId="77777777" w:rsidR="00E82169" w:rsidRDefault="00E82169" w:rsidP="00A07FDB">
      <w:pPr>
        <w:rPr>
          <w:lang w:val="en-US"/>
        </w:rPr>
      </w:pPr>
    </w:p>
    <w:p w14:paraId="542587A5" w14:textId="77777777" w:rsidR="0010738F" w:rsidRDefault="0010738F" w:rsidP="00A07FDB">
      <w:pPr>
        <w:rPr>
          <w:lang w:val="en-US"/>
        </w:rPr>
      </w:pPr>
    </w:p>
    <w:p w14:paraId="0853EE50" w14:textId="77777777" w:rsidR="00BB7507" w:rsidRDefault="00BB7507" w:rsidP="00A07FDB">
      <w:pPr>
        <w:rPr>
          <w:lang w:val="en-US"/>
        </w:rPr>
      </w:pPr>
    </w:p>
    <w:p w14:paraId="320014D9" w14:textId="77777777" w:rsidR="00BB7507" w:rsidRDefault="00BB7507" w:rsidP="00A07FDB">
      <w:pPr>
        <w:rPr>
          <w:lang w:val="en-US"/>
        </w:rPr>
      </w:pPr>
    </w:p>
    <w:p w14:paraId="6F22436D" w14:textId="77777777" w:rsidR="00BB7507" w:rsidRDefault="00BB7507" w:rsidP="00A07FDB">
      <w:pPr>
        <w:rPr>
          <w:lang w:val="en-US"/>
        </w:rPr>
      </w:pPr>
    </w:p>
    <w:p w14:paraId="4BBB2951" w14:textId="77777777" w:rsidR="002B4ACA" w:rsidRDefault="002B4ACA" w:rsidP="00A07FDB">
      <w:pPr>
        <w:rPr>
          <w:lang w:val="en-US"/>
        </w:rPr>
      </w:pPr>
    </w:p>
    <w:p w14:paraId="76A801C1" w14:textId="77777777" w:rsidR="0040541B" w:rsidRDefault="0040541B" w:rsidP="00A07FDB">
      <w:pPr>
        <w:rPr>
          <w:lang w:val="en-US"/>
        </w:rPr>
      </w:pPr>
    </w:p>
    <w:p w14:paraId="24C4F161" w14:textId="77777777" w:rsidR="0040541B" w:rsidRDefault="0040541B" w:rsidP="00A07FDB">
      <w:pPr>
        <w:rPr>
          <w:lang w:val="en-US"/>
        </w:rPr>
      </w:pPr>
    </w:p>
    <w:p w14:paraId="177CA9DD" w14:textId="77777777" w:rsidR="0040541B" w:rsidRDefault="0040541B" w:rsidP="00A07FDB">
      <w:pPr>
        <w:rPr>
          <w:lang w:val="en-US"/>
        </w:rPr>
      </w:pPr>
    </w:p>
    <w:p w14:paraId="5AC7EE00" w14:textId="77777777" w:rsidR="0040541B" w:rsidRDefault="0040541B" w:rsidP="00A07FDB">
      <w:pPr>
        <w:rPr>
          <w:lang w:val="en-US"/>
        </w:rPr>
      </w:pPr>
    </w:p>
    <w:p w14:paraId="4A8CDEFA" w14:textId="77777777" w:rsidR="0040541B" w:rsidRDefault="0040541B" w:rsidP="00A07FDB">
      <w:pPr>
        <w:rPr>
          <w:lang w:val="en-US"/>
        </w:rPr>
      </w:pPr>
    </w:p>
    <w:p w14:paraId="1DBC6F5B" w14:textId="77777777" w:rsidR="0040541B" w:rsidRDefault="0040541B" w:rsidP="00A07FDB">
      <w:pPr>
        <w:rPr>
          <w:lang w:val="en-US"/>
        </w:rPr>
      </w:pPr>
    </w:p>
    <w:p w14:paraId="33BDBED5" w14:textId="77777777" w:rsidR="00DC5EDB" w:rsidRDefault="00DC5EDB" w:rsidP="00A07FDB">
      <w:pPr>
        <w:rPr>
          <w:lang w:val="en-US"/>
        </w:rPr>
      </w:pPr>
    </w:p>
    <w:p w14:paraId="167AF928" w14:textId="77777777" w:rsidR="00DC5EDB" w:rsidRDefault="00DC5EDB" w:rsidP="00A07FDB">
      <w:pPr>
        <w:rPr>
          <w:lang w:val="en-US"/>
        </w:rPr>
      </w:pPr>
    </w:p>
    <w:p w14:paraId="705BAB4F" w14:textId="114EC8D3" w:rsidR="00A07FDB" w:rsidRDefault="00AF0FED" w:rsidP="00A07FDB">
      <w:pPr>
        <w:rPr>
          <w:lang w:val="en-US"/>
        </w:rPr>
      </w:pPr>
      <w:r>
        <w:rPr>
          <w:lang w:val="en-US"/>
        </w:rPr>
        <w:t xml:space="preserve">References </w:t>
      </w:r>
    </w:p>
    <w:p w14:paraId="159B5420" w14:textId="01BD1B60" w:rsidR="00C85F4D" w:rsidRDefault="00C85F4D" w:rsidP="00A07FDB">
      <w:pPr>
        <w:rPr>
          <w:lang w:val="en-US"/>
        </w:rPr>
      </w:pPr>
      <w:r>
        <w:rPr>
          <w:lang w:val="en-US"/>
        </w:rPr>
        <w:t xml:space="preserve">Bakewell Management Ltd v Brandwood and others` (2004) Estate Gazette Law Reports, case 15. </w:t>
      </w:r>
      <w:r w:rsidRPr="00C85F4D">
        <w:rPr>
          <w:i/>
          <w:iCs/>
          <w:lang w:val="en-US"/>
        </w:rPr>
        <w:t>Lexis</w:t>
      </w:r>
      <w:r>
        <w:rPr>
          <w:lang w:val="en-US"/>
        </w:rPr>
        <w:t xml:space="preserve">. Available at: </w:t>
      </w:r>
      <w:hyperlink r:id="rId5" w:history="1">
        <w:r w:rsidRPr="00A618EE">
          <w:rPr>
            <w:rStyle w:val="Hyperlink"/>
            <w:lang w:val="en-US"/>
          </w:rPr>
          <w:t>https://plus-lexis-com.ezproxy.uwtsd.ac.uk/uk/document/documentlink/?pdmfid=1001073&amp;crid=923aa594-3e21-43a2-98f6-5594b2f47a75&amp;pddocfullpath=%2Fshared%2Fdocument%2Fcases-uk%2Furn%3AcontentItem%3A4J44-1350-TX1N-H187-00000-00&amp;pdcontentcomponentid=289949&amp;pdproductcontenttypeid=urn%3Apct%3A285&amp;pdiskwicview=false&amp;pdpinpoint=&amp;ecomp=zk4k&amp;prid=c1de295c-f854-40ed-81ab-e3bb8156201a#</w:t>
        </w:r>
      </w:hyperlink>
      <w:r>
        <w:rPr>
          <w:lang w:val="en-US"/>
        </w:rPr>
        <w:t xml:space="preserve">  (Accessed: 21October 2022).</w:t>
      </w:r>
    </w:p>
    <w:p w14:paraId="76EDC2AC" w14:textId="1F0F17C0" w:rsidR="00355CAA" w:rsidRDefault="00355CAA" w:rsidP="00A07FDB">
      <w:pPr>
        <w:rPr>
          <w:lang w:val="en-US"/>
        </w:rPr>
      </w:pPr>
      <w:r>
        <w:rPr>
          <w:lang w:val="en-US"/>
        </w:rPr>
        <w:t>Bevan, C. (2018) `</w:t>
      </w:r>
      <w:r w:rsidRPr="00355CAA">
        <w:t xml:space="preserve"> </w:t>
      </w:r>
      <w:r w:rsidRPr="009A4C84">
        <w:rPr>
          <w:i/>
          <w:iCs/>
          <w:lang w:val="en-US"/>
        </w:rPr>
        <w:t xml:space="preserve">The Doctrine of Benefit and Burden: Reforming the Law of Covenants and the Numerus </w:t>
      </w:r>
      <w:proofErr w:type="spellStart"/>
      <w:r w:rsidRPr="009A4C84">
        <w:rPr>
          <w:i/>
          <w:iCs/>
          <w:lang w:val="en-US"/>
        </w:rPr>
        <w:t>Clausus</w:t>
      </w:r>
      <w:proofErr w:type="spellEnd"/>
      <w:r w:rsidRPr="009A4C84">
        <w:rPr>
          <w:i/>
          <w:iCs/>
          <w:lang w:val="en-US"/>
        </w:rPr>
        <w:t xml:space="preserve"> “</w:t>
      </w:r>
      <w:proofErr w:type="spellStart"/>
      <w:proofErr w:type="gramStart"/>
      <w:r w:rsidRPr="009A4C84">
        <w:rPr>
          <w:i/>
          <w:iCs/>
          <w:lang w:val="en-US"/>
        </w:rPr>
        <w:t>Problem”`</w:t>
      </w:r>
      <w:proofErr w:type="gramEnd"/>
      <w:r w:rsidRPr="009A4C84">
        <w:rPr>
          <w:i/>
          <w:iCs/>
          <w:lang w:val="en-US"/>
        </w:rPr>
        <w:t>,</w:t>
      </w:r>
      <w:r w:rsidRPr="009A4C84">
        <w:rPr>
          <w:lang w:val="en-US"/>
        </w:rPr>
        <w:t>The</w:t>
      </w:r>
      <w:proofErr w:type="spellEnd"/>
      <w:r w:rsidRPr="009A4C84">
        <w:rPr>
          <w:lang w:val="en-US"/>
        </w:rPr>
        <w:t xml:space="preserve"> Cambridge Law Journal</w:t>
      </w:r>
      <w:r w:rsidRPr="00355CAA">
        <w:rPr>
          <w:lang w:val="en-US"/>
        </w:rPr>
        <w:t>,</w:t>
      </w:r>
      <w:r>
        <w:rPr>
          <w:lang w:val="en-US"/>
        </w:rPr>
        <w:t xml:space="preserve"> 77(1)</w:t>
      </w:r>
      <w:r w:rsidR="00711602">
        <w:rPr>
          <w:lang w:val="en-US"/>
        </w:rPr>
        <w:t xml:space="preserve">, pp. 72¬96. Available at: </w:t>
      </w:r>
      <w:hyperlink r:id="rId6" w:history="1">
        <w:r w:rsidR="00711602" w:rsidRPr="00933FE9">
          <w:rPr>
            <w:rStyle w:val="Hyperlink"/>
            <w:lang w:val="en-US"/>
          </w:rPr>
          <w:t>https://plus-lexis-com.ezproxy.uwtsd.ac.uk/uk/document/?pdmfid=1001073&amp;crid=382af0d1-00a6-4ff5-b3c5-59badf89c863&amp;pddocfullpath=%2Fshared%2Fdocument%2Fanalytical-materials-uk%2Furn%3AcontentItem%3A5RYR-XX81-DY08-C2C0-00000-00&amp;pdcontentcomponentid=374818&amp;pdteaserkey=&amp;pdislpamode=false&amp;pddocumentnumber=4&amp;ecomp=tt5k&amp;earg=sr3&amp;prid=0a7b5ccf-3312-4046-9afb-d51339d90b49</w:t>
        </w:r>
      </w:hyperlink>
      <w:r w:rsidR="00711602">
        <w:rPr>
          <w:lang w:val="en-US"/>
        </w:rPr>
        <w:t xml:space="preserve">  (Accessed: 28 October 2022).</w:t>
      </w:r>
    </w:p>
    <w:p w14:paraId="50948808" w14:textId="580C8CB3" w:rsidR="0010440C" w:rsidRDefault="009B54E6" w:rsidP="00A07FDB">
      <w:pPr>
        <w:rPr>
          <w:lang w:val="en-US"/>
        </w:rPr>
      </w:pPr>
      <w:r>
        <w:rPr>
          <w:lang w:val="en-US"/>
        </w:rPr>
        <w:t xml:space="preserve">Braithwaite, </w:t>
      </w:r>
      <w:r w:rsidR="006C6E16">
        <w:rPr>
          <w:lang w:val="en-US"/>
        </w:rPr>
        <w:t>T. (2017) `</w:t>
      </w:r>
      <w:r w:rsidR="006C6E16" w:rsidRPr="009A4C84">
        <w:rPr>
          <w:i/>
          <w:iCs/>
          <w:lang w:val="en-US"/>
        </w:rPr>
        <w:t xml:space="preserve">Time &amp; </w:t>
      </w:r>
      <w:r w:rsidR="000D6B26">
        <w:rPr>
          <w:i/>
          <w:iCs/>
          <w:lang w:val="en-US"/>
        </w:rPr>
        <w:t>T</w:t>
      </w:r>
      <w:r w:rsidR="006C6E16" w:rsidRPr="009A4C84">
        <w:rPr>
          <w:i/>
          <w:iCs/>
          <w:lang w:val="en-US"/>
        </w:rPr>
        <w:t>ide</w:t>
      </w:r>
      <w:r w:rsidR="006C6E16">
        <w:rPr>
          <w:lang w:val="en-US"/>
        </w:rPr>
        <w:t xml:space="preserve">` </w:t>
      </w:r>
      <w:r w:rsidR="006C6E16" w:rsidRPr="009A4C84">
        <w:rPr>
          <w:lang w:val="en-US"/>
        </w:rPr>
        <w:t>New Law Journal</w:t>
      </w:r>
      <w:r w:rsidR="006C6E16">
        <w:rPr>
          <w:lang w:val="en-US"/>
        </w:rPr>
        <w:t>, 167(7732), p. 13.Available at:</w:t>
      </w:r>
      <w:r w:rsidR="00A50ABD">
        <w:rPr>
          <w:lang w:val="en-US"/>
        </w:rPr>
        <w:t xml:space="preserve"> </w:t>
      </w:r>
      <w:hyperlink r:id="rId7" w:history="1">
        <w:r w:rsidR="00A50ABD" w:rsidRPr="0030220C">
          <w:rPr>
            <w:rStyle w:val="Hyperlink"/>
            <w:lang w:val="en-US"/>
          </w:rPr>
          <w:t>https://plus-lexis-com.ezproxy.uwtsd.ac.uk/uk/document/?pdmfid=1001073&amp;crid=de057475-92b2-41da-8f05-cb7358c77408&amp;pddocfullpath=%2Fshared%2Fdocument%2Fanalytical-materials-uk%2Furn%3AcontentItem%3A5MSK-DDM1-DYJD-X4VG-00000-00&amp;pdcontentcomponentid=280276&amp;pdteaserkey=&amp;pdislpamode=false&amp;pddocumentnumber=9&amp;ecomp=tt5k&amp;earg=sr8&amp;prid=0357625d-a236-41e2-aa98-b5f332fc8dff</w:t>
        </w:r>
      </w:hyperlink>
      <w:r w:rsidR="00A50ABD">
        <w:rPr>
          <w:lang w:val="en-US"/>
        </w:rPr>
        <w:t xml:space="preserve"> (Accessed: 23 October 2022).</w:t>
      </w:r>
      <w:r w:rsidR="0010440C">
        <w:rPr>
          <w:lang w:val="en-US"/>
        </w:rPr>
        <w:t xml:space="preserve"> </w:t>
      </w:r>
    </w:p>
    <w:p w14:paraId="715E9EA5" w14:textId="77777777" w:rsidR="000511DA" w:rsidRDefault="0010440C" w:rsidP="00A07FDB">
      <w:pPr>
        <w:rPr>
          <w:lang w:val="en-US"/>
        </w:rPr>
      </w:pPr>
      <w:r>
        <w:rPr>
          <w:lang w:val="en-US"/>
        </w:rPr>
        <w:t>Del Mar, M. (2013) `</w:t>
      </w:r>
      <w:r w:rsidRPr="0010440C">
        <w:rPr>
          <w:lang w:val="en-US"/>
        </w:rPr>
        <w:t>Legal fictions and legal change</w:t>
      </w:r>
      <w:r>
        <w:rPr>
          <w:lang w:val="en-US"/>
        </w:rPr>
        <w:t xml:space="preserve">` </w:t>
      </w:r>
      <w:r w:rsidRPr="0010440C">
        <w:rPr>
          <w:lang w:val="en-US"/>
        </w:rPr>
        <w:t>Cambridge University Press</w:t>
      </w:r>
      <w:r>
        <w:rPr>
          <w:lang w:val="en-US"/>
        </w:rPr>
        <w:t xml:space="preserve">. Available at: </w:t>
      </w:r>
      <w:hyperlink r:id="rId8" w:history="1">
        <w:r w:rsidRPr="000D65CC">
          <w:rPr>
            <w:rStyle w:val="Hyperlink"/>
            <w:lang w:val="en-US"/>
          </w:rPr>
          <w:t>https://www.cambridge.org/core/journals/international-journal-of-law-in-context/article/abs/legal-fictions-and-legal-change/CDCDA1455D4FAD8CFA8EBBE99221DD6D</w:t>
        </w:r>
      </w:hyperlink>
      <w:r>
        <w:rPr>
          <w:lang w:val="en-US"/>
        </w:rPr>
        <w:t xml:space="preserve"> [Accessed</w:t>
      </w:r>
      <w:r w:rsidR="005841A1">
        <w:rPr>
          <w:lang w:val="en-US"/>
        </w:rPr>
        <w:t>:</w:t>
      </w:r>
      <w:r>
        <w:rPr>
          <w:lang w:val="en-US"/>
        </w:rPr>
        <w:t xml:space="preserve"> 1</w:t>
      </w:r>
      <w:r w:rsidR="003B739C">
        <w:rPr>
          <w:lang w:val="en-US"/>
        </w:rPr>
        <w:t>4</w:t>
      </w:r>
      <w:r>
        <w:rPr>
          <w:lang w:val="en-US"/>
        </w:rPr>
        <w:t xml:space="preserve"> March 2023]. </w:t>
      </w:r>
    </w:p>
    <w:p w14:paraId="3E008C55" w14:textId="0C3AE8AB" w:rsidR="009B54E6" w:rsidRDefault="000511DA" w:rsidP="00A07FDB">
      <w:pPr>
        <w:rPr>
          <w:lang w:val="en-US"/>
        </w:rPr>
      </w:pPr>
      <w:r w:rsidRPr="000511DA">
        <w:rPr>
          <w:lang w:val="en-US"/>
        </w:rPr>
        <w:t>Fox</w:t>
      </w:r>
      <w:r>
        <w:rPr>
          <w:lang w:val="en-US"/>
        </w:rPr>
        <w:t xml:space="preserve">, D (2006) ` </w:t>
      </w:r>
      <w:r w:rsidRPr="000511DA">
        <w:rPr>
          <w:i/>
          <w:iCs/>
          <w:lang w:val="en-US"/>
        </w:rPr>
        <w:t xml:space="preserve">Relativity of </w:t>
      </w:r>
      <w:r w:rsidR="000D6B26">
        <w:rPr>
          <w:i/>
          <w:iCs/>
          <w:lang w:val="en-US"/>
        </w:rPr>
        <w:t>T</w:t>
      </w:r>
      <w:r w:rsidRPr="000511DA">
        <w:rPr>
          <w:i/>
          <w:iCs/>
          <w:lang w:val="en-US"/>
        </w:rPr>
        <w:t xml:space="preserve">itle at </w:t>
      </w:r>
      <w:r w:rsidR="000D6B26">
        <w:rPr>
          <w:i/>
          <w:iCs/>
          <w:lang w:val="en-US"/>
        </w:rPr>
        <w:t>L</w:t>
      </w:r>
      <w:r w:rsidRPr="000511DA">
        <w:rPr>
          <w:i/>
          <w:iCs/>
          <w:lang w:val="en-US"/>
        </w:rPr>
        <w:t xml:space="preserve">aw and in </w:t>
      </w:r>
      <w:r w:rsidR="000D6B26">
        <w:rPr>
          <w:i/>
          <w:iCs/>
          <w:lang w:val="en-US"/>
        </w:rPr>
        <w:t>E</w:t>
      </w:r>
      <w:r w:rsidRPr="000511DA">
        <w:rPr>
          <w:i/>
          <w:iCs/>
          <w:lang w:val="en-US"/>
        </w:rPr>
        <w:t>quity</w:t>
      </w:r>
      <w:r>
        <w:rPr>
          <w:lang w:val="en-US"/>
        </w:rPr>
        <w:t xml:space="preserve"> ` </w:t>
      </w:r>
      <w:r w:rsidRPr="000511DA">
        <w:rPr>
          <w:lang w:val="en-US"/>
        </w:rPr>
        <w:t>Cambridge Law Journal</w:t>
      </w:r>
      <w:r>
        <w:rPr>
          <w:lang w:val="en-US"/>
        </w:rPr>
        <w:t xml:space="preserve">. Available at: </w:t>
      </w:r>
      <w:hyperlink r:id="rId9" w:history="1">
        <w:r w:rsidRPr="00EA58B7">
          <w:rPr>
            <w:rStyle w:val="Hyperlink"/>
            <w:lang w:val="en-US"/>
          </w:rPr>
          <w:t>https://plus-lexis-com.ezproxy.uwtsd.ac.uk/uk/document/?pdmfid=1001073&amp;crid=3729461d-86ab-4ae3-8f3e-41af120c03c3&amp;pddocfullpath=%2Fshared%2Fdocument%2Fanalytical-materials-uk%2Furn%3AcontentItem%3A556T-TCP1-DY08-C2XK-00000-00&amp;pdcontentcomponentid=374818&amp;pdteaserkey=&amp;pdislpamode=false&amp;pddocumentnumber=1&amp;ecomp=tt5k&amp;earg=sr0&amp;prid=fff7d044-a4c2-4bc5-a975-d7cbfbddedb7</w:t>
        </w:r>
      </w:hyperlink>
      <w:r>
        <w:rPr>
          <w:lang w:val="en-US"/>
        </w:rPr>
        <w:t xml:space="preserve"> (Accessed: 11 April 2023). </w:t>
      </w:r>
    </w:p>
    <w:p w14:paraId="2271D967" w14:textId="5EAD714F" w:rsidR="003C06FF" w:rsidRDefault="003C06FF" w:rsidP="00A07FDB">
      <w:pPr>
        <w:rPr>
          <w:lang w:val="en-US"/>
        </w:rPr>
      </w:pPr>
      <w:r>
        <w:rPr>
          <w:lang w:val="en-US"/>
        </w:rPr>
        <w:t xml:space="preserve">Gray, K. and Gray </w:t>
      </w:r>
      <w:r w:rsidR="00982E23">
        <w:rPr>
          <w:lang w:val="en-US"/>
        </w:rPr>
        <w:t>S.F. (</w:t>
      </w:r>
      <w:r>
        <w:rPr>
          <w:lang w:val="en-US"/>
        </w:rPr>
        <w:t xml:space="preserve">2011) </w:t>
      </w:r>
      <w:r w:rsidRPr="003C06FF">
        <w:rPr>
          <w:i/>
          <w:iCs/>
          <w:lang w:val="en-US"/>
        </w:rPr>
        <w:t>Land Law. Oxford</w:t>
      </w:r>
      <w:r>
        <w:rPr>
          <w:lang w:val="en-US"/>
        </w:rPr>
        <w:t>: University Press.</w:t>
      </w:r>
    </w:p>
    <w:p w14:paraId="5BB08D57" w14:textId="16A9B33E" w:rsidR="00A07FDB" w:rsidRPr="00A07FDB" w:rsidRDefault="00A07FDB" w:rsidP="00A07FDB">
      <w:r w:rsidRPr="00A07FDB">
        <w:t xml:space="preserve">Harris, C. and </w:t>
      </w:r>
      <w:proofErr w:type="spellStart"/>
      <w:r w:rsidRPr="00A07FDB">
        <w:t>Rodell</w:t>
      </w:r>
      <w:proofErr w:type="spellEnd"/>
      <w:r w:rsidRPr="00A07FDB">
        <w:t xml:space="preserve">, A. (2022) </w:t>
      </w:r>
      <w:r w:rsidRPr="009A4C84">
        <w:t>Property law and practice</w:t>
      </w:r>
      <w:r w:rsidRPr="00A07FDB">
        <w:rPr>
          <w:i/>
          <w:iCs/>
        </w:rPr>
        <w:t xml:space="preserve">. </w:t>
      </w:r>
      <w:r w:rsidRPr="00A07FDB">
        <w:t>Birmingham, Guildford: The University of Law 22</w:t>
      </w:r>
      <w:r w:rsidR="003517E6">
        <w:t>.</w:t>
      </w:r>
    </w:p>
    <w:p w14:paraId="5BE76B95" w14:textId="77777777" w:rsidR="00911C15" w:rsidRDefault="00AF0FED" w:rsidP="00360521">
      <w:pPr>
        <w:rPr>
          <w:rFonts w:ascii="Times New Roman" w:eastAsia="Times New Roman" w:hAnsi="Times New Roman" w:cs="Times New Roman"/>
          <w:sz w:val="24"/>
          <w:szCs w:val="24"/>
          <w:lang w:eastAsia="en-GB"/>
        </w:rPr>
      </w:pPr>
      <w:proofErr w:type="spellStart"/>
      <w:r w:rsidRPr="00AF0FED">
        <w:rPr>
          <w:lang w:val="en-US"/>
        </w:rPr>
        <w:t>Helling</w:t>
      </w:r>
      <w:proofErr w:type="spellEnd"/>
      <w:r w:rsidRPr="00AF0FED">
        <w:rPr>
          <w:lang w:val="en-US"/>
        </w:rPr>
        <w:t xml:space="preserve"> </w:t>
      </w:r>
      <w:r>
        <w:rPr>
          <w:lang w:val="en-US"/>
        </w:rPr>
        <w:t xml:space="preserve">A. </w:t>
      </w:r>
      <w:r w:rsidRPr="00AF0FED">
        <w:rPr>
          <w:lang w:val="en-US"/>
        </w:rPr>
        <w:t xml:space="preserve">(2020). Fee Simple | Real Estate Definition &amp; Example | </w:t>
      </w:r>
      <w:proofErr w:type="spellStart"/>
      <w:r w:rsidRPr="00AF0FED">
        <w:rPr>
          <w:lang w:val="en-US"/>
        </w:rPr>
        <w:t>REthority</w:t>
      </w:r>
      <w:proofErr w:type="spellEnd"/>
      <w:r w:rsidRPr="00AF0FED">
        <w:rPr>
          <w:lang w:val="en-US"/>
        </w:rPr>
        <w:t>.</w:t>
      </w:r>
      <w:r w:rsidR="005311B6">
        <w:rPr>
          <w:lang w:val="en-US"/>
        </w:rPr>
        <w:t xml:space="preserve"> </w:t>
      </w:r>
      <w:r w:rsidRPr="00AF0FED">
        <w:rPr>
          <w:lang w:val="en-US"/>
        </w:rPr>
        <w:t xml:space="preserve">rethority.com. Available at: </w:t>
      </w:r>
      <w:hyperlink r:id="rId10" w:anchor=":~:text=Fee%20simple%20is%20a%20form%20of%20ownership%20that" w:history="1">
        <w:r w:rsidRPr="000B1DF9">
          <w:rPr>
            <w:rStyle w:val="Hyperlink"/>
            <w:lang w:val="en-US"/>
          </w:rPr>
          <w:t>https://rethority.com/fee-simple/#:~:text=Fee%20simple%20is%20a%20form%20of%20ownership%20that</w:t>
        </w:r>
      </w:hyperlink>
      <w:r w:rsidRPr="00AF0FED">
        <w:rPr>
          <w:lang w:val="en-US"/>
        </w:rPr>
        <w:t>.</w:t>
      </w:r>
      <w:r>
        <w:rPr>
          <w:lang w:val="en-US"/>
        </w:rPr>
        <w:t xml:space="preserve"> (Accessed: 16 October 2022).</w:t>
      </w:r>
      <w:r w:rsidR="00360521" w:rsidRPr="00360521">
        <w:rPr>
          <w:rFonts w:ascii="Times New Roman" w:eastAsia="Times New Roman" w:hAnsi="Times New Roman" w:cs="Times New Roman"/>
          <w:sz w:val="24"/>
          <w:szCs w:val="24"/>
          <w:lang w:eastAsia="en-GB"/>
        </w:rPr>
        <w:t xml:space="preserve"> </w:t>
      </w:r>
    </w:p>
    <w:p w14:paraId="4FB2A63D" w14:textId="66CBA6FE" w:rsidR="00360521" w:rsidRDefault="00911C15" w:rsidP="00360521">
      <w:pPr>
        <w:rPr>
          <w:rFonts w:ascii="Times New Roman" w:eastAsia="Times New Roman" w:hAnsi="Times New Roman" w:cs="Times New Roman"/>
          <w:sz w:val="24"/>
          <w:szCs w:val="24"/>
          <w:lang w:eastAsia="en-GB"/>
        </w:rPr>
      </w:pPr>
      <w:r w:rsidRPr="00360521">
        <w:t>HM Land Registry</w:t>
      </w:r>
      <w:r>
        <w:t xml:space="preserve"> (2023) `</w:t>
      </w:r>
      <w:r w:rsidR="006B06ED" w:rsidRPr="006B06ED">
        <w:t xml:space="preserve"> Practice guide 8: execution of deeds</w:t>
      </w:r>
      <w:r w:rsidR="006B06ED">
        <w:t xml:space="preserve"> ` GOV.UK. Available at:</w:t>
      </w:r>
      <w:r w:rsidR="006B06ED" w:rsidRPr="006B06ED">
        <w:t xml:space="preserve"> </w:t>
      </w:r>
      <w:hyperlink r:id="rId11" w:history="1">
        <w:r w:rsidR="006B06ED" w:rsidRPr="00045DA4">
          <w:rPr>
            <w:rStyle w:val="Hyperlink"/>
          </w:rPr>
          <w:t>https://www.gov.uk/government/publications/execution-of-deeds/practice-guide-8-execution-of-deeds</w:t>
        </w:r>
      </w:hyperlink>
      <w:r w:rsidR="006B06ED">
        <w:t xml:space="preserve"> (Accessed: 11 April 2023).</w:t>
      </w:r>
    </w:p>
    <w:p w14:paraId="795FA3F7" w14:textId="7137F277" w:rsidR="000A3E5A" w:rsidRDefault="00360521" w:rsidP="000A3E5A">
      <w:pPr>
        <w:rPr>
          <w:rFonts w:ascii="Times New Roman" w:eastAsia="Times New Roman" w:hAnsi="Times New Roman" w:cs="Times New Roman"/>
          <w:sz w:val="24"/>
          <w:szCs w:val="24"/>
          <w:lang w:eastAsia="en-GB"/>
        </w:rPr>
      </w:pPr>
      <w:bookmarkStart w:id="7" w:name="_Hlk132145596"/>
      <w:r w:rsidRPr="00360521">
        <w:lastRenderedPageBreak/>
        <w:t xml:space="preserve">HM Land Registry </w:t>
      </w:r>
      <w:bookmarkEnd w:id="7"/>
      <w:r w:rsidRPr="00360521">
        <w:t>(2016)</w:t>
      </w:r>
      <w:r w:rsidR="00E63B4D">
        <w:t xml:space="preserve"> `</w:t>
      </w:r>
      <w:r w:rsidRPr="00E63B4D">
        <w:t>Practice guide 62: easements</w:t>
      </w:r>
      <w:r w:rsidR="00E63B4D">
        <w:t>`</w:t>
      </w:r>
      <w:r w:rsidRPr="00360521">
        <w:t xml:space="preserve"> GOV.UK. Available at: </w:t>
      </w:r>
      <w:hyperlink r:id="rId12" w:history="1">
        <w:r w:rsidRPr="00360521">
          <w:rPr>
            <w:rStyle w:val="Hyperlink"/>
          </w:rPr>
          <w:t>https://www.gov.uk/government/publications/easements/practice-guide-62-easements</w:t>
        </w:r>
      </w:hyperlink>
      <w:r w:rsidRPr="00360521">
        <w:t xml:space="preserve"> [Accessed: 12 October 2022].</w:t>
      </w:r>
      <w:r w:rsidR="000A3E5A" w:rsidRPr="000A3E5A">
        <w:rPr>
          <w:rFonts w:ascii="Times New Roman" w:eastAsia="Times New Roman" w:hAnsi="Times New Roman" w:cs="Times New Roman"/>
          <w:sz w:val="24"/>
          <w:szCs w:val="24"/>
          <w:lang w:eastAsia="en-GB"/>
        </w:rPr>
        <w:t xml:space="preserve"> </w:t>
      </w:r>
    </w:p>
    <w:p w14:paraId="5116798A" w14:textId="7FDE5251" w:rsidR="005F2D00" w:rsidRDefault="000A3E5A" w:rsidP="000A3E5A">
      <w:r w:rsidRPr="000A3E5A">
        <w:rPr>
          <w:rFonts w:eastAsia="Times New Roman"/>
          <w:lang w:eastAsia="en-GB"/>
        </w:rPr>
        <w:t>Laughton</w:t>
      </w:r>
      <w:r w:rsidR="00E46D0F">
        <w:rPr>
          <w:rFonts w:eastAsia="Times New Roman"/>
          <w:lang w:eastAsia="en-GB"/>
        </w:rPr>
        <w:t xml:space="preserve">, S. </w:t>
      </w:r>
      <w:r w:rsidRPr="000A3E5A">
        <w:rPr>
          <w:rFonts w:eastAsia="Times New Roman"/>
          <w:lang w:eastAsia="en-GB"/>
        </w:rPr>
        <w:t xml:space="preserve">(2020). </w:t>
      </w:r>
      <w:r w:rsidRPr="009A4C84">
        <w:rPr>
          <w:rFonts w:eastAsia="Times New Roman"/>
          <w:lang w:eastAsia="en-GB"/>
        </w:rPr>
        <w:t>easements.</w:t>
      </w:r>
      <w:r w:rsidRPr="000A3E5A">
        <w:rPr>
          <w:rFonts w:eastAsia="Times New Roman"/>
          <w:lang w:eastAsia="en-GB"/>
        </w:rPr>
        <w:t xml:space="preserve">signon.thomsonreuters.com. Available at: </w:t>
      </w:r>
      <w:hyperlink r:id="rId13" w:history="1">
        <w:r w:rsidRPr="0030220C">
          <w:rPr>
            <w:rStyle w:val="Hyperlink"/>
            <w:rFonts w:eastAsia="Times New Roman"/>
            <w:lang w:eastAsia="en-GB"/>
          </w:rPr>
          <w:t>https://uk.westlaw.com/Document/I5E8E55E0908611E29FF8D324E49DFB2F/View/FullText.html?ppcid=5be864dd3aee47fb95ab32b88590e27c&amp;originationContext=ukCommentaryReferences&amp;transitionType=Default&amp;contextData=%28sc.DocLink%29&amp;comp=wluk</w:t>
        </w:r>
      </w:hyperlink>
      <w:r w:rsidRPr="000A3E5A">
        <w:rPr>
          <w:rFonts w:eastAsia="Times New Roman"/>
          <w:lang w:eastAsia="en-GB"/>
        </w:rPr>
        <w:t xml:space="preserve"> </w:t>
      </w:r>
      <w:r>
        <w:rPr>
          <w:rFonts w:eastAsia="Times New Roman"/>
          <w:lang w:eastAsia="en-GB"/>
        </w:rPr>
        <w:t xml:space="preserve"> (Accessed: 14 October 2022).</w:t>
      </w:r>
      <w:r w:rsidR="005F2D00" w:rsidRPr="005F2D00">
        <w:t xml:space="preserve"> </w:t>
      </w:r>
    </w:p>
    <w:p w14:paraId="15360BCF" w14:textId="1C531E8E" w:rsidR="000A3E5A" w:rsidRDefault="005F2D00" w:rsidP="000A3E5A">
      <w:pPr>
        <w:rPr>
          <w:rFonts w:eastAsia="Times New Roman"/>
          <w:lang w:eastAsia="en-GB"/>
        </w:rPr>
      </w:pPr>
      <w:r w:rsidRPr="005F2D00">
        <w:rPr>
          <w:rFonts w:eastAsia="Times New Roman"/>
          <w:lang w:eastAsia="en-GB"/>
        </w:rPr>
        <w:t xml:space="preserve">Lord Walker of </w:t>
      </w:r>
      <w:proofErr w:type="spellStart"/>
      <w:r w:rsidRPr="005F2D00">
        <w:rPr>
          <w:rFonts w:eastAsia="Times New Roman"/>
          <w:lang w:eastAsia="en-GB"/>
        </w:rPr>
        <w:t>Gestingthorpe</w:t>
      </w:r>
      <w:proofErr w:type="spellEnd"/>
      <w:r>
        <w:rPr>
          <w:rFonts w:eastAsia="Times New Roman"/>
          <w:lang w:eastAsia="en-GB"/>
        </w:rPr>
        <w:t xml:space="preserve"> (2016) `</w:t>
      </w:r>
      <w:r w:rsidRPr="005F2D00">
        <w:rPr>
          <w:rFonts w:eastAsia="Times New Roman"/>
          <w:lang w:eastAsia="en-GB"/>
        </w:rPr>
        <w:t>As If…'—The Wonderland of Statutory Hypotheses</w:t>
      </w:r>
      <w:r>
        <w:rPr>
          <w:rFonts w:eastAsia="Times New Roman"/>
          <w:lang w:eastAsia="en-GB"/>
        </w:rPr>
        <w:t>`</w:t>
      </w:r>
      <w:r w:rsidR="00E63B4D" w:rsidRPr="00E63B4D">
        <w:t xml:space="preserve"> </w:t>
      </w:r>
      <w:r w:rsidR="00E63B4D" w:rsidRPr="00E63B4D">
        <w:rPr>
          <w:rFonts w:eastAsia="Times New Roman"/>
          <w:lang w:eastAsia="en-GB"/>
        </w:rPr>
        <w:t>Statute Law Review</w:t>
      </w:r>
      <w:r w:rsidR="00E63B4D">
        <w:rPr>
          <w:rFonts w:eastAsia="Times New Roman"/>
          <w:lang w:eastAsia="en-GB"/>
        </w:rPr>
        <w:t xml:space="preserve">. Available at: </w:t>
      </w:r>
      <w:hyperlink r:id="rId14" w:history="1">
        <w:r w:rsidR="00E63B4D" w:rsidRPr="00D2411D">
          <w:rPr>
            <w:rStyle w:val="Hyperlink"/>
            <w:rFonts w:eastAsia="Times New Roman"/>
            <w:lang w:eastAsia="en-GB"/>
          </w:rPr>
          <w:t>https://plus-lexis-com.ezproxy.uwtsd.ac.uk/uk/document/?pdmfid=1001073&amp;crid=4a10ba7c-ec3a-4b06-88e3-198d74c37ebe&amp;pddocfullpath=%2Fshared%2Fdocument%2Fanalytical-materials-uk%2Furn%3AcontentItem%3A5M4V-TH01-F078-H0W6-00000-00&amp;pdcontentcomponentid=302219&amp;pdteaserkey=&amp;pdislpamode=false&amp;pddocumentnumber=2&amp;ecomp=ht5k&amp;earg=sr1&amp;prid=3c3a9c77-4ffc-483e-bd08-8f572caa64a4</w:t>
        </w:r>
      </w:hyperlink>
      <w:r w:rsidR="00E63B4D">
        <w:rPr>
          <w:rFonts w:eastAsia="Times New Roman"/>
          <w:lang w:eastAsia="en-GB"/>
        </w:rPr>
        <w:t xml:space="preserve"> (Accessed</w:t>
      </w:r>
      <w:r w:rsidR="005841A1">
        <w:rPr>
          <w:rFonts w:eastAsia="Times New Roman"/>
          <w:lang w:eastAsia="en-GB"/>
        </w:rPr>
        <w:t>:</w:t>
      </w:r>
      <w:r w:rsidR="00E63B4D">
        <w:rPr>
          <w:rFonts w:eastAsia="Times New Roman"/>
          <w:lang w:eastAsia="en-GB"/>
        </w:rPr>
        <w:t xml:space="preserve"> 14 March 2023].</w:t>
      </w:r>
    </w:p>
    <w:p w14:paraId="3C8EEA8D" w14:textId="77777777" w:rsidR="001D10AA" w:rsidRDefault="00DF7A0B">
      <w:proofErr w:type="spellStart"/>
      <w:r>
        <w:rPr>
          <w:lang w:val="en-US"/>
        </w:rPr>
        <w:t>Mcfarlane</w:t>
      </w:r>
      <w:proofErr w:type="spellEnd"/>
      <w:r>
        <w:rPr>
          <w:lang w:val="en-US"/>
        </w:rPr>
        <w:t xml:space="preserve">, B., Hopkins, N. and </w:t>
      </w:r>
      <w:proofErr w:type="spellStart"/>
      <w:r>
        <w:rPr>
          <w:lang w:val="en-US"/>
        </w:rPr>
        <w:t>Nield</w:t>
      </w:r>
      <w:proofErr w:type="spellEnd"/>
      <w:r>
        <w:rPr>
          <w:lang w:val="en-US"/>
        </w:rPr>
        <w:t>, S. (20</w:t>
      </w:r>
      <w:r w:rsidR="003C18E0">
        <w:rPr>
          <w:lang w:val="en-US"/>
        </w:rPr>
        <w:t>21</w:t>
      </w:r>
      <w:r>
        <w:rPr>
          <w:lang w:val="en-US"/>
        </w:rPr>
        <w:t xml:space="preserve">) </w:t>
      </w:r>
      <w:r w:rsidRPr="00DF7A0B">
        <w:rPr>
          <w:i/>
          <w:iCs/>
          <w:lang w:val="en-US"/>
        </w:rPr>
        <w:t>Land Law</w:t>
      </w:r>
      <w:r>
        <w:rPr>
          <w:i/>
          <w:iCs/>
          <w:lang w:val="en-US"/>
        </w:rPr>
        <w:t>.</w:t>
      </w:r>
      <w:r w:rsidR="003C18E0">
        <w:rPr>
          <w:lang w:val="en-US"/>
        </w:rPr>
        <w:t>5</w:t>
      </w:r>
      <w:r w:rsidR="002D6CAC" w:rsidRPr="002D6CAC">
        <w:rPr>
          <w:vertAlign w:val="superscript"/>
          <w:lang w:val="en-US"/>
        </w:rPr>
        <w:t>th</w:t>
      </w:r>
      <w:r w:rsidR="002D6CAC" w:rsidRPr="002D6CAC">
        <w:rPr>
          <w:lang w:val="en-US"/>
        </w:rPr>
        <w:t xml:space="preserve"> </w:t>
      </w:r>
      <w:proofErr w:type="spellStart"/>
      <w:r w:rsidR="002D6CAC" w:rsidRPr="002D6CAC">
        <w:rPr>
          <w:lang w:val="en-US"/>
        </w:rPr>
        <w:t>edn</w:t>
      </w:r>
      <w:proofErr w:type="spellEnd"/>
      <w:r w:rsidR="002D6CAC">
        <w:rPr>
          <w:lang w:val="en-US"/>
        </w:rPr>
        <w:t>.</w:t>
      </w:r>
      <w:r>
        <w:rPr>
          <w:i/>
          <w:iCs/>
          <w:lang w:val="en-US"/>
        </w:rPr>
        <w:t xml:space="preserve"> </w:t>
      </w:r>
      <w:r w:rsidRPr="00DF7A0B">
        <w:rPr>
          <w:lang w:val="en-US"/>
        </w:rPr>
        <w:t>OXFORD</w:t>
      </w:r>
      <w:r>
        <w:rPr>
          <w:lang w:val="en-US"/>
        </w:rPr>
        <w:t>: University press</w:t>
      </w:r>
      <w:r w:rsidR="002D6CAC">
        <w:rPr>
          <w:lang w:val="en-US"/>
        </w:rPr>
        <w:t>.</w:t>
      </w:r>
      <w:r w:rsidR="00B90D02" w:rsidRPr="00B90D02">
        <w:t xml:space="preserve"> </w:t>
      </w:r>
    </w:p>
    <w:p w14:paraId="02B50AFC" w14:textId="4A689D9D" w:rsidR="006B06ED" w:rsidRDefault="005F2D00">
      <w:pPr>
        <w:rPr>
          <w:lang w:val="en-US"/>
        </w:rPr>
      </w:pPr>
      <w:r w:rsidRPr="005F2D00">
        <w:rPr>
          <w:lang w:val="en-US"/>
        </w:rPr>
        <w:t>Nash</w:t>
      </w:r>
      <w:r>
        <w:rPr>
          <w:lang w:val="en-US"/>
        </w:rPr>
        <w:t>, M. (1989). `</w:t>
      </w:r>
      <w:r w:rsidRPr="005F2D00">
        <w:t xml:space="preserve"> </w:t>
      </w:r>
      <w:r w:rsidRPr="000D6B26">
        <w:rPr>
          <w:i/>
          <w:iCs/>
          <w:lang w:val="en-US"/>
        </w:rPr>
        <w:t>1189</w:t>
      </w:r>
      <w:r w:rsidRPr="00230CAC">
        <w:rPr>
          <w:i/>
          <w:iCs/>
          <w:lang w:val="en-US"/>
        </w:rPr>
        <w:t xml:space="preserve"> and </w:t>
      </w:r>
      <w:r w:rsidR="000D6B26" w:rsidRPr="00230CAC">
        <w:rPr>
          <w:i/>
          <w:iCs/>
          <w:lang w:val="en-US"/>
        </w:rPr>
        <w:t>the</w:t>
      </w:r>
      <w:r w:rsidR="000D6B26">
        <w:rPr>
          <w:i/>
          <w:iCs/>
          <w:lang w:val="en-US"/>
        </w:rPr>
        <w:t xml:space="preserve"> </w:t>
      </w:r>
      <w:r w:rsidR="000D6B26" w:rsidRPr="00230CAC">
        <w:rPr>
          <w:i/>
          <w:iCs/>
          <w:lang w:val="en-US"/>
        </w:rPr>
        <w:t>Limit</w:t>
      </w:r>
      <w:r w:rsidRPr="00230CAC">
        <w:rPr>
          <w:i/>
          <w:iCs/>
          <w:lang w:val="en-US"/>
        </w:rPr>
        <w:t xml:space="preserve"> of </w:t>
      </w:r>
      <w:r w:rsidR="000D6B26">
        <w:rPr>
          <w:i/>
          <w:iCs/>
          <w:lang w:val="en-US"/>
        </w:rPr>
        <w:t>L</w:t>
      </w:r>
      <w:r w:rsidRPr="00230CAC">
        <w:rPr>
          <w:i/>
          <w:iCs/>
          <w:lang w:val="en-US"/>
        </w:rPr>
        <w:t xml:space="preserve">egal </w:t>
      </w:r>
      <w:r w:rsidR="000D6B26">
        <w:rPr>
          <w:i/>
          <w:iCs/>
          <w:lang w:val="en-US"/>
        </w:rPr>
        <w:t>M</w:t>
      </w:r>
      <w:r w:rsidRPr="00230CAC">
        <w:rPr>
          <w:i/>
          <w:iCs/>
          <w:lang w:val="en-US"/>
        </w:rPr>
        <w:t>emory</w:t>
      </w:r>
      <w:r>
        <w:rPr>
          <w:lang w:val="en-US"/>
        </w:rPr>
        <w:t xml:space="preserve">` </w:t>
      </w:r>
      <w:r w:rsidRPr="005F2D00">
        <w:rPr>
          <w:lang w:val="en-US"/>
        </w:rPr>
        <w:t>New Law Journal</w:t>
      </w:r>
      <w:r>
        <w:rPr>
          <w:lang w:val="en-US"/>
        </w:rPr>
        <w:t>. Available at:</w:t>
      </w:r>
      <w:r w:rsidRPr="005F2D00">
        <w:t xml:space="preserve"> </w:t>
      </w:r>
      <w:hyperlink r:id="rId15" w:history="1">
        <w:r w:rsidRPr="00D2411D">
          <w:rPr>
            <w:rStyle w:val="Hyperlink"/>
            <w:lang w:val="en-US"/>
          </w:rPr>
          <w:t>https://plus-lexis-com.ezproxy.uwtsd.ac.uk/uk/document/?pdmfid=1001073&amp;crid=8ba75389-0f95-4134-ab98-c4edf5725292&amp;pddocfullpath=%2Fshared%2Fdocument%2Fanalytical-materials-uk%2Furn%3AcontentItem%3A4RCW-XHK0-TWWR-G0GH-00000-00&amp;pdcontentcomponentid=280276&amp;pdteaserkey=&amp;pdislpamode=false&amp;pddocumentnumber=1&amp;ecomp=ht5k&amp;earg=sr0&amp;prid=03e7f284-f141-4829-8df2-a5b6f0b78013</w:t>
        </w:r>
      </w:hyperlink>
      <w:r>
        <w:rPr>
          <w:lang w:val="en-US"/>
        </w:rPr>
        <w:t xml:space="preserve"> [Accessed</w:t>
      </w:r>
      <w:r w:rsidR="005841A1">
        <w:rPr>
          <w:lang w:val="en-US"/>
        </w:rPr>
        <w:t>:</w:t>
      </w:r>
      <w:r>
        <w:rPr>
          <w:lang w:val="en-US"/>
        </w:rPr>
        <w:t xml:space="preserve"> 14 March 2023). </w:t>
      </w:r>
    </w:p>
    <w:p w14:paraId="2A5C66C8" w14:textId="78EA39AB" w:rsidR="006B06ED" w:rsidRDefault="006B06ED">
      <w:pPr>
        <w:rPr>
          <w:lang w:val="en-US"/>
        </w:rPr>
      </w:pPr>
      <w:r w:rsidRPr="006B06ED">
        <w:rPr>
          <w:lang w:val="en-US"/>
        </w:rPr>
        <w:t xml:space="preserve">Pawlowski, M. (2018) </w:t>
      </w:r>
      <w:r w:rsidRPr="000D6B26">
        <w:rPr>
          <w:i/>
          <w:iCs/>
          <w:lang w:val="en-US"/>
        </w:rPr>
        <w:t>` Leases—</w:t>
      </w:r>
      <w:r w:rsidR="000D6B26" w:rsidRPr="000D6B26">
        <w:rPr>
          <w:i/>
          <w:iCs/>
          <w:lang w:val="en-US"/>
        </w:rPr>
        <w:t>W</w:t>
      </w:r>
      <w:r w:rsidRPr="000D6B26">
        <w:rPr>
          <w:i/>
          <w:iCs/>
          <w:lang w:val="en-US"/>
        </w:rPr>
        <w:t xml:space="preserve">hy a </w:t>
      </w:r>
      <w:r w:rsidR="000D6B26" w:rsidRPr="000D6B26">
        <w:rPr>
          <w:i/>
          <w:iCs/>
          <w:lang w:val="en-US"/>
        </w:rPr>
        <w:t>D</w:t>
      </w:r>
      <w:r w:rsidRPr="000D6B26">
        <w:rPr>
          <w:i/>
          <w:iCs/>
          <w:lang w:val="en-US"/>
        </w:rPr>
        <w:t>eed</w:t>
      </w:r>
      <w:r w:rsidRPr="006B06ED">
        <w:rPr>
          <w:lang w:val="en-US"/>
        </w:rPr>
        <w:t xml:space="preserve">? ` New Law Journal. Available at: </w:t>
      </w:r>
      <w:hyperlink r:id="rId16" w:history="1">
        <w:r w:rsidRPr="00045DA4">
          <w:rPr>
            <w:rStyle w:val="Hyperlink"/>
            <w:lang w:val="en-US"/>
          </w:rPr>
          <w:t>https://plus-lexis-com.ezproxy.uwtsd.ac.uk/uk/document/?pdmfid=1001073&amp;crid=9fb3397b-0303-4bb1-a2d5-4fee99f46a65&amp;pddocfullpath=%2Fshared%2Fdocument%2Fanalytical-materials-uk%2Furn%3AcontentItem%3A5SM2-TDW1-DYJD-X46N-00000-00&amp;pdcontentcomponentid=280276&amp;pdteaserkey=&amp;pdislpamode=false&amp;pddocumentnumber=2&amp;ecomp=ht5k&amp;earg=sr1&amp;prid=dee41b37-fc6d-490c-b5ae-2a88a3531c0d</w:t>
        </w:r>
      </w:hyperlink>
      <w:r>
        <w:rPr>
          <w:lang w:val="en-US"/>
        </w:rPr>
        <w:t xml:space="preserve"> </w:t>
      </w:r>
      <w:r w:rsidRPr="006B06ED">
        <w:rPr>
          <w:lang w:val="en-US"/>
        </w:rPr>
        <w:t>[Accessed: 14 March 2023].</w:t>
      </w:r>
      <w:r>
        <w:rPr>
          <w:lang w:val="en-US"/>
        </w:rPr>
        <w:t xml:space="preserve"> </w:t>
      </w:r>
    </w:p>
    <w:p w14:paraId="0B7E73D0" w14:textId="347D7F29" w:rsidR="001F75FA" w:rsidRDefault="001F75FA" w:rsidP="001F75FA">
      <w:pPr>
        <w:rPr>
          <w:lang w:val="en-US"/>
        </w:rPr>
      </w:pPr>
      <w:proofErr w:type="spellStart"/>
      <w:r>
        <w:rPr>
          <w:lang w:val="en-US"/>
        </w:rPr>
        <w:t>Poulsom</w:t>
      </w:r>
      <w:proofErr w:type="spellEnd"/>
      <w:r>
        <w:rPr>
          <w:lang w:val="en-US"/>
        </w:rPr>
        <w:t xml:space="preserve">, </w:t>
      </w:r>
      <w:r w:rsidRPr="00643FE0">
        <w:rPr>
          <w:lang w:val="en-US"/>
        </w:rPr>
        <w:t>M</w:t>
      </w:r>
      <w:r>
        <w:rPr>
          <w:lang w:val="en-US"/>
        </w:rPr>
        <w:t xml:space="preserve">. (2016) ` S 62 LPA 1925: </w:t>
      </w:r>
      <w:r w:rsidRPr="00230CAC">
        <w:rPr>
          <w:i/>
          <w:iCs/>
          <w:lang w:val="en-US"/>
        </w:rPr>
        <w:t xml:space="preserve">Restating the </w:t>
      </w:r>
      <w:r w:rsidR="000D6B26">
        <w:rPr>
          <w:i/>
          <w:iCs/>
          <w:lang w:val="en-US"/>
        </w:rPr>
        <w:t>C</w:t>
      </w:r>
      <w:r w:rsidRPr="00230CAC">
        <w:rPr>
          <w:i/>
          <w:iCs/>
          <w:lang w:val="en-US"/>
        </w:rPr>
        <w:t xml:space="preserve">ase for </w:t>
      </w:r>
      <w:r w:rsidR="000D6B26">
        <w:rPr>
          <w:i/>
          <w:iCs/>
          <w:lang w:val="en-US"/>
        </w:rPr>
        <w:t>R</w:t>
      </w:r>
      <w:r w:rsidRPr="00230CAC">
        <w:rPr>
          <w:i/>
          <w:iCs/>
          <w:lang w:val="en-US"/>
        </w:rPr>
        <w:t>eform</w:t>
      </w:r>
      <w:r>
        <w:rPr>
          <w:lang w:val="en-US"/>
        </w:rPr>
        <w:t xml:space="preserve">`, </w:t>
      </w:r>
      <w:r w:rsidRPr="00230CAC">
        <w:rPr>
          <w:lang w:val="en-US"/>
        </w:rPr>
        <w:t>The Journal of Property, and environmental Law, 9</w:t>
      </w:r>
      <w:r>
        <w:rPr>
          <w:lang w:val="en-US"/>
        </w:rPr>
        <w:t xml:space="preserve">(1). pp. 79¬91. Available at: </w:t>
      </w:r>
      <w:hyperlink r:id="rId17" w:history="1">
        <w:r w:rsidRPr="00207038">
          <w:rPr>
            <w:rStyle w:val="Hyperlink"/>
            <w:lang w:val="en-US"/>
          </w:rPr>
          <w:t>https://plus-lexis-com.ezproxy.uwtsd.ac.uk/uk/document/?pdmfid=1001073&amp;crid=c04f5a81-d62f-449c-bc59-7bdd41d66bcc&amp;pddocfullpath=%2Fshared%2Fdocument%2Fanalytical-materials-uk%2Furn%3AcontentItem%3A5PDW-VCG1-F0NH-351M-00000-00&amp;pdcontentcomponentid=385541&amp;pdteaserkey=&amp;pdislpamode=false&amp;pddocumentnumber=1&amp;ecomp=tt5k&amp;earg=sr0&amp;prid=af0bd85d-bc2d-47ee-a9e5-43362b9f9ee8#</w:t>
        </w:r>
      </w:hyperlink>
      <w:r>
        <w:rPr>
          <w:lang w:val="en-US"/>
        </w:rPr>
        <w:t xml:space="preserve"> (Accessed: 24 October 2022).</w:t>
      </w:r>
    </w:p>
    <w:p w14:paraId="7BDBA957" w14:textId="3DAF79FA" w:rsidR="00A536E8" w:rsidRDefault="00A536E8">
      <w:pPr>
        <w:rPr>
          <w:lang w:val="en-US"/>
        </w:rPr>
      </w:pPr>
      <w:r>
        <w:rPr>
          <w:lang w:val="en-US"/>
        </w:rPr>
        <w:t xml:space="preserve">R </w:t>
      </w:r>
      <w:r w:rsidRPr="00A536E8">
        <w:rPr>
          <w:lang w:val="en-US"/>
        </w:rPr>
        <w:t xml:space="preserve">v </w:t>
      </w:r>
      <w:proofErr w:type="spellStart"/>
      <w:r w:rsidRPr="00A536E8">
        <w:rPr>
          <w:lang w:val="en-US"/>
        </w:rPr>
        <w:t>Oxfordshire</w:t>
      </w:r>
      <w:proofErr w:type="spellEnd"/>
      <w:r w:rsidRPr="00A536E8">
        <w:rPr>
          <w:lang w:val="en-US"/>
        </w:rPr>
        <w:t xml:space="preserve"> County Council, ex p Sunningwell Parish Council</w:t>
      </w:r>
      <w:r>
        <w:rPr>
          <w:lang w:val="en-US"/>
        </w:rPr>
        <w:t>` (1999</w:t>
      </w:r>
      <w:r w:rsidRPr="00E82169">
        <w:rPr>
          <w:i/>
          <w:iCs/>
          <w:lang w:val="en-US"/>
        </w:rPr>
        <w:t xml:space="preserve">) </w:t>
      </w:r>
      <w:r w:rsidRPr="00230CAC">
        <w:t>Estates Gazette</w:t>
      </w:r>
      <w:r w:rsidR="00E82169" w:rsidRPr="00230CAC">
        <w:t xml:space="preserve"> law report</w:t>
      </w:r>
      <w:r w:rsidR="00E82169">
        <w:t>, case 85</w:t>
      </w:r>
      <w:r w:rsidR="009E74E3">
        <w:t xml:space="preserve">. </w:t>
      </w:r>
      <w:r>
        <w:t xml:space="preserve">Available at: </w:t>
      </w:r>
      <w:hyperlink r:id="rId18" w:history="1">
        <w:r w:rsidRPr="0030220C">
          <w:rPr>
            <w:rStyle w:val="Hyperlink"/>
          </w:rPr>
          <w:t>https://plus-lexis-com.ezproxy.uwtsd.ac.uk/uk/document/documentlink/?pdmfid=1001073&amp;crid=36133d10-0ca4-4f83-8775-9e7f880ff3c3&amp;pddocfullpath=%2Fshared%2Fdocument%2Fcases-uk%2Furn%3AcontentItem%3A4J44-1360-TX1N-H09R-00000-00&amp;pdcontentcomponentid=289949&amp;pdproductcontenttypeid=urn%3Apct%3A285&amp;pdiskwicview=false&amp;pdpinpoint=&amp;ecomp=mk4k&amp;prid=dce3ba51-f9d1-4a2a-a2df-4a019b86a538</w:t>
        </w:r>
      </w:hyperlink>
      <w:r>
        <w:t xml:space="preserve"> (Accessed: 23 October 2022).</w:t>
      </w:r>
    </w:p>
    <w:p w14:paraId="4DCEFFB6" w14:textId="28AFB449" w:rsidR="00EC0A4A" w:rsidRDefault="00EC0A4A">
      <w:pPr>
        <w:rPr>
          <w:lang w:val="en-US"/>
        </w:rPr>
      </w:pPr>
      <w:proofErr w:type="spellStart"/>
      <w:r>
        <w:rPr>
          <w:lang w:val="en-US"/>
        </w:rPr>
        <w:lastRenderedPageBreak/>
        <w:t>Warenius</w:t>
      </w:r>
      <w:proofErr w:type="spellEnd"/>
      <w:r>
        <w:rPr>
          <w:lang w:val="en-US"/>
        </w:rPr>
        <w:t>, C. ‘</w:t>
      </w:r>
      <w:r w:rsidR="000D6B26">
        <w:rPr>
          <w:i/>
          <w:iCs/>
          <w:lang w:val="en-US"/>
        </w:rPr>
        <w:t>P</w:t>
      </w:r>
      <w:r w:rsidRPr="00230CAC">
        <w:rPr>
          <w:i/>
          <w:iCs/>
          <w:lang w:val="en-US"/>
        </w:rPr>
        <w:t xml:space="preserve">roperty: </w:t>
      </w:r>
      <w:r w:rsidR="000D6B26">
        <w:rPr>
          <w:i/>
          <w:iCs/>
          <w:lang w:val="en-US"/>
        </w:rPr>
        <w:t>E</w:t>
      </w:r>
      <w:r w:rsidRPr="00230CAC">
        <w:rPr>
          <w:i/>
          <w:iCs/>
          <w:lang w:val="en-US"/>
        </w:rPr>
        <w:t>asy does it’</w:t>
      </w:r>
      <w:r>
        <w:rPr>
          <w:lang w:val="en-US"/>
        </w:rPr>
        <w:t xml:space="preserve">, </w:t>
      </w:r>
      <w:r w:rsidRPr="00230CAC">
        <w:rPr>
          <w:i/>
          <w:iCs/>
          <w:lang w:val="en-US"/>
        </w:rPr>
        <w:t>New Law Journal</w:t>
      </w:r>
      <w:r>
        <w:rPr>
          <w:lang w:val="en-US"/>
        </w:rPr>
        <w:t>, 162</w:t>
      </w:r>
      <w:r w:rsidR="00873DE2">
        <w:rPr>
          <w:lang w:val="en-US"/>
        </w:rPr>
        <w:t xml:space="preserve">(7510), Available at: </w:t>
      </w:r>
      <w:hyperlink r:id="rId19" w:history="1">
        <w:r w:rsidR="00873DE2" w:rsidRPr="0019624C">
          <w:rPr>
            <w:rStyle w:val="Hyperlink"/>
            <w:lang w:val="en-US"/>
          </w:rPr>
          <w:t>https://plus-lexis-com.ezproxy.uwtsd.ac.uk/uk/document/?pdmfid=1001073&amp;crid=404f898c-60fe-4c5b-803a-6c1e6c52ee82&amp;pddocfullpath=%2Fshared%2Fdocument%2Fanalytical-materials-uk%2Furn%3AcontentItem%3A592N-9RX1-DYJD-X15R-00000-00&amp;pdcontentcomponentid=280276&amp;pdteaserkey=&amp;pdislpamode=false&amp;pddocumentnumber=8&amp;ecomp=ht5k&amp;earg=sr7&amp;prid=ce5d87a6-7df3-4733-8fc0-f757fca0eb5a#</w:t>
        </w:r>
      </w:hyperlink>
      <w:r w:rsidR="00873DE2">
        <w:rPr>
          <w:lang w:val="en-US"/>
        </w:rPr>
        <w:t xml:space="preserve">  (Accessed: 18 October 2022).</w:t>
      </w:r>
    </w:p>
    <w:p w14:paraId="20AB7380" w14:textId="77777777" w:rsidR="00875C23" w:rsidRDefault="00875C23" w:rsidP="0085159A">
      <w:pPr>
        <w:rPr>
          <w:b/>
          <w:bCs/>
          <w:lang w:val="en-US"/>
        </w:rPr>
      </w:pPr>
    </w:p>
    <w:p w14:paraId="5A7A3B3A" w14:textId="77777777" w:rsidR="00BE1740" w:rsidRDefault="00BE1740" w:rsidP="0085159A">
      <w:pPr>
        <w:rPr>
          <w:b/>
          <w:bCs/>
          <w:lang w:val="en-US"/>
        </w:rPr>
      </w:pPr>
    </w:p>
    <w:p w14:paraId="7416EE02" w14:textId="77777777" w:rsidR="00BE1740" w:rsidRDefault="00BE1740" w:rsidP="0085159A">
      <w:pPr>
        <w:rPr>
          <w:b/>
          <w:bCs/>
          <w:lang w:val="en-US"/>
        </w:rPr>
      </w:pPr>
    </w:p>
    <w:p w14:paraId="0C12ACA9" w14:textId="77777777" w:rsidR="00BE1740" w:rsidRDefault="00BE1740" w:rsidP="0085159A">
      <w:pPr>
        <w:rPr>
          <w:b/>
          <w:bCs/>
          <w:lang w:val="en-US"/>
        </w:rPr>
      </w:pPr>
    </w:p>
    <w:p w14:paraId="1BDC3BE4" w14:textId="2EB5B5F8" w:rsidR="0085159A" w:rsidRDefault="00FB1E7F" w:rsidP="0085159A">
      <w:r w:rsidRPr="00FB1E7F">
        <w:rPr>
          <w:b/>
          <w:bCs/>
          <w:lang w:val="en-US"/>
        </w:rPr>
        <w:t>Cases</w:t>
      </w:r>
      <w:r w:rsidR="009C3755" w:rsidRPr="009C3755">
        <w:t xml:space="preserve"> </w:t>
      </w:r>
    </w:p>
    <w:p w14:paraId="58C87BF2" w14:textId="23AFDE6D" w:rsidR="0034673B" w:rsidRDefault="000C30A6" w:rsidP="008F5830">
      <w:pPr>
        <w:rPr>
          <w:lang w:val="en-US"/>
        </w:rPr>
      </w:pPr>
      <w:r>
        <w:rPr>
          <w:lang w:val="en-US"/>
        </w:rPr>
        <w:t>B</w:t>
      </w:r>
      <w:r w:rsidR="0034673B" w:rsidRPr="0034673B">
        <w:rPr>
          <w:lang w:val="en-US"/>
        </w:rPr>
        <w:t xml:space="preserve">ailey v Stephens </w:t>
      </w:r>
      <w:r w:rsidR="0034673B">
        <w:rPr>
          <w:lang w:val="en-US"/>
        </w:rPr>
        <w:t>(1862) ER 1077</w:t>
      </w:r>
    </w:p>
    <w:p w14:paraId="6A648FF5" w14:textId="2A8AB691" w:rsidR="000C30A6" w:rsidRPr="0034673B" w:rsidRDefault="000C30A6" w:rsidP="008F5830">
      <w:pPr>
        <w:rPr>
          <w:u w:val="single"/>
          <w:lang w:val="en-US"/>
        </w:rPr>
      </w:pPr>
      <w:r>
        <w:rPr>
          <w:lang w:val="en-US"/>
        </w:rPr>
        <w:t>Bakewell Management v Brandwood (2004) 2 AC 519</w:t>
      </w:r>
    </w:p>
    <w:p w14:paraId="323CC1D2" w14:textId="77777777" w:rsidR="0034673B" w:rsidRPr="00BB0AED" w:rsidRDefault="0034673B" w:rsidP="0034673B">
      <w:pPr>
        <w:rPr>
          <w:lang w:val="en-US"/>
        </w:rPr>
      </w:pPr>
      <w:r w:rsidRPr="00BB0AED">
        <w:rPr>
          <w:lang w:val="en-US"/>
        </w:rPr>
        <w:t xml:space="preserve">Copeland v </w:t>
      </w:r>
      <w:proofErr w:type="spellStart"/>
      <w:r w:rsidRPr="00BB0AED">
        <w:rPr>
          <w:lang w:val="en-US"/>
        </w:rPr>
        <w:t>Greenhalf</w:t>
      </w:r>
      <w:proofErr w:type="spellEnd"/>
      <w:r>
        <w:rPr>
          <w:b/>
          <w:bCs/>
          <w:lang w:val="en-US"/>
        </w:rPr>
        <w:t xml:space="preserve"> </w:t>
      </w:r>
      <w:r w:rsidRPr="00BB0AED">
        <w:rPr>
          <w:lang w:val="en-US"/>
        </w:rPr>
        <w:t xml:space="preserve">(1952) </w:t>
      </w:r>
      <w:proofErr w:type="spellStart"/>
      <w:r w:rsidRPr="00BB0AED">
        <w:rPr>
          <w:lang w:val="en-US"/>
        </w:rPr>
        <w:t>ch</w:t>
      </w:r>
      <w:proofErr w:type="spellEnd"/>
      <w:r w:rsidRPr="00BB0AED">
        <w:rPr>
          <w:lang w:val="en-US"/>
        </w:rPr>
        <w:t xml:space="preserve"> 488</w:t>
      </w:r>
    </w:p>
    <w:p w14:paraId="50669B6C" w14:textId="6C291816" w:rsidR="00BB0AED" w:rsidRPr="00AF3CC5" w:rsidRDefault="0085159A" w:rsidP="008F5830">
      <w:pPr>
        <w:rPr>
          <w:u w:val="single"/>
          <w:lang w:val="en-US"/>
        </w:rPr>
      </w:pPr>
      <w:proofErr w:type="spellStart"/>
      <w:r w:rsidRPr="0085159A">
        <w:rPr>
          <w:u w:val="single"/>
          <w:lang w:val="en-US"/>
        </w:rPr>
        <w:t>Diment</w:t>
      </w:r>
      <w:proofErr w:type="spellEnd"/>
      <w:r w:rsidRPr="0085159A">
        <w:rPr>
          <w:u w:val="single"/>
          <w:lang w:val="en-US"/>
        </w:rPr>
        <w:t xml:space="preserve"> v Foot</w:t>
      </w:r>
      <w:r>
        <w:rPr>
          <w:u w:val="single"/>
          <w:lang w:val="en-US"/>
        </w:rPr>
        <w:t xml:space="preserve"> </w:t>
      </w:r>
      <w:r w:rsidRPr="0085159A">
        <w:rPr>
          <w:lang w:val="en-US"/>
        </w:rPr>
        <w:t>[1974] 1 WLR 1427, 1435</w:t>
      </w:r>
      <w:r>
        <w:rPr>
          <w:lang w:val="en-US"/>
        </w:rPr>
        <w:t>.</w:t>
      </w:r>
      <w:r w:rsidR="00BB0AED" w:rsidRPr="00BB0AED">
        <w:rPr>
          <w:b/>
          <w:bCs/>
          <w:lang w:val="en-US"/>
        </w:rPr>
        <w:t xml:space="preserve"> </w:t>
      </w:r>
    </w:p>
    <w:p w14:paraId="42E417D6" w14:textId="0BFBB82D" w:rsidR="00260B35" w:rsidRPr="00260B35" w:rsidRDefault="00260B35" w:rsidP="008F5830">
      <w:pPr>
        <w:rPr>
          <w:lang w:val="en-US"/>
        </w:rPr>
      </w:pPr>
      <w:r w:rsidRPr="00260B35">
        <w:rPr>
          <w:lang w:val="en-US"/>
        </w:rPr>
        <w:t xml:space="preserve">Gardener v Hodges`s Kingstone Brewery (1903) </w:t>
      </w:r>
    </w:p>
    <w:p w14:paraId="0E589F0B" w14:textId="306C396F" w:rsidR="00A44DDF" w:rsidRPr="00A44DDF" w:rsidRDefault="00A44DDF" w:rsidP="008F5830">
      <w:pPr>
        <w:rPr>
          <w:lang w:val="en-US"/>
        </w:rPr>
      </w:pPr>
      <w:proofErr w:type="spellStart"/>
      <w:r w:rsidRPr="00A44DDF">
        <w:rPr>
          <w:lang w:val="en-US"/>
        </w:rPr>
        <w:t>Hannings</w:t>
      </w:r>
      <w:proofErr w:type="spellEnd"/>
      <w:r w:rsidRPr="00A44DDF">
        <w:rPr>
          <w:lang w:val="en-US"/>
        </w:rPr>
        <w:t xml:space="preserve"> v top Deck Travel Group Ltd (1993) 68 p &amp; CR 14</w:t>
      </w:r>
    </w:p>
    <w:p w14:paraId="363B8540" w14:textId="7F8DEDA3" w:rsidR="008F5830" w:rsidRPr="007B1EB1" w:rsidRDefault="008F5830" w:rsidP="008F5830">
      <w:pPr>
        <w:rPr>
          <w:iCs/>
        </w:rPr>
      </w:pPr>
      <w:r>
        <w:rPr>
          <w:iCs/>
        </w:rPr>
        <w:t>Hill v Tupper</w:t>
      </w:r>
      <w:r w:rsidRPr="007B1EB1">
        <w:rPr>
          <w:iCs/>
        </w:rPr>
        <w:t>2 H &amp; C 122; 159 ER 51</w:t>
      </w:r>
    </w:p>
    <w:p w14:paraId="7E40C2FA" w14:textId="1045C734" w:rsidR="006E2594" w:rsidRDefault="0085159A" w:rsidP="0085159A">
      <w:pPr>
        <w:rPr>
          <w:lang w:val="en-US"/>
        </w:rPr>
      </w:pPr>
      <w:r>
        <w:rPr>
          <w:lang w:val="en-US"/>
        </w:rPr>
        <w:t xml:space="preserve">Liverpool corporation v </w:t>
      </w:r>
      <w:proofErr w:type="spellStart"/>
      <w:r>
        <w:rPr>
          <w:lang w:val="en-US"/>
        </w:rPr>
        <w:t>coghill</w:t>
      </w:r>
      <w:proofErr w:type="spellEnd"/>
      <w:r>
        <w:rPr>
          <w:lang w:val="en-US"/>
        </w:rPr>
        <w:t xml:space="preserve"> &amp; son, Limited. (1917 L. 808), (1918) 1 Ch. 307.</w:t>
      </w:r>
    </w:p>
    <w:p w14:paraId="5C092232" w14:textId="5FF7C0BF" w:rsidR="00B93B1A" w:rsidRDefault="006E2594" w:rsidP="0085159A">
      <w:pPr>
        <w:rPr>
          <w:lang w:val="en-US"/>
        </w:rPr>
      </w:pPr>
      <w:r w:rsidRPr="006E2594">
        <w:rPr>
          <w:lang w:val="en-US"/>
        </w:rPr>
        <w:t>London and Blenheim Estates Ltd v Ladbroke Retail Parks Ltd [1993] 1 All ER 307</w:t>
      </w:r>
      <w:r>
        <w:rPr>
          <w:lang w:val="en-US"/>
        </w:rPr>
        <w:t xml:space="preserve"> </w:t>
      </w:r>
    </w:p>
    <w:p w14:paraId="2721BD6F" w14:textId="0F89A79E" w:rsidR="00B93B1A" w:rsidRPr="00B93B1A" w:rsidRDefault="00B93B1A" w:rsidP="00B93B1A">
      <w:pPr>
        <w:rPr>
          <w:b/>
          <w:bCs/>
        </w:rPr>
      </w:pPr>
      <w:r w:rsidRPr="00B93B1A">
        <w:rPr>
          <w:lang w:val="en-US"/>
        </w:rPr>
        <w:t xml:space="preserve">Moody v </w:t>
      </w:r>
      <w:proofErr w:type="spellStart"/>
      <w:r w:rsidRPr="00B93B1A">
        <w:rPr>
          <w:lang w:val="en-US"/>
        </w:rPr>
        <w:t>Steggles</w:t>
      </w:r>
      <w:proofErr w:type="spellEnd"/>
      <w:r w:rsidRPr="00B93B1A">
        <w:rPr>
          <w:lang w:val="en-US"/>
        </w:rPr>
        <w:t xml:space="preserve"> </w:t>
      </w:r>
      <w:r>
        <w:t>(</w:t>
      </w:r>
      <w:r w:rsidRPr="00B93B1A">
        <w:t>1878 M. 121.</w:t>
      </w:r>
      <w:r>
        <w:t>)</w:t>
      </w:r>
      <w:r w:rsidRPr="00B93B1A">
        <w:t xml:space="preserve"> (1879) 12 </w:t>
      </w:r>
      <w:proofErr w:type="spellStart"/>
      <w:r w:rsidRPr="00B93B1A">
        <w:t>Ch.D</w:t>
      </w:r>
      <w:proofErr w:type="spellEnd"/>
      <w:r w:rsidRPr="00B93B1A">
        <w:t>. 261</w:t>
      </w:r>
    </w:p>
    <w:p w14:paraId="1B301F71" w14:textId="77777777" w:rsidR="00642ABB" w:rsidRDefault="00C31ACB" w:rsidP="00FB1E7F">
      <w:pPr>
        <w:rPr>
          <w:b/>
        </w:rPr>
      </w:pPr>
      <w:r w:rsidRPr="00C31ACB">
        <w:rPr>
          <w:bCs/>
        </w:rPr>
        <w:t>Orme v Lyons (2012) [2012] EWHC 3308 (Ch</w:t>
      </w:r>
      <w:r w:rsidRPr="00642ABB">
        <w:rPr>
          <w:b/>
        </w:rPr>
        <w:t xml:space="preserve">) </w:t>
      </w:r>
    </w:p>
    <w:p w14:paraId="08E69351" w14:textId="2C73B2B7" w:rsidR="00C31ACB" w:rsidRPr="00535102" w:rsidRDefault="00642ABB" w:rsidP="00FB1E7F">
      <w:pPr>
        <w:rPr>
          <w:lang w:val="en-US"/>
        </w:rPr>
      </w:pPr>
      <w:proofErr w:type="spellStart"/>
      <w:r w:rsidRPr="00642ABB">
        <w:rPr>
          <w:bCs/>
          <w:lang w:val="en-US"/>
        </w:rPr>
        <w:t>pugh</w:t>
      </w:r>
      <w:proofErr w:type="spellEnd"/>
      <w:r w:rsidRPr="00642ABB">
        <w:rPr>
          <w:bCs/>
          <w:lang w:val="en-US"/>
        </w:rPr>
        <w:t xml:space="preserve"> v savage</w:t>
      </w:r>
      <w:r>
        <w:rPr>
          <w:b/>
          <w:bCs/>
          <w:lang w:val="en-US"/>
        </w:rPr>
        <w:t xml:space="preserve"> </w:t>
      </w:r>
      <w:r w:rsidRPr="00642ABB">
        <w:rPr>
          <w:lang w:val="en-US"/>
        </w:rPr>
        <w:t>(1970) QB 373</w:t>
      </w:r>
    </w:p>
    <w:p w14:paraId="2FF14692" w14:textId="77777777" w:rsidR="002C2F65" w:rsidRDefault="0065506E" w:rsidP="00FB1E7F">
      <w:r>
        <w:t>R</w:t>
      </w:r>
      <w:r w:rsidR="00FB1E7F" w:rsidRPr="00FB1E7F">
        <w:t>e Ellenborough Park Re Davies (deceased); Powell and Others v Maddison and Another [1955] 3 All ER 667</w:t>
      </w:r>
    </w:p>
    <w:p w14:paraId="12347B7C" w14:textId="77777777" w:rsidR="00DC4130" w:rsidRDefault="002C2F65" w:rsidP="00FB1E7F">
      <w:r w:rsidRPr="002C2F65">
        <w:t xml:space="preserve">R v Oxfordshire County Council and another, ex </w:t>
      </w:r>
      <w:proofErr w:type="spellStart"/>
      <w:r w:rsidRPr="002C2F65">
        <w:t>parte</w:t>
      </w:r>
      <w:proofErr w:type="spellEnd"/>
      <w:r w:rsidRPr="002C2F65">
        <w:t xml:space="preserve"> Sunningwell Parish Council [1999] 2 EGLR 94</w:t>
      </w:r>
      <w:r>
        <w:t xml:space="preserve"> </w:t>
      </w:r>
    </w:p>
    <w:p w14:paraId="354D8CCA" w14:textId="77777777" w:rsidR="005A288D" w:rsidRPr="005A288D" w:rsidRDefault="005A288D" w:rsidP="005A288D">
      <w:r w:rsidRPr="005A288D">
        <w:t>TEHIDY MINERALS LTD. AND ANOTHER v. NORMAN AND OTHERS [1971] 2 Q.B. 528</w:t>
      </w:r>
    </w:p>
    <w:p w14:paraId="36BF0C7C" w14:textId="4C128495" w:rsidR="00422521" w:rsidRDefault="00422521" w:rsidP="00FB1E7F">
      <w:r>
        <w:t>The Duke of Norfolk v the Rev George Arbuthnot (1880) 5 C.P.D.390.</w:t>
      </w:r>
    </w:p>
    <w:p w14:paraId="305DD218" w14:textId="374A417C" w:rsidR="00BB0AED" w:rsidRDefault="00535102" w:rsidP="00FB1E7F">
      <w:pPr>
        <w:rPr>
          <w:b/>
          <w:bCs/>
          <w:lang w:val="en-US"/>
        </w:rPr>
      </w:pPr>
      <w:r w:rsidRPr="00535102">
        <w:rPr>
          <w:lang w:val="en-US"/>
        </w:rPr>
        <w:t>Walsh v Lonsdale (1882)</w:t>
      </w:r>
      <w:r>
        <w:rPr>
          <w:lang w:val="en-US"/>
        </w:rPr>
        <w:t xml:space="preserve"> 21 </w:t>
      </w:r>
      <w:proofErr w:type="spellStart"/>
      <w:r>
        <w:rPr>
          <w:lang w:val="en-US"/>
        </w:rPr>
        <w:t>ch</w:t>
      </w:r>
      <w:proofErr w:type="spellEnd"/>
      <w:r>
        <w:rPr>
          <w:lang w:val="en-US"/>
        </w:rPr>
        <w:t xml:space="preserve"> D 9</w:t>
      </w:r>
      <w:r w:rsidR="00BB0AED" w:rsidRPr="00BB0AED">
        <w:rPr>
          <w:b/>
          <w:bCs/>
          <w:lang w:val="en-US"/>
        </w:rPr>
        <w:t xml:space="preserve"> </w:t>
      </w:r>
    </w:p>
    <w:p w14:paraId="2C3EA4B8" w14:textId="5DDF4F18" w:rsidR="002753AD" w:rsidRPr="002753AD" w:rsidRDefault="002753AD" w:rsidP="00FB1E7F">
      <w:pPr>
        <w:rPr>
          <w:lang w:val="en-US"/>
        </w:rPr>
      </w:pPr>
      <w:r w:rsidRPr="002753AD">
        <w:rPr>
          <w:lang w:val="en-US"/>
        </w:rPr>
        <w:t xml:space="preserve">Welford v Graham [2017] UKUT 297 (TCC). </w:t>
      </w:r>
    </w:p>
    <w:p w14:paraId="3F349569" w14:textId="7A41EE79" w:rsidR="002C2F65" w:rsidRPr="00BB0AED" w:rsidRDefault="00BB0AED" w:rsidP="00FB1E7F">
      <w:r w:rsidRPr="00BB0AED">
        <w:rPr>
          <w:lang w:val="en-US"/>
        </w:rPr>
        <w:t>Wright v Macadam (1949</w:t>
      </w:r>
      <w:r>
        <w:rPr>
          <w:lang w:val="en-US"/>
        </w:rPr>
        <w:t>) 2 KB 744</w:t>
      </w:r>
    </w:p>
    <w:p w14:paraId="14D320D2" w14:textId="77777777" w:rsidR="00875C23" w:rsidRDefault="00875C23">
      <w:pPr>
        <w:rPr>
          <w:b/>
          <w:bCs/>
          <w:lang w:val="en-US"/>
        </w:rPr>
      </w:pPr>
    </w:p>
    <w:p w14:paraId="7C487B1D" w14:textId="7FB31900" w:rsidR="00483F6C" w:rsidRPr="009E3FA8" w:rsidRDefault="00483F6C">
      <w:pPr>
        <w:rPr>
          <w:b/>
          <w:bCs/>
          <w:lang w:val="en-US"/>
        </w:rPr>
      </w:pPr>
      <w:r>
        <w:rPr>
          <w:b/>
          <w:bCs/>
          <w:lang w:val="en-US"/>
        </w:rPr>
        <w:t>Legislation</w:t>
      </w:r>
      <w:r w:rsidR="008446A8" w:rsidRPr="008446A8">
        <w:rPr>
          <w:iCs/>
          <w:sz w:val="24"/>
        </w:rPr>
        <w:t xml:space="preserve"> </w:t>
      </w:r>
    </w:p>
    <w:p w14:paraId="0F3A0774" w14:textId="27DADAB8" w:rsidR="0065506E" w:rsidRDefault="0065506E">
      <w:pPr>
        <w:rPr>
          <w:iCs/>
        </w:rPr>
      </w:pPr>
      <w:r w:rsidRPr="0065506E">
        <w:rPr>
          <w:iCs/>
        </w:rPr>
        <w:lastRenderedPageBreak/>
        <w:t xml:space="preserve">Access to Neighbouring Land Act 1992 c 23 </w:t>
      </w:r>
    </w:p>
    <w:p w14:paraId="710D051B" w14:textId="57ACD68D" w:rsidR="008F5830" w:rsidRDefault="008F5830">
      <w:pPr>
        <w:rPr>
          <w:bCs/>
          <w:iCs/>
        </w:rPr>
      </w:pPr>
      <w:r w:rsidRPr="008F5830">
        <w:rPr>
          <w:bCs/>
          <w:iCs/>
        </w:rPr>
        <w:t xml:space="preserve">Countryside and Rights of Way Act 2000 </w:t>
      </w:r>
    </w:p>
    <w:p w14:paraId="0BE6ABD4" w14:textId="31347912" w:rsidR="007B1EB1" w:rsidRPr="00535102" w:rsidRDefault="00535102">
      <w:pPr>
        <w:rPr>
          <w:iCs/>
        </w:rPr>
      </w:pPr>
      <w:r w:rsidRPr="00535102">
        <w:rPr>
          <w:lang w:val="en-US"/>
        </w:rPr>
        <w:t>Law of Property Act (Miscellaneous Provisions) 1989</w:t>
      </w:r>
    </w:p>
    <w:p w14:paraId="387CD9DB" w14:textId="41936EA2" w:rsidR="008C3C4F" w:rsidRPr="0065506E" w:rsidRDefault="008C3C4F">
      <w:pPr>
        <w:rPr>
          <w:iCs/>
        </w:rPr>
      </w:pPr>
      <w:r>
        <w:rPr>
          <w:iCs/>
        </w:rPr>
        <w:t>Law of Property Act 1925</w:t>
      </w:r>
    </w:p>
    <w:p w14:paraId="762293C1" w14:textId="3846D3D7" w:rsidR="00FB1E7F" w:rsidRPr="00FB1E7F" w:rsidRDefault="0065506E">
      <w:pPr>
        <w:rPr>
          <w:b/>
          <w:bCs/>
          <w:lang w:val="en-US"/>
        </w:rPr>
      </w:pPr>
      <w:r>
        <w:rPr>
          <w:lang w:val="en-US"/>
        </w:rPr>
        <w:t>P</w:t>
      </w:r>
      <w:r w:rsidR="00483F6C" w:rsidRPr="00F80E9D">
        <w:rPr>
          <w:lang w:val="en-US"/>
        </w:rPr>
        <w:t>rescription Act 1832</w:t>
      </w:r>
      <w:r w:rsidR="00483F6C">
        <w:rPr>
          <w:lang w:val="en-US"/>
        </w:rPr>
        <w:t xml:space="preserve">  </w:t>
      </w:r>
      <w:r w:rsidR="00FB1E7F">
        <w:rPr>
          <w:b/>
          <w:bCs/>
          <w:lang w:val="en-US"/>
        </w:rPr>
        <w:t xml:space="preserve"> </w:t>
      </w:r>
    </w:p>
    <w:sectPr w:rsidR="00FB1E7F" w:rsidRPr="00FB1E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D876E2"/>
    <w:multiLevelType w:val="hybridMultilevel"/>
    <w:tmpl w:val="5C521540"/>
    <w:lvl w:ilvl="0" w:tplc="7480C8D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435B92"/>
    <w:multiLevelType w:val="hybridMultilevel"/>
    <w:tmpl w:val="80DC0D2C"/>
    <w:lvl w:ilvl="0" w:tplc="2D6E5C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9657318">
    <w:abstractNumId w:val="1"/>
  </w:num>
  <w:num w:numId="2" w16cid:durableId="11765307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0B7"/>
    <w:rsid w:val="000000D5"/>
    <w:rsid w:val="000105AC"/>
    <w:rsid w:val="0001367D"/>
    <w:rsid w:val="00023401"/>
    <w:rsid w:val="00024E38"/>
    <w:rsid w:val="00030B4C"/>
    <w:rsid w:val="000411EB"/>
    <w:rsid w:val="0004240A"/>
    <w:rsid w:val="00043A4B"/>
    <w:rsid w:val="00046794"/>
    <w:rsid w:val="000511DA"/>
    <w:rsid w:val="00053D0A"/>
    <w:rsid w:val="00053D22"/>
    <w:rsid w:val="00055C96"/>
    <w:rsid w:val="00064E34"/>
    <w:rsid w:val="000703CF"/>
    <w:rsid w:val="0007586F"/>
    <w:rsid w:val="000765DB"/>
    <w:rsid w:val="00080928"/>
    <w:rsid w:val="00082842"/>
    <w:rsid w:val="000850A0"/>
    <w:rsid w:val="00085800"/>
    <w:rsid w:val="00094933"/>
    <w:rsid w:val="00094E4D"/>
    <w:rsid w:val="000A13A2"/>
    <w:rsid w:val="000A3E5A"/>
    <w:rsid w:val="000A4FD1"/>
    <w:rsid w:val="000A661C"/>
    <w:rsid w:val="000B71B6"/>
    <w:rsid w:val="000C30A6"/>
    <w:rsid w:val="000C65A0"/>
    <w:rsid w:val="000D6B26"/>
    <w:rsid w:val="000D732B"/>
    <w:rsid w:val="000E08AE"/>
    <w:rsid w:val="000E24DB"/>
    <w:rsid w:val="0010440C"/>
    <w:rsid w:val="00104EC4"/>
    <w:rsid w:val="00105F06"/>
    <w:rsid w:val="0010738F"/>
    <w:rsid w:val="00110E0E"/>
    <w:rsid w:val="00112350"/>
    <w:rsid w:val="00113790"/>
    <w:rsid w:val="001153D0"/>
    <w:rsid w:val="00121A4D"/>
    <w:rsid w:val="00126EF8"/>
    <w:rsid w:val="00133649"/>
    <w:rsid w:val="00136FDC"/>
    <w:rsid w:val="00140123"/>
    <w:rsid w:val="00143BAF"/>
    <w:rsid w:val="001460F8"/>
    <w:rsid w:val="00150342"/>
    <w:rsid w:val="001505EE"/>
    <w:rsid w:val="001516EE"/>
    <w:rsid w:val="0015238A"/>
    <w:rsid w:val="00152A42"/>
    <w:rsid w:val="00155E51"/>
    <w:rsid w:val="00155EDE"/>
    <w:rsid w:val="001602FD"/>
    <w:rsid w:val="00163544"/>
    <w:rsid w:val="0016542B"/>
    <w:rsid w:val="001750B0"/>
    <w:rsid w:val="00175420"/>
    <w:rsid w:val="00180CB9"/>
    <w:rsid w:val="001840CE"/>
    <w:rsid w:val="001964B8"/>
    <w:rsid w:val="001A0D72"/>
    <w:rsid w:val="001A22EE"/>
    <w:rsid w:val="001A4553"/>
    <w:rsid w:val="001A644D"/>
    <w:rsid w:val="001B0B57"/>
    <w:rsid w:val="001B3DC5"/>
    <w:rsid w:val="001C020D"/>
    <w:rsid w:val="001C18D1"/>
    <w:rsid w:val="001C1B70"/>
    <w:rsid w:val="001C7771"/>
    <w:rsid w:val="001D03B5"/>
    <w:rsid w:val="001D10AA"/>
    <w:rsid w:val="001D3E8E"/>
    <w:rsid w:val="001D7E7E"/>
    <w:rsid w:val="001F75FA"/>
    <w:rsid w:val="00222429"/>
    <w:rsid w:val="00227470"/>
    <w:rsid w:val="00230CAC"/>
    <w:rsid w:val="0024366D"/>
    <w:rsid w:val="002447F3"/>
    <w:rsid w:val="002545F6"/>
    <w:rsid w:val="00260B35"/>
    <w:rsid w:val="00264A9F"/>
    <w:rsid w:val="002658E5"/>
    <w:rsid w:val="00271496"/>
    <w:rsid w:val="002753AD"/>
    <w:rsid w:val="00277032"/>
    <w:rsid w:val="0028275C"/>
    <w:rsid w:val="00282DB6"/>
    <w:rsid w:val="00297A21"/>
    <w:rsid w:val="002A2C91"/>
    <w:rsid w:val="002B4ACA"/>
    <w:rsid w:val="002B612F"/>
    <w:rsid w:val="002C189B"/>
    <w:rsid w:val="002C18B5"/>
    <w:rsid w:val="002C2F65"/>
    <w:rsid w:val="002C6CA9"/>
    <w:rsid w:val="002D4E89"/>
    <w:rsid w:val="002D6CAC"/>
    <w:rsid w:val="002E0B8E"/>
    <w:rsid w:val="002F7DDA"/>
    <w:rsid w:val="003033E3"/>
    <w:rsid w:val="00303EEE"/>
    <w:rsid w:val="00305908"/>
    <w:rsid w:val="003165B2"/>
    <w:rsid w:val="00317FE9"/>
    <w:rsid w:val="003216BA"/>
    <w:rsid w:val="003225F2"/>
    <w:rsid w:val="00322713"/>
    <w:rsid w:val="00322B22"/>
    <w:rsid w:val="00327342"/>
    <w:rsid w:val="0034673B"/>
    <w:rsid w:val="003467DC"/>
    <w:rsid w:val="003517E6"/>
    <w:rsid w:val="0035517C"/>
    <w:rsid w:val="00355CAA"/>
    <w:rsid w:val="00360521"/>
    <w:rsid w:val="00363710"/>
    <w:rsid w:val="00370807"/>
    <w:rsid w:val="003708FB"/>
    <w:rsid w:val="0037618E"/>
    <w:rsid w:val="0039263E"/>
    <w:rsid w:val="00395D1C"/>
    <w:rsid w:val="003A79BB"/>
    <w:rsid w:val="003B739C"/>
    <w:rsid w:val="003C06FF"/>
    <w:rsid w:val="003C18E0"/>
    <w:rsid w:val="003C567E"/>
    <w:rsid w:val="003D2BBE"/>
    <w:rsid w:val="003D2DEC"/>
    <w:rsid w:val="003D75E2"/>
    <w:rsid w:val="003E32ED"/>
    <w:rsid w:val="003F0DD8"/>
    <w:rsid w:val="003F26A9"/>
    <w:rsid w:val="003F3D08"/>
    <w:rsid w:val="003F6AC1"/>
    <w:rsid w:val="00400A56"/>
    <w:rsid w:val="0040541B"/>
    <w:rsid w:val="00413A0D"/>
    <w:rsid w:val="00422521"/>
    <w:rsid w:val="00432544"/>
    <w:rsid w:val="0043739C"/>
    <w:rsid w:val="00440FBC"/>
    <w:rsid w:val="004425C4"/>
    <w:rsid w:val="00443957"/>
    <w:rsid w:val="0045736A"/>
    <w:rsid w:val="00457D54"/>
    <w:rsid w:val="00465B49"/>
    <w:rsid w:val="0046699F"/>
    <w:rsid w:val="00471077"/>
    <w:rsid w:val="004726BD"/>
    <w:rsid w:val="004831F1"/>
    <w:rsid w:val="00483F6C"/>
    <w:rsid w:val="004860AC"/>
    <w:rsid w:val="004926B6"/>
    <w:rsid w:val="004B3B97"/>
    <w:rsid w:val="004B45F0"/>
    <w:rsid w:val="004B53CD"/>
    <w:rsid w:val="004B7B47"/>
    <w:rsid w:val="004E06F4"/>
    <w:rsid w:val="004E2142"/>
    <w:rsid w:val="004E5503"/>
    <w:rsid w:val="004E6FA7"/>
    <w:rsid w:val="004F62BF"/>
    <w:rsid w:val="004F677A"/>
    <w:rsid w:val="005040B7"/>
    <w:rsid w:val="00504ACC"/>
    <w:rsid w:val="005051DD"/>
    <w:rsid w:val="0050619C"/>
    <w:rsid w:val="005211F3"/>
    <w:rsid w:val="005311B6"/>
    <w:rsid w:val="00531F75"/>
    <w:rsid w:val="00534B44"/>
    <w:rsid w:val="00535102"/>
    <w:rsid w:val="00536AC6"/>
    <w:rsid w:val="00544C35"/>
    <w:rsid w:val="005460A2"/>
    <w:rsid w:val="0054612C"/>
    <w:rsid w:val="00546360"/>
    <w:rsid w:val="00557CD2"/>
    <w:rsid w:val="00562EAA"/>
    <w:rsid w:val="00564D80"/>
    <w:rsid w:val="00573342"/>
    <w:rsid w:val="0057744C"/>
    <w:rsid w:val="00583B37"/>
    <w:rsid w:val="005841A1"/>
    <w:rsid w:val="00584A8A"/>
    <w:rsid w:val="00586596"/>
    <w:rsid w:val="00586CCD"/>
    <w:rsid w:val="00592521"/>
    <w:rsid w:val="005931DE"/>
    <w:rsid w:val="0059378B"/>
    <w:rsid w:val="00593C57"/>
    <w:rsid w:val="00597289"/>
    <w:rsid w:val="00597ACD"/>
    <w:rsid w:val="005A288D"/>
    <w:rsid w:val="005A3EE5"/>
    <w:rsid w:val="005A5E6A"/>
    <w:rsid w:val="005B36F1"/>
    <w:rsid w:val="005B536F"/>
    <w:rsid w:val="005B78E6"/>
    <w:rsid w:val="005C056B"/>
    <w:rsid w:val="005C1FAC"/>
    <w:rsid w:val="005D51EE"/>
    <w:rsid w:val="005D5E84"/>
    <w:rsid w:val="005D769E"/>
    <w:rsid w:val="005E2230"/>
    <w:rsid w:val="005E37B8"/>
    <w:rsid w:val="005E3AF2"/>
    <w:rsid w:val="005F2D00"/>
    <w:rsid w:val="005F577B"/>
    <w:rsid w:val="006004D3"/>
    <w:rsid w:val="00604172"/>
    <w:rsid w:val="00612D2C"/>
    <w:rsid w:val="00613402"/>
    <w:rsid w:val="006137CB"/>
    <w:rsid w:val="00615773"/>
    <w:rsid w:val="00622CDD"/>
    <w:rsid w:val="00623C1E"/>
    <w:rsid w:val="00635273"/>
    <w:rsid w:val="00642ABB"/>
    <w:rsid w:val="00646DCB"/>
    <w:rsid w:val="00650E53"/>
    <w:rsid w:val="00654E09"/>
    <w:rsid w:val="0065506E"/>
    <w:rsid w:val="00657EC9"/>
    <w:rsid w:val="006625DD"/>
    <w:rsid w:val="006657F2"/>
    <w:rsid w:val="00667627"/>
    <w:rsid w:val="00670302"/>
    <w:rsid w:val="00680DC5"/>
    <w:rsid w:val="00682802"/>
    <w:rsid w:val="00685FBF"/>
    <w:rsid w:val="00690E1F"/>
    <w:rsid w:val="00691843"/>
    <w:rsid w:val="00694E67"/>
    <w:rsid w:val="006A351E"/>
    <w:rsid w:val="006B06ED"/>
    <w:rsid w:val="006B76E3"/>
    <w:rsid w:val="006C499E"/>
    <w:rsid w:val="006C6E16"/>
    <w:rsid w:val="006D7F9F"/>
    <w:rsid w:val="006E047A"/>
    <w:rsid w:val="006E2594"/>
    <w:rsid w:val="006E3AC9"/>
    <w:rsid w:val="006E5B82"/>
    <w:rsid w:val="006E5FBF"/>
    <w:rsid w:val="006F44C9"/>
    <w:rsid w:val="00703366"/>
    <w:rsid w:val="007034F7"/>
    <w:rsid w:val="00703616"/>
    <w:rsid w:val="00711602"/>
    <w:rsid w:val="00725FA8"/>
    <w:rsid w:val="0072606E"/>
    <w:rsid w:val="0073669C"/>
    <w:rsid w:val="0074096A"/>
    <w:rsid w:val="007460D6"/>
    <w:rsid w:val="00746879"/>
    <w:rsid w:val="00752635"/>
    <w:rsid w:val="00756CE7"/>
    <w:rsid w:val="00757D77"/>
    <w:rsid w:val="007609B4"/>
    <w:rsid w:val="007669F4"/>
    <w:rsid w:val="0077046B"/>
    <w:rsid w:val="0077217D"/>
    <w:rsid w:val="00783150"/>
    <w:rsid w:val="007907D3"/>
    <w:rsid w:val="00797B78"/>
    <w:rsid w:val="007A71AE"/>
    <w:rsid w:val="007B1EB1"/>
    <w:rsid w:val="007B6ED3"/>
    <w:rsid w:val="007C0686"/>
    <w:rsid w:val="007C6B1D"/>
    <w:rsid w:val="007D3C32"/>
    <w:rsid w:val="007D6841"/>
    <w:rsid w:val="007E21DD"/>
    <w:rsid w:val="007F1C1E"/>
    <w:rsid w:val="007F23CD"/>
    <w:rsid w:val="0080199B"/>
    <w:rsid w:val="00802AA4"/>
    <w:rsid w:val="00802BB0"/>
    <w:rsid w:val="00804DA6"/>
    <w:rsid w:val="008125E2"/>
    <w:rsid w:val="00816BFE"/>
    <w:rsid w:val="00817FC1"/>
    <w:rsid w:val="00824319"/>
    <w:rsid w:val="00830219"/>
    <w:rsid w:val="00831277"/>
    <w:rsid w:val="008409B7"/>
    <w:rsid w:val="008446A8"/>
    <w:rsid w:val="0084655F"/>
    <w:rsid w:val="00847EA5"/>
    <w:rsid w:val="0085159A"/>
    <w:rsid w:val="00862A93"/>
    <w:rsid w:val="008704D8"/>
    <w:rsid w:val="00870A33"/>
    <w:rsid w:val="00871EDE"/>
    <w:rsid w:val="00873BBD"/>
    <w:rsid w:val="00873DE2"/>
    <w:rsid w:val="00875C23"/>
    <w:rsid w:val="00880259"/>
    <w:rsid w:val="00881FE2"/>
    <w:rsid w:val="008823A0"/>
    <w:rsid w:val="00885552"/>
    <w:rsid w:val="00886B7A"/>
    <w:rsid w:val="008A06C5"/>
    <w:rsid w:val="008B43D5"/>
    <w:rsid w:val="008B50FA"/>
    <w:rsid w:val="008B5929"/>
    <w:rsid w:val="008B6EBB"/>
    <w:rsid w:val="008C3C4F"/>
    <w:rsid w:val="008C4E80"/>
    <w:rsid w:val="008E5B57"/>
    <w:rsid w:val="008F1DB0"/>
    <w:rsid w:val="008F5830"/>
    <w:rsid w:val="00901FD4"/>
    <w:rsid w:val="00902866"/>
    <w:rsid w:val="009032D5"/>
    <w:rsid w:val="00911C15"/>
    <w:rsid w:val="00911F28"/>
    <w:rsid w:val="00913BA8"/>
    <w:rsid w:val="0091417D"/>
    <w:rsid w:val="00922875"/>
    <w:rsid w:val="00924D28"/>
    <w:rsid w:val="00927EDF"/>
    <w:rsid w:val="0094196D"/>
    <w:rsid w:val="00947FE9"/>
    <w:rsid w:val="0095314B"/>
    <w:rsid w:val="00955DD0"/>
    <w:rsid w:val="00955EEF"/>
    <w:rsid w:val="009659C4"/>
    <w:rsid w:val="00966876"/>
    <w:rsid w:val="009676CF"/>
    <w:rsid w:val="00970AD7"/>
    <w:rsid w:val="00974D46"/>
    <w:rsid w:val="0098021D"/>
    <w:rsid w:val="00981752"/>
    <w:rsid w:val="00982E23"/>
    <w:rsid w:val="00986577"/>
    <w:rsid w:val="0099040A"/>
    <w:rsid w:val="009908E8"/>
    <w:rsid w:val="0099528C"/>
    <w:rsid w:val="009A0CA5"/>
    <w:rsid w:val="009A3B82"/>
    <w:rsid w:val="009A4C84"/>
    <w:rsid w:val="009B34BB"/>
    <w:rsid w:val="009B54E6"/>
    <w:rsid w:val="009C0B86"/>
    <w:rsid w:val="009C1706"/>
    <w:rsid w:val="009C3755"/>
    <w:rsid w:val="009C6E0B"/>
    <w:rsid w:val="009D3220"/>
    <w:rsid w:val="009E1C27"/>
    <w:rsid w:val="009E340E"/>
    <w:rsid w:val="009E3FA8"/>
    <w:rsid w:val="009E4D7D"/>
    <w:rsid w:val="009E5D24"/>
    <w:rsid w:val="009E74E3"/>
    <w:rsid w:val="00A07FDB"/>
    <w:rsid w:val="00A14FB8"/>
    <w:rsid w:val="00A16ECE"/>
    <w:rsid w:val="00A20011"/>
    <w:rsid w:val="00A27781"/>
    <w:rsid w:val="00A31513"/>
    <w:rsid w:val="00A34B2D"/>
    <w:rsid w:val="00A379EC"/>
    <w:rsid w:val="00A432FF"/>
    <w:rsid w:val="00A44DDF"/>
    <w:rsid w:val="00A50ABD"/>
    <w:rsid w:val="00A536E8"/>
    <w:rsid w:val="00A5390F"/>
    <w:rsid w:val="00A57613"/>
    <w:rsid w:val="00A616FA"/>
    <w:rsid w:val="00A66A2F"/>
    <w:rsid w:val="00A70E7D"/>
    <w:rsid w:val="00A77826"/>
    <w:rsid w:val="00A81035"/>
    <w:rsid w:val="00A83CE1"/>
    <w:rsid w:val="00A9708B"/>
    <w:rsid w:val="00AA06BE"/>
    <w:rsid w:val="00AA1876"/>
    <w:rsid w:val="00AA75A4"/>
    <w:rsid w:val="00AB0925"/>
    <w:rsid w:val="00AC30A1"/>
    <w:rsid w:val="00AC3724"/>
    <w:rsid w:val="00AE1714"/>
    <w:rsid w:val="00AF0FED"/>
    <w:rsid w:val="00AF14E6"/>
    <w:rsid w:val="00AF3CC5"/>
    <w:rsid w:val="00B01B1C"/>
    <w:rsid w:val="00B114D6"/>
    <w:rsid w:val="00B132D0"/>
    <w:rsid w:val="00B22F60"/>
    <w:rsid w:val="00B23B12"/>
    <w:rsid w:val="00B24256"/>
    <w:rsid w:val="00B26CCA"/>
    <w:rsid w:val="00B3476B"/>
    <w:rsid w:val="00B3503A"/>
    <w:rsid w:val="00B378D4"/>
    <w:rsid w:val="00B5055D"/>
    <w:rsid w:val="00B55BF4"/>
    <w:rsid w:val="00B61D4A"/>
    <w:rsid w:val="00B627F8"/>
    <w:rsid w:val="00B660A3"/>
    <w:rsid w:val="00B67114"/>
    <w:rsid w:val="00B7737B"/>
    <w:rsid w:val="00B90D02"/>
    <w:rsid w:val="00B93B1A"/>
    <w:rsid w:val="00BA22B7"/>
    <w:rsid w:val="00BB0AED"/>
    <w:rsid w:val="00BB36A7"/>
    <w:rsid w:val="00BB38BD"/>
    <w:rsid w:val="00BB7507"/>
    <w:rsid w:val="00BC02C9"/>
    <w:rsid w:val="00BC0D9E"/>
    <w:rsid w:val="00BD692B"/>
    <w:rsid w:val="00BD7785"/>
    <w:rsid w:val="00BE1740"/>
    <w:rsid w:val="00BE4B01"/>
    <w:rsid w:val="00BF713D"/>
    <w:rsid w:val="00BF7CC6"/>
    <w:rsid w:val="00C026F2"/>
    <w:rsid w:val="00C0284A"/>
    <w:rsid w:val="00C12920"/>
    <w:rsid w:val="00C13B96"/>
    <w:rsid w:val="00C145F8"/>
    <w:rsid w:val="00C21B67"/>
    <w:rsid w:val="00C259C4"/>
    <w:rsid w:val="00C270BA"/>
    <w:rsid w:val="00C31ACB"/>
    <w:rsid w:val="00C327F0"/>
    <w:rsid w:val="00C47BA0"/>
    <w:rsid w:val="00C50D8F"/>
    <w:rsid w:val="00C62D0A"/>
    <w:rsid w:val="00C658CA"/>
    <w:rsid w:val="00C67EA6"/>
    <w:rsid w:val="00C71C0B"/>
    <w:rsid w:val="00C71E86"/>
    <w:rsid w:val="00C800B1"/>
    <w:rsid w:val="00C85626"/>
    <w:rsid w:val="00C85F4D"/>
    <w:rsid w:val="00CA462A"/>
    <w:rsid w:val="00CA5882"/>
    <w:rsid w:val="00CA5B61"/>
    <w:rsid w:val="00CB1397"/>
    <w:rsid w:val="00CC73C5"/>
    <w:rsid w:val="00CD4D0C"/>
    <w:rsid w:val="00CD77BE"/>
    <w:rsid w:val="00CE742B"/>
    <w:rsid w:val="00CF2A97"/>
    <w:rsid w:val="00CF2FDA"/>
    <w:rsid w:val="00CF44C6"/>
    <w:rsid w:val="00D00315"/>
    <w:rsid w:val="00D01E09"/>
    <w:rsid w:val="00D02F21"/>
    <w:rsid w:val="00D10998"/>
    <w:rsid w:val="00D1636B"/>
    <w:rsid w:val="00D21817"/>
    <w:rsid w:val="00D27112"/>
    <w:rsid w:val="00D33001"/>
    <w:rsid w:val="00D36AC0"/>
    <w:rsid w:val="00D37858"/>
    <w:rsid w:val="00D477C1"/>
    <w:rsid w:val="00D515AC"/>
    <w:rsid w:val="00D546E3"/>
    <w:rsid w:val="00D57449"/>
    <w:rsid w:val="00D6430E"/>
    <w:rsid w:val="00D70282"/>
    <w:rsid w:val="00D72103"/>
    <w:rsid w:val="00D77CC5"/>
    <w:rsid w:val="00D86CA5"/>
    <w:rsid w:val="00D94D43"/>
    <w:rsid w:val="00D95048"/>
    <w:rsid w:val="00D953C5"/>
    <w:rsid w:val="00DA0459"/>
    <w:rsid w:val="00DA4758"/>
    <w:rsid w:val="00DC4130"/>
    <w:rsid w:val="00DC5EDB"/>
    <w:rsid w:val="00DC75F1"/>
    <w:rsid w:val="00DD2134"/>
    <w:rsid w:val="00DD3517"/>
    <w:rsid w:val="00DE6385"/>
    <w:rsid w:val="00DF770D"/>
    <w:rsid w:val="00DF7A0B"/>
    <w:rsid w:val="00E05F22"/>
    <w:rsid w:val="00E068FB"/>
    <w:rsid w:val="00E10F62"/>
    <w:rsid w:val="00E146D4"/>
    <w:rsid w:val="00E15757"/>
    <w:rsid w:val="00E21496"/>
    <w:rsid w:val="00E22595"/>
    <w:rsid w:val="00E30718"/>
    <w:rsid w:val="00E317B1"/>
    <w:rsid w:val="00E429CC"/>
    <w:rsid w:val="00E44773"/>
    <w:rsid w:val="00E44F5E"/>
    <w:rsid w:val="00E46D0F"/>
    <w:rsid w:val="00E557C2"/>
    <w:rsid w:val="00E57B59"/>
    <w:rsid w:val="00E63B4D"/>
    <w:rsid w:val="00E67D3E"/>
    <w:rsid w:val="00E7521A"/>
    <w:rsid w:val="00E82169"/>
    <w:rsid w:val="00E901ED"/>
    <w:rsid w:val="00E9264D"/>
    <w:rsid w:val="00E92EE4"/>
    <w:rsid w:val="00E9332D"/>
    <w:rsid w:val="00EA1FFC"/>
    <w:rsid w:val="00EA66A4"/>
    <w:rsid w:val="00EA7401"/>
    <w:rsid w:val="00EC0A4A"/>
    <w:rsid w:val="00EC20FC"/>
    <w:rsid w:val="00EE0F9C"/>
    <w:rsid w:val="00EE7382"/>
    <w:rsid w:val="00EE7C4A"/>
    <w:rsid w:val="00EF02FD"/>
    <w:rsid w:val="00EF6C2B"/>
    <w:rsid w:val="00EF72D5"/>
    <w:rsid w:val="00EF7C29"/>
    <w:rsid w:val="00F00D5C"/>
    <w:rsid w:val="00F1048E"/>
    <w:rsid w:val="00F10C1D"/>
    <w:rsid w:val="00F13477"/>
    <w:rsid w:val="00F16308"/>
    <w:rsid w:val="00F210D5"/>
    <w:rsid w:val="00F24DAB"/>
    <w:rsid w:val="00F2718F"/>
    <w:rsid w:val="00F307FF"/>
    <w:rsid w:val="00F35E5D"/>
    <w:rsid w:val="00F36EC9"/>
    <w:rsid w:val="00F525FB"/>
    <w:rsid w:val="00F53E76"/>
    <w:rsid w:val="00F6119F"/>
    <w:rsid w:val="00F65FC5"/>
    <w:rsid w:val="00F82799"/>
    <w:rsid w:val="00F83287"/>
    <w:rsid w:val="00F84EA2"/>
    <w:rsid w:val="00FA45B5"/>
    <w:rsid w:val="00FB1B70"/>
    <w:rsid w:val="00FB1E7F"/>
    <w:rsid w:val="00FC7EF8"/>
    <w:rsid w:val="00FE60A3"/>
    <w:rsid w:val="00FF6E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738A9"/>
  <w15:chartTrackingRefBased/>
  <w15:docId w15:val="{47E1A96F-9C50-451B-BF65-49CC80C47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3B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6">
    <w:name w:val="heading 6"/>
    <w:basedOn w:val="Normal"/>
    <w:next w:val="Normal"/>
    <w:link w:val="Heading6Char"/>
    <w:uiPriority w:val="9"/>
    <w:semiHidden/>
    <w:unhideWhenUsed/>
    <w:qFormat/>
    <w:rsid w:val="00847EA5"/>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0FED"/>
    <w:rPr>
      <w:color w:val="0563C1" w:themeColor="hyperlink"/>
      <w:u w:val="single"/>
    </w:rPr>
  </w:style>
  <w:style w:type="character" w:styleId="UnresolvedMention">
    <w:name w:val="Unresolved Mention"/>
    <w:basedOn w:val="DefaultParagraphFont"/>
    <w:uiPriority w:val="99"/>
    <w:semiHidden/>
    <w:unhideWhenUsed/>
    <w:rsid w:val="00AF0FED"/>
    <w:rPr>
      <w:color w:val="605E5C"/>
      <w:shd w:val="clear" w:color="auto" w:fill="E1DFDD"/>
    </w:rPr>
  </w:style>
  <w:style w:type="character" w:styleId="Strong">
    <w:name w:val="Strong"/>
    <w:basedOn w:val="DefaultParagraphFont"/>
    <w:uiPriority w:val="22"/>
    <w:qFormat/>
    <w:rsid w:val="00623C1E"/>
    <w:rPr>
      <w:b/>
      <w:bCs/>
    </w:rPr>
  </w:style>
  <w:style w:type="paragraph" w:customStyle="1" w:styleId="cpe3">
    <w:name w:val="cpe3"/>
    <w:basedOn w:val="Normal"/>
    <w:rsid w:val="00623C1E"/>
    <w:pPr>
      <w:spacing w:after="0" w:line="240" w:lineRule="auto"/>
    </w:pPr>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uiPriority w:val="9"/>
    <w:semiHidden/>
    <w:rsid w:val="00847EA5"/>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360521"/>
    <w:rPr>
      <w:rFonts w:ascii="Times New Roman" w:hAnsi="Times New Roman" w:cs="Times New Roman"/>
      <w:sz w:val="24"/>
      <w:szCs w:val="24"/>
    </w:rPr>
  </w:style>
  <w:style w:type="paragraph" w:styleId="ListParagraph">
    <w:name w:val="List Paragraph"/>
    <w:basedOn w:val="Normal"/>
    <w:uiPriority w:val="34"/>
    <w:qFormat/>
    <w:rsid w:val="00885552"/>
    <w:pPr>
      <w:ind w:left="720"/>
      <w:contextualSpacing/>
    </w:pPr>
  </w:style>
  <w:style w:type="character" w:styleId="FollowedHyperlink">
    <w:name w:val="FollowedHyperlink"/>
    <w:basedOn w:val="DefaultParagraphFont"/>
    <w:uiPriority w:val="99"/>
    <w:semiHidden/>
    <w:unhideWhenUsed/>
    <w:rsid w:val="001B0B57"/>
    <w:rPr>
      <w:color w:val="954F72" w:themeColor="followedHyperlink"/>
      <w:u w:val="single"/>
    </w:rPr>
  </w:style>
  <w:style w:type="character" w:customStyle="1" w:styleId="Heading1Char">
    <w:name w:val="Heading 1 Char"/>
    <w:basedOn w:val="DefaultParagraphFont"/>
    <w:link w:val="Heading1"/>
    <w:uiPriority w:val="9"/>
    <w:rsid w:val="00B93B1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8172031">
      <w:bodyDiv w:val="1"/>
      <w:marLeft w:val="0"/>
      <w:marRight w:val="0"/>
      <w:marTop w:val="0"/>
      <w:marBottom w:val="0"/>
      <w:divBdr>
        <w:top w:val="none" w:sz="0" w:space="0" w:color="auto"/>
        <w:left w:val="none" w:sz="0" w:space="0" w:color="auto"/>
        <w:bottom w:val="none" w:sz="0" w:space="0" w:color="auto"/>
        <w:right w:val="none" w:sz="0" w:space="0" w:color="auto"/>
      </w:divBdr>
    </w:div>
    <w:div w:id="637951835">
      <w:bodyDiv w:val="1"/>
      <w:marLeft w:val="0"/>
      <w:marRight w:val="0"/>
      <w:marTop w:val="0"/>
      <w:marBottom w:val="0"/>
      <w:divBdr>
        <w:top w:val="none" w:sz="0" w:space="0" w:color="auto"/>
        <w:left w:val="none" w:sz="0" w:space="0" w:color="auto"/>
        <w:bottom w:val="none" w:sz="0" w:space="0" w:color="auto"/>
        <w:right w:val="none" w:sz="0" w:space="0" w:color="auto"/>
      </w:divBdr>
    </w:div>
    <w:div w:id="984621241">
      <w:bodyDiv w:val="1"/>
      <w:marLeft w:val="0"/>
      <w:marRight w:val="0"/>
      <w:marTop w:val="0"/>
      <w:marBottom w:val="0"/>
      <w:divBdr>
        <w:top w:val="none" w:sz="0" w:space="0" w:color="auto"/>
        <w:left w:val="none" w:sz="0" w:space="0" w:color="auto"/>
        <w:bottom w:val="none" w:sz="0" w:space="0" w:color="auto"/>
        <w:right w:val="none" w:sz="0" w:space="0" w:color="auto"/>
      </w:divBdr>
    </w:div>
    <w:div w:id="1072436528">
      <w:bodyDiv w:val="1"/>
      <w:marLeft w:val="0"/>
      <w:marRight w:val="0"/>
      <w:marTop w:val="0"/>
      <w:marBottom w:val="0"/>
      <w:divBdr>
        <w:top w:val="none" w:sz="0" w:space="0" w:color="auto"/>
        <w:left w:val="none" w:sz="0" w:space="0" w:color="auto"/>
        <w:bottom w:val="none" w:sz="0" w:space="0" w:color="auto"/>
        <w:right w:val="none" w:sz="0" w:space="0" w:color="auto"/>
      </w:divBdr>
    </w:div>
    <w:div w:id="1211377901">
      <w:bodyDiv w:val="1"/>
      <w:marLeft w:val="0"/>
      <w:marRight w:val="0"/>
      <w:marTop w:val="0"/>
      <w:marBottom w:val="0"/>
      <w:divBdr>
        <w:top w:val="none" w:sz="0" w:space="0" w:color="auto"/>
        <w:left w:val="none" w:sz="0" w:space="0" w:color="auto"/>
        <w:bottom w:val="none" w:sz="0" w:space="0" w:color="auto"/>
        <w:right w:val="none" w:sz="0" w:space="0" w:color="auto"/>
      </w:divBdr>
    </w:div>
    <w:div w:id="1363673460">
      <w:bodyDiv w:val="1"/>
      <w:marLeft w:val="0"/>
      <w:marRight w:val="0"/>
      <w:marTop w:val="0"/>
      <w:marBottom w:val="0"/>
      <w:divBdr>
        <w:top w:val="none" w:sz="0" w:space="0" w:color="auto"/>
        <w:left w:val="none" w:sz="0" w:space="0" w:color="auto"/>
        <w:bottom w:val="none" w:sz="0" w:space="0" w:color="auto"/>
        <w:right w:val="none" w:sz="0" w:space="0" w:color="auto"/>
      </w:divBdr>
      <w:divsChild>
        <w:div w:id="2020961600">
          <w:marLeft w:val="0"/>
          <w:marRight w:val="0"/>
          <w:marTop w:val="0"/>
          <w:marBottom w:val="0"/>
          <w:divBdr>
            <w:top w:val="none" w:sz="0" w:space="0" w:color="auto"/>
            <w:left w:val="none" w:sz="0" w:space="0" w:color="auto"/>
            <w:bottom w:val="none" w:sz="0" w:space="0" w:color="auto"/>
            <w:right w:val="none" w:sz="0" w:space="0" w:color="auto"/>
          </w:divBdr>
        </w:div>
      </w:divsChild>
    </w:div>
    <w:div w:id="1488017354">
      <w:bodyDiv w:val="1"/>
      <w:marLeft w:val="0"/>
      <w:marRight w:val="0"/>
      <w:marTop w:val="0"/>
      <w:marBottom w:val="0"/>
      <w:divBdr>
        <w:top w:val="none" w:sz="0" w:space="0" w:color="auto"/>
        <w:left w:val="none" w:sz="0" w:space="0" w:color="auto"/>
        <w:bottom w:val="none" w:sz="0" w:space="0" w:color="auto"/>
        <w:right w:val="none" w:sz="0" w:space="0" w:color="auto"/>
      </w:divBdr>
    </w:div>
    <w:div w:id="1521309537">
      <w:bodyDiv w:val="1"/>
      <w:marLeft w:val="0"/>
      <w:marRight w:val="0"/>
      <w:marTop w:val="0"/>
      <w:marBottom w:val="0"/>
      <w:divBdr>
        <w:top w:val="none" w:sz="0" w:space="0" w:color="auto"/>
        <w:left w:val="none" w:sz="0" w:space="0" w:color="auto"/>
        <w:bottom w:val="none" w:sz="0" w:space="0" w:color="auto"/>
        <w:right w:val="none" w:sz="0" w:space="0" w:color="auto"/>
      </w:divBdr>
    </w:div>
    <w:div w:id="1624538124">
      <w:bodyDiv w:val="1"/>
      <w:marLeft w:val="0"/>
      <w:marRight w:val="0"/>
      <w:marTop w:val="0"/>
      <w:marBottom w:val="0"/>
      <w:divBdr>
        <w:top w:val="none" w:sz="0" w:space="0" w:color="auto"/>
        <w:left w:val="none" w:sz="0" w:space="0" w:color="auto"/>
        <w:bottom w:val="none" w:sz="0" w:space="0" w:color="auto"/>
        <w:right w:val="none" w:sz="0" w:space="0" w:color="auto"/>
      </w:divBdr>
    </w:div>
    <w:div w:id="1656253121">
      <w:bodyDiv w:val="1"/>
      <w:marLeft w:val="0"/>
      <w:marRight w:val="0"/>
      <w:marTop w:val="0"/>
      <w:marBottom w:val="0"/>
      <w:divBdr>
        <w:top w:val="none" w:sz="0" w:space="0" w:color="auto"/>
        <w:left w:val="none" w:sz="0" w:space="0" w:color="auto"/>
        <w:bottom w:val="none" w:sz="0" w:space="0" w:color="auto"/>
        <w:right w:val="none" w:sz="0" w:space="0" w:color="auto"/>
      </w:divBdr>
      <w:divsChild>
        <w:div w:id="162276245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73752277">
      <w:bodyDiv w:val="1"/>
      <w:marLeft w:val="0"/>
      <w:marRight w:val="0"/>
      <w:marTop w:val="0"/>
      <w:marBottom w:val="0"/>
      <w:divBdr>
        <w:top w:val="none" w:sz="0" w:space="0" w:color="auto"/>
        <w:left w:val="none" w:sz="0" w:space="0" w:color="auto"/>
        <w:bottom w:val="none" w:sz="0" w:space="0" w:color="auto"/>
        <w:right w:val="none" w:sz="0" w:space="0" w:color="auto"/>
      </w:divBdr>
    </w:div>
    <w:div w:id="1913738450">
      <w:bodyDiv w:val="1"/>
      <w:marLeft w:val="0"/>
      <w:marRight w:val="0"/>
      <w:marTop w:val="0"/>
      <w:marBottom w:val="0"/>
      <w:divBdr>
        <w:top w:val="none" w:sz="0" w:space="0" w:color="auto"/>
        <w:left w:val="none" w:sz="0" w:space="0" w:color="auto"/>
        <w:bottom w:val="none" w:sz="0" w:space="0" w:color="auto"/>
        <w:right w:val="none" w:sz="0" w:space="0" w:color="auto"/>
      </w:divBdr>
    </w:div>
    <w:div w:id="2032340439">
      <w:bodyDiv w:val="1"/>
      <w:marLeft w:val="0"/>
      <w:marRight w:val="0"/>
      <w:marTop w:val="0"/>
      <w:marBottom w:val="0"/>
      <w:divBdr>
        <w:top w:val="none" w:sz="0" w:space="0" w:color="auto"/>
        <w:left w:val="none" w:sz="0" w:space="0" w:color="auto"/>
        <w:bottom w:val="none" w:sz="0" w:space="0" w:color="auto"/>
        <w:right w:val="none" w:sz="0" w:space="0" w:color="auto"/>
      </w:divBdr>
    </w:div>
    <w:div w:id="2140611696">
      <w:bodyDiv w:val="1"/>
      <w:marLeft w:val="0"/>
      <w:marRight w:val="0"/>
      <w:marTop w:val="0"/>
      <w:marBottom w:val="0"/>
      <w:divBdr>
        <w:top w:val="none" w:sz="0" w:space="0" w:color="auto"/>
        <w:left w:val="none" w:sz="0" w:space="0" w:color="auto"/>
        <w:bottom w:val="none" w:sz="0" w:space="0" w:color="auto"/>
        <w:right w:val="none" w:sz="0" w:space="0" w:color="auto"/>
      </w:divBdr>
      <w:divsChild>
        <w:div w:id="4441599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core/journals/international-journal-of-law-in-context/article/abs/legal-fictions-and-legal-change/CDCDA1455D4FAD8CFA8EBBE99221DD6D" TargetMode="External"/><Relationship Id="rId13" Type="http://schemas.openxmlformats.org/officeDocument/2006/relationships/hyperlink" Target="https://uk.westlaw.com/Document/I5E8E55E0908611E29FF8D324E49DFB2F/View/FullText.html?ppcid=5be864dd3aee47fb95ab32b88590e27c&amp;originationContext=ukCommentaryReferences&amp;transitionType=Default&amp;contextData=%28sc.DocLink%29&amp;comp=wluk" TargetMode="External"/><Relationship Id="rId18" Type="http://schemas.openxmlformats.org/officeDocument/2006/relationships/hyperlink" Target="https://plus-lexis-com.ezproxy.uwtsd.ac.uk/uk/document/documentlink/?pdmfid=1001073&amp;crid=36133d10-0ca4-4f83-8775-9e7f880ff3c3&amp;pddocfullpath=%2Fshared%2Fdocument%2Fcases-uk%2Furn%3AcontentItem%3A4J44-1360-TX1N-H09R-00000-00&amp;pdcontentcomponentid=289949&amp;pdproductcontenttypeid=urn%3Apct%3A285&amp;pdiskwicview=false&amp;pdpinpoint=&amp;ecomp=mk4k&amp;prid=dce3ba51-f9d1-4a2a-a2df-4a019b86a538"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plus-lexis-com.ezproxy.uwtsd.ac.uk/uk/document/?pdmfid=1001073&amp;crid=de057475-92b2-41da-8f05-cb7358c77408&amp;pddocfullpath=%2Fshared%2Fdocument%2Fanalytical-materials-uk%2Furn%3AcontentItem%3A5MSK-DDM1-DYJD-X4VG-00000-00&amp;pdcontentcomponentid=280276&amp;pdteaserkey=&amp;pdislpamode=false&amp;pddocumentnumber=9&amp;ecomp=tt5k&amp;earg=sr8&amp;prid=0357625d-a236-41e2-aa98-b5f332fc8dff" TargetMode="External"/><Relationship Id="rId12" Type="http://schemas.openxmlformats.org/officeDocument/2006/relationships/hyperlink" Target="https://www.gov.uk/government/publications/easements/practice-guide-62-easements" TargetMode="External"/><Relationship Id="rId17" Type="http://schemas.openxmlformats.org/officeDocument/2006/relationships/hyperlink" Target="https://plus-lexis-com.ezproxy.uwtsd.ac.uk/uk/document/?pdmfid=1001073&amp;crid=c04f5a81-d62f-449c-bc59-7bdd41d66bcc&amp;pddocfullpath=%2Fshared%2Fdocument%2Fanalytical-materials-uk%2Furn%3AcontentItem%3A5PDW-VCG1-F0NH-351M-00000-00&amp;pdcontentcomponentid=385541&amp;pdteaserkey=&amp;pdislpamode=false&amp;pddocumentnumber=1&amp;ecomp=tt5k&amp;earg=sr0&amp;prid=af0bd85d-bc2d-47ee-a9e5-43362b9f9ee8" TargetMode="External"/><Relationship Id="rId2" Type="http://schemas.openxmlformats.org/officeDocument/2006/relationships/styles" Target="styles.xml"/><Relationship Id="rId16" Type="http://schemas.openxmlformats.org/officeDocument/2006/relationships/hyperlink" Target="https://plus-lexis-com.ezproxy.uwtsd.ac.uk/uk/document/?pdmfid=1001073&amp;crid=9fb3397b-0303-4bb1-a2d5-4fee99f46a65&amp;pddocfullpath=%2Fshared%2Fdocument%2Fanalytical-materials-uk%2Furn%3AcontentItem%3A5SM2-TDW1-DYJD-X46N-00000-00&amp;pdcontentcomponentid=280276&amp;pdteaserkey=&amp;pdislpamode=false&amp;pddocumentnumber=2&amp;ecomp=ht5k&amp;earg=sr1&amp;prid=dee41b37-fc6d-490c-b5ae-2a88a3531c0d"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plus-lexis-com.ezproxy.uwtsd.ac.uk/uk/document/?pdmfid=1001073&amp;crid=382af0d1-00a6-4ff5-b3c5-59badf89c863&amp;pddocfullpath=%2Fshared%2Fdocument%2Fanalytical-materials-uk%2Furn%3AcontentItem%3A5RYR-XX81-DY08-C2C0-00000-00&amp;pdcontentcomponentid=374818&amp;pdteaserkey=&amp;pdislpamode=false&amp;pddocumentnumber=4&amp;ecomp=tt5k&amp;earg=sr3&amp;prid=0a7b5ccf-3312-4046-9afb-d51339d90b49" TargetMode="External"/><Relationship Id="rId11" Type="http://schemas.openxmlformats.org/officeDocument/2006/relationships/hyperlink" Target="https://www.gov.uk/government/publications/execution-of-deeds/practice-guide-8-execution-of-deeds" TargetMode="External"/><Relationship Id="rId5" Type="http://schemas.openxmlformats.org/officeDocument/2006/relationships/hyperlink" Target="https://plus-lexis-com.ezproxy.uwtsd.ac.uk/uk/document/documentlink/?pdmfid=1001073&amp;crid=923aa594-3e21-43a2-98f6-5594b2f47a75&amp;pddocfullpath=%2Fshared%2Fdocument%2Fcases-uk%2Furn%3AcontentItem%3A4J44-1350-TX1N-H187-00000-00&amp;pdcontentcomponentid=289949&amp;pdproductcontenttypeid=urn%3Apct%3A285&amp;pdiskwicview=false&amp;pdpinpoint=&amp;ecomp=zk4k&amp;prid=c1de295c-f854-40ed-81ab-e3bb8156201a" TargetMode="External"/><Relationship Id="rId15" Type="http://schemas.openxmlformats.org/officeDocument/2006/relationships/hyperlink" Target="https://plus-lexis-com.ezproxy.uwtsd.ac.uk/uk/document/?pdmfid=1001073&amp;crid=8ba75389-0f95-4134-ab98-c4edf5725292&amp;pddocfullpath=%2Fshared%2Fdocument%2Fanalytical-materials-uk%2Furn%3AcontentItem%3A4RCW-XHK0-TWWR-G0GH-00000-00&amp;pdcontentcomponentid=280276&amp;pdteaserkey=&amp;pdislpamode=false&amp;pddocumentnumber=1&amp;ecomp=ht5k&amp;earg=sr0&amp;prid=03e7f284-f141-4829-8df2-a5b6f0b78013" TargetMode="External"/><Relationship Id="rId10" Type="http://schemas.openxmlformats.org/officeDocument/2006/relationships/hyperlink" Target="https://rethority.com/fee-simple/" TargetMode="External"/><Relationship Id="rId19" Type="http://schemas.openxmlformats.org/officeDocument/2006/relationships/hyperlink" Target="https://plus-lexis-com.ezproxy.uwtsd.ac.uk/uk/document/?pdmfid=1001073&amp;crid=404f898c-60fe-4c5b-803a-6c1e6c52ee82&amp;pddocfullpath=%2Fshared%2Fdocument%2Fanalytical-materials-uk%2Furn%3AcontentItem%3A592N-9RX1-DYJD-X15R-00000-00&amp;pdcontentcomponentid=280276&amp;pdteaserkey=&amp;pdislpamode=false&amp;pddocumentnumber=8&amp;ecomp=ht5k&amp;earg=sr7&amp;prid=ce5d87a6-7df3-4733-8fc0-f757fca0eb5a" TargetMode="External"/><Relationship Id="rId4" Type="http://schemas.openxmlformats.org/officeDocument/2006/relationships/webSettings" Target="webSettings.xml"/><Relationship Id="rId9" Type="http://schemas.openxmlformats.org/officeDocument/2006/relationships/hyperlink" Target="https://plus-lexis-com.ezproxy.uwtsd.ac.uk/uk/document/?pdmfid=1001073&amp;crid=3729461d-86ab-4ae3-8f3e-41af120c03c3&amp;pddocfullpath=%2Fshared%2Fdocument%2Fanalytical-materials-uk%2Furn%3AcontentItem%3A556T-TCP1-DY08-C2XK-00000-00&amp;pdcontentcomponentid=374818&amp;pdteaserkey=&amp;pdislpamode=false&amp;pddocumentnumber=1&amp;ecomp=tt5k&amp;earg=sr0&amp;prid=fff7d044-a4c2-4bc5-a975-d7cbfbddedb7" TargetMode="External"/><Relationship Id="rId14" Type="http://schemas.openxmlformats.org/officeDocument/2006/relationships/hyperlink" Target="https://plus-lexis-com.ezproxy.uwtsd.ac.uk/uk/document/?pdmfid=1001073&amp;crid=4a10ba7c-ec3a-4b06-88e3-198d74c37ebe&amp;pddocfullpath=%2Fshared%2Fdocument%2Fanalytical-materials-uk%2Furn%3AcontentItem%3A5M4V-TH01-F078-H0W6-00000-00&amp;pdcontentcomponentid=302219&amp;pdteaserkey=&amp;pdislpamode=false&amp;pddocumentnumber=2&amp;ecomp=ht5k&amp;earg=sr1&amp;prid=3c3a9c77-4ffc-483e-bd08-8f572caa64a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1454</TotalTime>
  <Pages>8</Pages>
  <Words>3811</Words>
  <Characters>21729</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Evans</dc:creator>
  <cp:keywords/>
  <dc:description/>
  <cp:lastModifiedBy>Beverly Evans</cp:lastModifiedBy>
  <cp:revision>18</cp:revision>
  <dcterms:created xsi:type="dcterms:W3CDTF">2023-03-16T08:05:00Z</dcterms:created>
  <dcterms:modified xsi:type="dcterms:W3CDTF">2023-07-21T01:12:00Z</dcterms:modified>
</cp:coreProperties>
</file>