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52E3" w:rsidRDefault="002B3A5C" w:rsidP="002052E3">
      <w:pPr>
        <w:pStyle w:val="Tittel"/>
        <w:rPr>
          <w:rFonts w:ascii="Times New Roman" w:hAnsi="Times New Roman" w:cs="Times New Roman"/>
          <w:sz w:val="40"/>
          <w:szCs w:val="40"/>
        </w:rPr>
      </w:pPr>
      <w:r w:rsidRPr="002052E3">
        <w:rPr>
          <w:rFonts w:ascii="Times New Roman" w:hAnsi="Times New Roman" w:cs="Times New Roman"/>
          <w:sz w:val="40"/>
          <w:szCs w:val="40"/>
        </w:rPr>
        <w:t>What can archaeology contribute to the study of the Ottoman past?</w:t>
      </w:r>
      <w:r w:rsidR="0017354A" w:rsidRPr="002052E3">
        <w:rPr>
          <w:rFonts w:ascii="Times New Roman" w:hAnsi="Times New Roman" w:cs="Times New Roman"/>
          <w:sz w:val="40"/>
          <w:szCs w:val="40"/>
        </w:rPr>
        <w:t xml:space="preserve"> An example from </w:t>
      </w:r>
      <w:proofErr w:type="spellStart"/>
      <w:r w:rsidR="0017354A" w:rsidRPr="002052E3">
        <w:rPr>
          <w:rFonts w:ascii="Times New Roman" w:hAnsi="Times New Roman" w:cs="Times New Roman"/>
          <w:sz w:val="40"/>
          <w:szCs w:val="40"/>
        </w:rPr>
        <w:t>Zabid</w:t>
      </w:r>
      <w:proofErr w:type="spellEnd"/>
      <w:r w:rsidR="0017354A" w:rsidRPr="002052E3">
        <w:rPr>
          <w:rFonts w:ascii="Times New Roman" w:hAnsi="Times New Roman" w:cs="Times New Roman"/>
          <w:sz w:val="40"/>
          <w:szCs w:val="40"/>
        </w:rPr>
        <w:t>, Yemen.</w:t>
      </w:r>
    </w:p>
    <w:p w:rsidR="002052E3" w:rsidRPr="002052E3" w:rsidRDefault="002052E3" w:rsidP="002052E3"/>
    <w:p w:rsidR="00EF7A7D" w:rsidRDefault="00EF7A7D" w:rsidP="002052E3">
      <w:r>
        <w:t>Coffee has been playing an important role</w:t>
      </w:r>
      <w:bookmarkStart w:id="0" w:name="_GoBack"/>
      <w:bookmarkEnd w:id="0"/>
      <w:r>
        <w:t xml:space="preserve"> within the Ottoman Empire (</w:t>
      </w:r>
      <w:proofErr w:type="spellStart"/>
      <w:r>
        <w:t>Kea</w:t>
      </w:r>
      <w:r w:rsidR="002E754F">
        <w:t>l</w:t>
      </w:r>
      <w:r>
        <w:t>l</w:t>
      </w:r>
      <w:proofErr w:type="spellEnd"/>
      <w:r>
        <w:t xml:space="preserve"> in Tuscherer 2001), and its further investigation could help to understand how and why archaeology can contribute to a wider understanding of Ottoman history. Written accounts on the other side, seemingly portray a narrower view than archaeological field reports, but do contribute to Ottoman history their own and very crucial views, a topic which shall be discussed in detail below. First, overall definition</w:t>
      </w:r>
      <w:r w:rsidR="00B87131">
        <w:t xml:space="preserve">s of archaeology will be discussed, followed by a quick overview of archaeological techniques of excavation, which can also be applied when excavating Ottoman archaeology. Especially the analysis of ceramics and its specific outcome by the example of Ottoman coffee ceramics found at </w:t>
      </w:r>
      <w:proofErr w:type="spellStart"/>
      <w:r w:rsidR="00B87131">
        <w:t>Zabid</w:t>
      </w:r>
      <w:proofErr w:type="spellEnd"/>
      <w:r w:rsidR="00B87131">
        <w:t xml:space="preserve"> in Yemen will contribute to the overall understanding of the historical value of archaeology. Further, discussing the disadvantages and advantages of written sources regarding Ottoman history, with the example of a few Ottoman authors especially </w:t>
      </w:r>
      <w:proofErr w:type="spellStart"/>
      <w:r w:rsidR="00B87131">
        <w:t>Hattox</w:t>
      </w:r>
      <w:proofErr w:type="spellEnd"/>
      <w:r w:rsidR="00B87131">
        <w:t xml:space="preserve">, will lead to the debating of the limitations of archaeology, especially concerning the coffee vessel excavations at </w:t>
      </w:r>
      <w:proofErr w:type="spellStart"/>
      <w:r w:rsidR="00B87131">
        <w:t>Zabid</w:t>
      </w:r>
      <w:proofErr w:type="spellEnd"/>
      <w:r w:rsidR="00B87131">
        <w:t>. At last, a few words will be said about the potential future and areas of improvement for Ottoman archaeology followed by a conclusion.</w:t>
      </w:r>
    </w:p>
    <w:p w:rsidR="0053747A" w:rsidRPr="004102C2" w:rsidRDefault="006703BD" w:rsidP="00F11B82">
      <w:r>
        <w:t>Archaeology itself is often described in short as “</w:t>
      </w:r>
      <w:r>
        <w:rPr>
          <w:rStyle w:val="ind"/>
        </w:rPr>
        <w:t>The study of human history and prehistory through the excavation of sites and the analysis of artefacts and other physical remains.” (English Oxford living Dictionaries 2018)</w:t>
      </w:r>
      <w:r>
        <w:rPr>
          <w:rStyle w:val="ind"/>
        </w:rPr>
        <w:t xml:space="preserve">. </w:t>
      </w:r>
      <w:r w:rsidR="004102C2">
        <w:rPr>
          <w:rStyle w:val="ind"/>
        </w:rPr>
        <w:t xml:space="preserve">Alternate definitions </w:t>
      </w:r>
      <w:proofErr w:type="gramStart"/>
      <w:r w:rsidR="004102C2">
        <w:rPr>
          <w:rStyle w:val="ind"/>
        </w:rPr>
        <w:t>exists</w:t>
      </w:r>
      <w:proofErr w:type="gramEnd"/>
      <w:r w:rsidR="004102C2">
        <w:rPr>
          <w:rStyle w:val="ind"/>
        </w:rPr>
        <w:t xml:space="preserve">, such as </w:t>
      </w:r>
      <w:r w:rsidR="004102C2">
        <w:t xml:space="preserve">“The scientific excavation and study of ancient human material remains.” (Archaeological 2018). Both definitions </w:t>
      </w:r>
      <w:r w:rsidR="004102C2">
        <w:t>emphasise</w:t>
      </w:r>
      <w:r w:rsidR="004102C2">
        <w:t xml:space="preserve"> the study </w:t>
      </w:r>
      <w:r w:rsidR="004102C2">
        <w:t>human history through physical remains</w:t>
      </w:r>
      <w:r w:rsidR="004102C2">
        <w:t xml:space="preserve">, often obtained through the process of excavation. Archaeology is also described as the anthropology of the past, as it studies past human relations with the means of their material remains, whilst employing many different fields of science in the process </w:t>
      </w:r>
      <w:r w:rsidR="004102C2">
        <w:fldChar w:fldCharType="begin" w:fldLock="1"/>
      </w:r>
      <w:r w:rsidR="004102C2">
        <w:instrText>ADDIN CSL_CITATION {"citationItems":[{"id":"ITEM-1","itemData":{"DOI":"10.1007/s10816-010-9080-1","ISBN":"00027316","ISSN":"10725369","PMID":"625","abstract":"Anthropology was established in the USA during the middle of the nineteenth century. From the beginning, archaeology was considered a part of the discipline, a notion that continues to this day. However, over the course of the past 160 years, periodically, the place of archaeology within anthropology is questioned. Often, this has a reflection in the growth or shrinking in membership of the Archaeology Division of the American Anthropological Association. I explore these trends and try to explain them in terms of the history of anthropology. Keywords History of archaeology· History of anthropology· Archaeology's place in anthropology This paper was presented during the celebration of the l OOth anniversary meeting of the American Anthropological Association. It was presented as the distinguished lecture to the Archaeology Division, an important unit of the AAA. Indeed, from the beginning, archaeology was part of anthropology and played an important role in the invention of the new field of ethnology or anthropology about 50 years before that first American Anthropological Association meeting. But with some regularity, questions arise as to the proper place of archaeology. Usually, either the archaeologists wonder if they should remain as a proper part of anthropology or the anthropologists determine that archaeology is really not a part of their field of study. There is an almost cyclical ritual that we go through periodically questioning archaeology's proper place in or out of the larger field (Gillespie and Nichols 2003; Lyman 2007). Let us explore this phenomenon over time by looking at the history of archaeology to see if we can find some understanding or even direction in this ritualistic self-appraisal. To do that, we must go back to the nineteenth century.","author":[{"dropping-particle":"","family":"Longacre","given":"William A.","non-dropping-particle":"","parse-names":false,"suffix":""}],"container-title":"Journal of Archaeological Method and Theory","id":"ITEM-1","issued":{"date-parts":[["2010"]]},"title":"Archaeology as anthropology revisited","type":"article-journal"},"uris":["http://www.mendeley.com/documents/?uuid=8a88b461-ac34-4d66-b996-5809d1203b0e"]}],"mendeley":{"formattedCitation":"(Longacre, 2010)","plainTextFormattedCitation":"(Longacre, 2010)","previouslyFormattedCitation":"(Longacre, 2010)"},"properties":{"noteIndex":0},"schema":"https://github.com/citation-style-language/schema/raw/master/csl-citation.json"}</w:instrText>
      </w:r>
      <w:r w:rsidR="004102C2">
        <w:fldChar w:fldCharType="separate"/>
      </w:r>
      <w:r w:rsidR="004102C2" w:rsidRPr="00F11B82">
        <w:rPr>
          <w:noProof/>
        </w:rPr>
        <w:t>(Longacre, 2010)</w:t>
      </w:r>
      <w:r w:rsidR="004102C2">
        <w:fldChar w:fldCharType="end"/>
      </w:r>
      <w:r w:rsidR="004102C2">
        <w:t>.</w:t>
      </w:r>
      <w:r w:rsidR="004102C2">
        <w:t xml:space="preserve"> </w:t>
      </w:r>
      <w:r w:rsidR="00F11B82">
        <w:t xml:space="preserve">Exploring the Ottoman past requires that one understands the processes and research methods of </w:t>
      </w:r>
      <w:r w:rsidR="00C44780">
        <w:t>a</w:t>
      </w:r>
      <w:r w:rsidR="00F11B82">
        <w:t>rchaeology and how they</w:t>
      </w:r>
      <w:r w:rsidR="002D48FF">
        <w:t xml:space="preserve"> contribute to continuous research in</w:t>
      </w:r>
      <w:r w:rsidR="00F11B82">
        <w:t xml:space="preserve"> the field of Ottoman </w:t>
      </w:r>
      <w:r w:rsidR="00C44780">
        <w:t>a</w:t>
      </w:r>
      <w:r w:rsidR="00F11B82">
        <w:t>rchaeology</w:t>
      </w:r>
      <w:r w:rsidR="004102C2">
        <w:t xml:space="preserve">. </w:t>
      </w:r>
    </w:p>
    <w:p w:rsidR="001F2885" w:rsidRDefault="00F11B82" w:rsidP="00981EB0">
      <w:r>
        <w:t xml:space="preserve">When employing </w:t>
      </w:r>
      <w:r w:rsidR="00C44780">
        <w:t>a</w:t>
      </w:r>
      <w:r>
        <w:t xml:space="preserve">rchaeology </w:t>
      </w:r>
      <w:r w:rsidR="004102C2">
        <w:t>whilst researching</w:t>
      </w:r>
      <w:r w:rsidR="00AC592A">
        <w:t xml:space="preserve"> the Ottoman past, many different techniques can be </w:t>
      </w:r>
      <w:r w:rsidR="004102C2">
        <w:t>utilised</w:t>
      </w:r>
      <w:r w:rsidR="00AC592A">
        <w:t>. Methods commonly used pertain to the conventional practise</w:t>
      </w:r>
      <w:r w:rsidR="002D48FF">
        <w:t>s</w:t>
      </w:r>
      <w:r w:rsidR="00AC592A">
        <w:t xml:space="preserve"> of practical fieldwork</w:t>
      </w:r>
      <w:r w:rsidR="004102C2">
        <w:t xml:space="preserve">, </w:t>
      </w:r>
      <w:r w:rsidR="00265173">
        <w:t>its planning</w:t>
      </w:r>
      <w:r w:rsidR="00AC592A">
        <w:t xml:space="preserve">, post excavation analysis and </w:t>
      </w:r>
      <w:r w:rsidR="00DA3D7A" w:rsidRPr="00DA3D7A">
        <w:t>the field report (</w:t>
      </w:r>
      <w:r w:rsidR="00DA3D7A">
        <w:t>Savage and Dinsmore 1998).</w:t>
      </w:r>
      <w:r w:rsidR="00AC592A">
        <w:t xml:space="preserve"> Archaeology</w:t>
      </w:r>
      <w:r w:rsidR="004102C2">
        <w:t xml:space="preserve"> </w:t>
      </w:r>
      <w:r w:rsidR="00AC592A">
        <w:t xml:space="preserve">is a very broad field of research thus </w:t>
      </w:r>
      <w:r w:rsidR="00981EB0">
        <w:t xml:space="preserve">summarizing </w:t>
      </w:r>
      <w:r w:rsidR="004102C2">
        <w:t>each available</w:t>
      </w:r>
      <w:r w:rsidR="00981EB0">
        <w:t xml:space="preserve"> </w:t>
      </w:r>
      <w:r w:rsidR="004102C2">
        <w:t>methodological approach</w:t>
      </w:r>
      <w:r w:rsidR="00981EB0">
        <w:t xml:space="preserve"> would be too lengthy</w:t>
      </w:r>
      <w:r w:rsidR="004102C2">
        <w:t xml:space="preserve"> a</w:t>
      </w:r>
      <w:r w:rsidR="00981EB0">
        <w:t xml:space="preserve"> process, as </w:t>
      </w:r>
      <w:r w:rsidR="00C44780">
        <w:t>ar</w:t>
      </w:r>
      <w:r w:rsidR="00981EB0">
        <w:t xml:space="preserve">chaeologists from different </w:t>
      </w:r>
      <w:r w:rsidR="00981EB0">
        <w:lastRenderedPageBreak/>
        <w:t>generations and geographical places often have speci</w:t>
      </w:r>
      <w:r w:rsidR="004102C2">
        <w:t>alised</w:t>
      </w:r>
      <w:r w:rsidR="00981EB0">
        <w:t xml:space="preserve"> </w:t>
      </w:r>
      <w:proofErr w:type="spellStart"/>
      <w:r w:rsidR="004102C2">
        <w:t>progressional</w:t>
      </w:r>
      <w:proofErr w:type="spellEnd"/>
      <w:r w:rsidR="004102C2">
        <w:t xml:space="preserve"> methods</w:t>
      </w:r>
      <w:r w:rsidR="00981EB0">
        <w:t xml:space="preserve"> </w:t>
      </w:r>
      <w:r w:rsidR="0006662F">
        <w:fldChar w:fldCharType="begin" w:fldLock="1"/>
      </w:r>
      <w:r w:rsidR="0006662F">
        <w:instrText>ADDIN CSL_CITATION {"citationItems":[{"id":"ITEM-1","itemData":{"ISBN":"0759100780","abstract":"An introduction to the handbook of archaeological methods / by Herbert D.G. Maschner -- Short history of archaeological methods, 1870 to 1960 / by Brian Fagan -- Logistics of fieldwork and collecting field data / by John M. Steinberg -- Archaeological survey / by Brian Leigh Molyneaux -- Excavation / by Michael A. Glassow -- Sequence and stratigraphy / by Barbara J. Mills and Rafael Vega-Centeno -- Ethnoarchaeology / by John W. Arthur and Kathryn J. Weedman -- Maritime archaeology / by Mark A. Feulner and J. Barto Arnold III -- Radiocarbon dating / by Paul B. Pettitt -- Other dating techniques / by Alistair W.G. Pike and Paul B. Pettitt -- Geographic information systems / by Mark Gillings and David Wheatley -- Terrestrial remote sensing in archaeology / by Kenneth L. Kvamme -- Archaeological chemistry / by Joseph B. Lambert -- Statistics for archaeology / by Mark Aldenderfer -- Systems and simulacra : modelling, simulation, and archaeological interpretation / by James McGlade -- Experimental archaeology / by Izumi Shimada -- Reflexive methods / by Ian Hodder -- Pottery / by Carl Knappett -- Lithic studies / by William Andrefsky Jr. -- Paleoethnobotanical methods and applications / by Gayle J. Fritz -- Zooarchaeology / by R. Lee Lyman -- Bioarchaeological methods / by Michele R. Buzon [and others] -- Rock art analysis / by David S. Whitley and Lawrence L. Loendorf -- Demography / by Richard R. Paine -- Geoarchaeology / by Christopher L. Hill -- Craft production / by Cathy Lynne Costin -- Historical archaeology / by Kenneth G. Kelly -- Trade and exchange / by Marilyn A. Masson -- Regional analysis in archaeology / by John Kantner -- Managing archaeological resources / by Francis P. McManamon -- Curation of data / by W. Fredrick Limp -- Funding archaeological research / by Michael Love -- Colleagues, talking, writing, publishing / by Christopher Chippindale -- Working with and working for indigenous communities / by Joe Watkins and T.J. Ferguson.","author":[{"dropping-particle":"","family":"Maschner","given":"Herbert D. G.","non-dropping-particle":"","parse-names":false,"suffix":""},{"dropping-particle":"","family":"Chippindale","given":"Christopher","non-dropping-particle":"","parse-names":false,"suffix":""}],"id":"ITEM-1","issued":{"date-parts":[["2005"]]},"number-of-pages":"1469","publisher":"AltaMira Press","title":"Handbook of archaeological methods","type":"book"},"uris":["http://www.mendeley.com/documents/?uuid=92f41b6d-a6f6-39c5-8e79-7c367e623157"]}],"mendeley":{"formattedCitation":"(Maschner and Chippindale, 2005)","manualFormatting":"(Maschner and Chippindale, 2005:674)","plainTextFormattedCitation":"(Maschner and Chippindale, 2005)","previouslyFormattedCitation":"(Maschner and Chippindale, 2005)"},"properties":{"noteIndex":0},"schema":"https://github.com/citation-style-language/schema/raw/master/csl-citation.json"}</w:instrText>
      </w:r>
      <w:r w:rsidR="0006662F">
        <w:fldChar w:fldCharType="separate"/>
      </w:r>
      <w:r w:rsidR="0006662F" w:rsidRPr="0006662F">
        <w:rPr>
          <w:noProof/>
        </w:rPr>
        <w:t>(Maschner and Chippindale, 2005</w:t>
      </w:r>
      <w:r w:rsidR="0006662F">
        <w:rPr>
          <w:noProof/>
        </w:rPr>
        <w:t>:674</w:t>
      </w:r>
      <w:r w:rsidR="0006662F" w:rsidRPr="0006662F">
        <w:rPr>
          <w:noProof/>
        </w:rPr>
        <w:t>)</w:t>
      </w:r>
      <w:r w:rsidR="0006662F">
        <w:fldChar w:fldCharType="end"/>
      </w:r>
      <w:r w:rsidR="00981EB0">
        <w:t xml:space="preserve">. Also, every discovered artefact </w:t>
      </w:r>
      <w:r w:rsidR="004102C2">
        <w:t>merits</w:t>
      </w:r>
      <w:r w:rsidR="00981EB0">
        <w:t xml:space="preserve"> an individual approach according to its state, location, age, material and so on (</w:t>
      </w:r>
      <w:proofErr w:type="spellStart"/>
      <w:r w:rsidR="0006662F">
        <w:t>Maschner</w:t>
      </w:r>
      <w:proofErr w:type="spellEnd"/>
      <w:r w:rsidR="00981EB0">
        <w:t xml:space="preserve"> and Chippindale</w:t>
      </w:r>
      <w:r w:rsidR="0006662F">
        <w:t>,</w:t>
      </w:r>
      <w:r w:rsidR="00981EB0">
        <w:t xml:space="preserve"> 20</w:t>
      </w:r>
      <w:r w:rsidR="0006662F">
        <w:t>0</w:t>
      </w:r>
      <w:r w:rsidR="00981EB0">
        <w:t xml:space="preserve">5:674). </w:t>
      </w:r>
      <w:r w:rsidR="002D48FF">
        <w:t>Nevertheless</w:t>
      </w:r>
      <w:r w:rsidR="00981EB0">
        <w:t xml:space="preserve">, a </w:t>
      </w:r>
      <w:r w:rsidR="004102C2">
        <w:t>tick-box exercise</w:t>
      </w:r>
      <w:r w:rsidR="00981EB0">
        <w:t xml:space="preserve"> is </w:t>
      </w:r>
      <w:r w:rsidR="00F8175C">
        <w:t xml:space="preserve">performed </w:t>
      </w:r>
      <w:r w:rsidR="00981EB0">
        <w:t xml:space="preserve">each time an archaeological excavation takes place, often starting with general field walking and surface </w:t>
      </w:r>
      <w:proofErr w:type="gramStart"/>
      <w:r w:rsidR="00DA3D7A">
        <w:t>sampling</w:t>
      </w:r>
      <w:r w:rsidR="00981EB0">
        <w:t xml:space="preserve"> </w:t>
      </w:r>
      <w:r w:rsidR="00DA3D7A">
        <w:t xml:space="preserve"> accompanied</w:t>
      </w:r>
      <w:proofErr w:type="gramEnd"/>
      <w:r w:rsidR="00DA3D7A">
        <w:t xml:space="preserve"> by</w:t>
      </w:r>
      <w:r w:rsidR="00981EB0">
        <w:t xml:space="preserve"> aerial photography (Engaged Archaeology 2018). Once the surface of the excavation site has been thoroughly </w:t>
      </w:r>
      <w:r w:rsidR="00DA3D7A">
        <w:t>examined</w:t>
      </w:r>
      <w:r w:rsidR="002D48FF">
        <w:t xml:space="preserve"> for artefacts or hints of submerged archaeology,</w:t>
      </w:r>
      <w:r w:rsidR="00DA3D7A">
        <w:t xml:space="preserve"> a field strategy should be </w:t>
      </w:r>
      <w:r w:rsidR="002D48FF">
        <w:t xml:space="preserve">developed </w:t>
      </w:r>
      <w:r w:rsidR="00DA3D7A">
        <w:t xml:space="preserve">in order to </w:t>
      </w:r>
      <w:r w:rsidR="002D48FF">
        <w:t xml:space="preserve">yield </w:t>
      </w:r>
      <w:r w:rsidR="00F8175C">
        <w:t xml:space="preserve">optimal results with minimal site disturbance </w:t>
      </w:r>
      <w:r w:rsidR="00A02DCB">
        <w:t xml:space="preserve">(Savage and </w:t>
      </w:r>
      <w:proofErr w:type="spellStart"/>
      <w:r w:rsidR="00A02DCB">
        <w:t>Disnmore</w:t>
      </w:r>
      <w:proofErr w:type="spellEnd"/>
      <w:r w:rsidR="00A02DCB">
        <w:t xml:space="preserve"> 1998). </w:t>
      </w:r>
    </w:p>
    <w:p w:rsidR="00981EB0" w:rsidRDefault="00A02DCB" w:rsidP="00981EB0">
      <w:r>
        <w:t>Seriation</w:t>
      </w:r>
      <w:r w:rsidR="00F8175C">
        <w:t xml:space="preserve"> (</w:t>
      </w:r>
      <w:r>
        <w:t>dating the</w:t>
      </w:r>
      <w:r w:rsidR="001F2885">
        <w:t xml:space="preserve"> excavation site</w:t>
      </w:r>
      <w:r w:rsidR="00F8175C">
        <w:t>)</w:t>
      </w:r>
      <w:r>
        <w:t xml:space="preserve"> should also be part of the </w:t>
      </w:r>
      <w:r w:rsidR="001F2885">
        <w:t>excavation</w:t>
      </w:r>
      <w:r>
        <w:t xml:space="preserve"> process, includ</w:t>
      </w:r>
      <w:r w:rsidR="001F2885">
        <w:t>ing</w:t>
      </w:r>
      <w:r>
        <w:t xml:space="preserve"> absolute or relative dating techniques and the examination of the stratigraphy present </w:t>
      </w:r>
      <w:r w:rsidR="001F2885" w:rsidRPr="001F2885">
        <w:rPr>
          <w:sz w:val="22"/>
        </w:rPr>
        <w:t>(S</w:t>
      </w:r>
      <w:r w:rsidR="006C0764" w:rsidRPr="001F2885">
        <w:rPr>
          <w:sz w:val="22"/>
        </w:rPr>
        <w:t xml:space="preserve">avage and </w:t>
      </w:r>
      <w:proofErr w:type="spellStart"/>
      <w:r w:rsidR="006C0764" w:rsidRPr="001F2885">
        <w:rPr>
          <w:sz w:val="22"/>
        </w:rPr>
        <w:t>Dismore</w:t>
      </w:r>
      <w:proofErr w:type="spellEnd"/>
      <w:r w:rsidR="006C0764" w:rsidRPr="001F2885">
        <w:rPr>
          <w:sz w:val="22"/>
        </w:rPr>
        <w:t xml:space="preserve"> 1998:16). </w:t>
      </w:r>
      <w:r w:rsidR="00B138C7" w:rsidRPr="001F2885">
        <w:rPr>
          <w:sz w:val="22"/>
        </w:rPr>
        <w:t>V</w:t>
      </w:r>
      <w:r w:rsidR="00981EB0" w:rsidRPr="001F2885">
        <w:rPr>
          <w:sz w:val="22"/>
        </w:rPr>
        <w:t>arious non-invasive methods such as ground penetrating radar can</w:t>
      </w:r>
      <w:r w:rsidR="00981EB0">
        <w:t xml:space="preserve"> be used </w:t>
      </w:r>
      <w:r w:rsidR="00B138C7">
        <w:t xml:space="preserve">before any invasive methods are applied, in order to determine the places in which archaeology is most likely </w:t>
      </w:r>
      <w:r w:rsidR="005327F0">
        <w:t xml:space="preserve">to be found </w:t>
      </w:r>
      <w:r w:rsidR="00981EB0">
        <w:t>(Engaged Archaeology 2018).</w:t>
      </w:r>
    </w:p>
    <w:p w:rsidR="00247B19" w:rsidRDefault="00247B19" w:rsidP="002856D8"/>
    <w:p w:rsidR="00F8175C" w:rsidRDefault="002856D8" w:rsidP="002856D8">
      <w:pPr>
        <w:rPr>
          <w:rFonts w:cstheme="minorHAnsi"/>
        </w:rPr>
      </w:pPr>
      <w:r w:rsidRPr="00B969B8">
        <w:rPr>
          <w:rFonts w:cstheme="minorHAnsi"/>
        </w:rPr>
        <w:t xml:space="preserve">Once all the non-invasive techniques have been </w:t>
      </w:r>
      <w:r w:rsidR="00C204A9">
        <w:rPr>
          <w:rFonts w:cstheme="minorHAnsi"/>
        </w:rPr>
        <w:t>applied</w:t>
      </w:r>
      <w:r w:rsidRPr="00B969B8">
        <w:rPr>
          <w:rFonts w:cstheme="minorHAnsi"/>
        </w:rPr>
        <w:t>, a strategic removal of surface material</w:t>
      </w:r>
      <w:r w:rsidR="00C204A9">
        <w:rPr>
          <w:rFonts w:cstheme="minorHAnsi"/>
        </w:rPr>
        <w:t xml:space="preserve"> </w:t>
      </w:r>
      <w:r w:rsidRPr="00B969B8">
        <w:rPr>
          <w:rFonts w:cstheme="minorHAnsi"/>
        </w:rPr>
        <w:t>down to the required strata is carefully undertaken (</w:t>
      </w:r>
      <w:r w:rsidR="00B138C7">
        <w:rPr>
          <w:rFonts w:cstheme="minorHAnsi"/>
        </w:rPr>
        <w:t xml:space="preserve">Savage and </w:t>
      </w:r>
      <w:proofErr w:type="spellStart"/>
      <w:r w:rsidR="00B138C7">
        <w:rPr>
          <w:rFonts w:cstheme="minorHAnsi"/>
        </w:rPr>
        <w:t>Dismore</w:t>
      </w:r>
      <w:proofErr w:type="spellEnd"/>
      <w:r w:rsidR="00B138C7">
        <w:rPr>
          <w:rFonts w:cstheme="minorHAnsi"/>
        </w:rPr>
        <w:t xml:space="preserve"> 1998</w:t>
      </w:r>
      <w:r w:rsidRPr="00B969B8">
        <w:rPr>
          <w:rFonts w:cstheme="minorHAnsi"/>
        </w:rPr>
        <w:t xml:space="preserve">). </w:t>
      </w:r>
    </w:p>
    <w:p w:rsidR="00C44780" w:rsidRDefault="00F8175C" w:rsidP="002856D8">
      <w:pPr>
        <w:rPr>
          <w:rFonts w:eastAsia="Times New Roman" w:cstheme="minorHAnsi"/>
          <w:lang w:eastAsia="nb-NO"/>
        </w:rPr>
      </w:pPr>
      <w:r>
        <w:rPr>
          <w:rFonts w:cstheme="minorHAnsi"/>
        </w:rPr>
        <w:t xml:space="preserve">If a substrata of sediment, formed during the Ottoman period (1290-1923), remains undisturbed hitherto excavation, its layers are likely to contain a certain quantity of Ottoman archaeological material </w:t>
      </w:r>
      <w:r w:rsidR="002856D8" w:rsidRPr="00A03525">
        <w:rPr>
          <w:rFonts w:cstheme="minorHAnsi"/>
        </w:rPr>
        <w:t>(</w:t>
      </w:r>
      <w:proofErr w:type="spellStart"/>
      <w:r w:rsidR="002856D8" w:rsidRPr="00A03525">
        <w:rPr>
          <w:rFonts w:eastAsia="Times New Roman" w:cstheme="minorHAnsi"/>
          <w:lang w:val="nb-NO" w:eastAsia="nb-NO"/>
        </w:rPr>
        <w:fldChar w:fldCharType="begin"/>
      </w:r>
      <w:r w:rsidR="002856D8" w:rsidRPr="00A03525">
        <w:rPr>
          <w:rFonts w:eastAsia="Times New Roman" w:cstheme="minorHAnsi"/>
          <w:lang w:eastAsia="nb-NO"/>
        </w:rPr>
        <w:instrText xml:space="preserve"> HYPERLINK "https://www.google.no/search?tbo=p&amp;tbm=bks&amp;q=inauthor:%22Suraiya+Faroqhi%22" </w:instrText>
      </w:r>
      <w:r w:rsidR="002856D8" w:rsidRPr="00A03525">
        <w:rPr>
          <w:rFonts w:eastAsia="Times New Roman" w:cstheme="minorHAnsi"/>
          <w:lang w:val="nb-NO" w:eastAsia="nb-NO"/>
        </w:rPr>
        <w:fldChar w:fldCharType="separate"/>
      </w:r>
      <w:r w:rsidR="002856D8" w:rsidRPr="00A03525">
        <w:rPr>
          <w:rFonts w:eastAsia="Times New Roman" w:cstheme="minorHAnsi"/>
          <w:lang w:eastAsia="nb-NO"/>
        </w:rPr>
        <w:t>Faroqhi</w:t>
      </w:r>
      <w:proofErr w:type="spellEnd"/>
      <w:r w:rsidR="002856D8" w:rsidRPr="00A03525">
        <w:rPr>
          <w:rFonts w:eastAsia="Times New Roman" w:cstheme="minorHAnsi"/>
          <w:lang w:val="nb-NO" w:eastAsia="nb-NO"/>
        </w:rPr>
        <w:fldChar w:fldCharType="end"/>
      </w:r>
      <w:r w:rsidR="002856D8" w:rsidRPr="00A03525">
        <w:rPr>
          <w:rFonts w:eastAsia="Times New Roman" w:cstheme="minorHAnsi"/>
          <w:lang w:eastAsia="nb-NO"/>
        </w:rPr>
        <w:t xml:space="preserve">, </w:t>
      </w:r>
      <w:hyperlink r:id="rId8" w:history="1">
        <w:r w:rsidR="002856D8" w:rsidRPr="00A03525">
          <w:rPr>
            <w:rFonts w:eastAsia="Times New Roman" w:cstheme="minorHAnsi"/>
            <w:lang w:eastAsia="nb-NO"/>
          </w:rPr>
          <w:t>McGowan</w:t>
        </w:r>
      </w:hyperlink>
      <w:r w:rsidR="002856D8" w:rsidRPr="00A03525">
        <w:rPr>
          <w:rFonts w:eastAsia="Times New Roman" w:cstheme="minorHAnsi"/>
          <w:lang w:eastAsia="nb-NO"/>
        </w:rPr>
        <w:t xml:space="preserve"> and </w:t>
      </w:r>
      <w:hyperlink r:id="rId9" w:history="1">
        <w:r w:rsidR="002856D8" w:rsidRPr="00A03525">
          <w:rPr>
            <w:rFonts w:eastAsia="Times New Roman" w:cstheme="minorHAnsi"/>
            <w:lang w:eastAsia="nb-NO"/>
          </w:rPr>
          <w:t xml:space="preserve"> Pamuk</w:t>
        </w:r>
      </w:hyperlink>
      <w:r w:rsidR="002856D8" w:rsidRPr="00A03525">
        <w:rPr>
          <w:rFonts w:eastAsia="Times New Roman" w:cstheme="minorHAnsi"/>
          <w:lang w:eastAsia="nb-NO"/>
        </w:rPr>
        <w:t xml:space="preserve"> 1994: xviii-xxiv).</w:t>
      </w:r>
      <w:r w:rsidR="00222978">
        <w:rPr>
          <w:rFonts w:cstheme="minorHAnsi"/>
        </w:rPr>
        <w:t xml:space="preserve"> </w:t>
      </w:r>
      <w:r w:rsidR="00860173" w:rsidRPr="00A03525">
        <w:rPr>
          <w:rFonts w:eastAsia="Times New Roman" w:cstheme="minorHAnsi"/>
          <w:lang w:eastAsia="nb-NO"/>
        </w:rPr>
        <w:t xml:space="preserve">Each layer is carefully </w:t>
      </w:r>
      <w:proofErr w:type="gramStart"/>
      <w:r w:rsidR="00860173" w:rsidRPr="00A03525">
        <w:rPr>
          <w:rFonts w:eastAsia="Times New Roman" w:cstheme="minorHAnsi"/>
          <w:lang w:eastAsia="nb-NO"/>
        </w:rPr>
        <w:t>documented</w:t>
      </w:r>
      <w:proofErr w:type="gramEnd"/>
      <w:r w:rsidR="00860173" w:rsidRPr="00A03525">
        <w:rPr>
          <w:rFonts w:eastAsia="Times New Roman" w:cstheme="minorHAnsi"/>
          <w:lang w:eastAsia="nb-NO"/>
        </w:rPr>
        <w:t xml:space="preserve"> and artefacts found </w:t>
      </w:r>
      <w:r w:rsidR="00B138C7" w:rsidRPr="00A03525">
        <w:rPr>
          <w:rFonts w:eastAsia="Times New Roman" w:cstheme="minorHAnsi"/>
          <w:lang w:eastAsia="nb-NO"/>
        </w:rPr>
        <w:t xml:space="preserve">adequately </w:t>
      </w:r>
      <w:r w:rsidR="00860173" w:rsidRPr="00A03525">
        <w:rPr>
          <w:rFonts w:eastAsia="Times New Roman" w:cstheme="minorHAnsi"/>
          <w:lang w:eastAsia="nb-NO"/>
        </w:rPr>
        <w:t>measured, their location noted and to-scale photographs taken in order to make the post excavation analysis easier and reliable (</w:t>
      </w:r>
      <w:r w:rsidR="00C204A9" w:rsidRPr="00A03525">
        <w:rPr>
          <w:rFonts w:eastAsia="Times New Roman" w:cstheme="minorHAnsi"/>
          <w:lang w:eastAsia="nb-NO"/>
        </w:rPr>
        <w:t xml:space="preserve">Savage and </w:t>
      </w:r>
      <w:proofErr w:type="spellStart"/>
      <w:r w:rsidR="00C204A9" w:rsidRPr="00A03525">
        <w:rPr>
          <w:rFonts w:eastAsia="Times New Roman" w:cstheme="minorHAnsi"/>
          <w:lang w:eastAsia="nb-NO"/>
        </w:rPr>
        <w:t>Dismore</w:t>
      </w:r>
      <w:proofErr w:type="spellEnd"/>
      <w:r w:rsidR="00C204A9" w:rsidRPr="00A03525">
        <w:rPr>
          <w:rFonts w:eastAsia="Times New Roman" w:cstheme="minorHAnsi"/>
          <w:lang w:eastAsia="nb-NO"/>
        </w:rPr>
        <w:t xml:space="preserve"> 1998</w:t>
      </w:r>
      <w:r w:rsidR="00860173" w:rsidRPr="00A03525">
        <w:rPr>
          <w:rFonts w:eastAsia="Times New Roman" w:cstheme="minorHAnsi"/>
          <w:lang w:eastAsia="nb-NO"/>
        </w:rPr>
        <w:t xml:space="preserve">). </w:t>
      </w:r>
      <w:r w:rsidR="00B138C7" w:rsidRPr="00A03525">
        <w:rPr>
          <w:rFonts w:eastAsia="Times New Roman" w:cstheme="minorHAnsi"/>
          <w:lang w:eastAsia="nb-NO"/>
        </w:rPr>
        <w:t>A grid system should always be applied within each fieldwork site</w:t>
      </w:r>
      <w:r w:rsidR="00222978">
        <w:rPr>
          <w:rFonts w:eastAsia="Times New Roman" w:cstheme="minorHAnsi"/>
          <w:lang w:eastAsia="nb-NO"/>
        </w:rPr>
        <w:t>,</w:t>
      </w:r>
      <w:r w:rsidR="00B138C7" w:rsidRPr="00A03525">
        <w:rPr>
          <w:rFonts w:eastAsia="Times New Roman" w:cstheme="minorHAnsi"/>
          <w:lang w:eastAsia="nb-NO"/>
        </w:rPr>
        <w:t xml:space="preserve"> and found artefacts noted within the grid, including the</w:t>
      </w:r>
      <w:r w:rsidR="00C204A9" w:rsidRPr="00A03525">
        <w:rPr>
          <w:rFonts w:eastAsia="Times New Roman" w:cstheme="minorHAnsi"/>
          <w:lang w:eastAsia="nb-NO"/>
        </w:rPr>
        <w:t xml:space="preserve"> </w:t>
      </w:r>
      <w:r w:rsidR="00B138C7" w:rsidRPr="00A03525">
        <w:rPr>
          <w:rFonts w:eastAsia="Times New Roman" w:cstheme="minorHAnsi"/>
          <w:lang w:eastAsia="nb-NO"/>
        </w:rPr>
        <w:t xml:space="preserve">measured distance from the grids’ base line </w:t>
      </w:r>
      <w:r w:rsidR="00C204A9" w:rsidRPr="00A03525">
        <w:rPr>
          <w:rFonts w:eastAsia="Times New Roman" w:cstheme="minorHAnsi"/>
          <w:lang w:eastAsia="nb-NO"/>
        </w:rPr>
        <w:t xml:space="preserve">to the artefact </w:t>
      </w:r>
      <w:r w:rsidR="00B138C7" w:rsidRPr="00A03525">
        <w:rPr>
          <w:rFonts w:eastAsia="Times New Roman" w:cstheme="minorHAnsi"/>
          <w:lang w:eastAsia="nb-NO"/>
        </w:rPr>
        <w:t>(</w:t>
      </w:r>
      <w:r w:rsidR="00C204A9" w:rsidRPr="00A03525">
        <w:rPr>
          <w:rFonts w:eastAsia="Times New Roman" w:cstheme="minorHAnsi"/>
          <w:lang w:eastAsia="nb-NO"/>
        </w:rPr>
        <w:t xml:space="preserve">Savage and </w:t>
      </w:r>
      <w:proofErr w:type="spellStart"/>
      <w:r w:rsidR="00C204A9" w:rsidRPr="00A03525">
        <w:rPr>
          <w:rFonts w:eastAsia="Times New Roman" w:cstheme="minorHAnsi"/>
          <w:lang w:eastAsia="nb-NO"/>
        </w:rPr>
        <w:t>Dismore</w:t>
      </w:r>
      <w:proofErr w:type="spellEnd"/>
      <w:r w:rsidR="00C204A9" w:rsidRPr="00A03525">
        <w:rPr>
          <w:rFonts w:eastAsia="Times New Roman" w:cstheme="minorHAnsi"/>
          <w:lang w:eastAsia="nb-NO"/>
        </w:rPr>
        <w:t xml:space="preserve"> 1998</w:t>
      </w:r>
      <w:r w:rsidR="00B138C7" w:rsidRPr="00A03525">
        <w:rPr>
          <w:rFonts w:eastAsia="Times New Roman" w:cstheme="minorHAnsi"/>
          <w:lang w:eastAsia="nb-NO"/>
        </w:rPr>
        <w:t xml:space="preserve">). The </w:t>
      </w:r>
      <w:r w:rsidR="0029216E" w:rsidRPr="00A03525">
        <w:rPr>
          <w:rFonts w:eastAsia="Times New Roman" w:cstheme="minorHAnsi"/>
          <w:lang w:eastAsia="nb-NO"/>
        </w:rPr>
        <w:t>D</w:t>
      </w:r>
      <w:r w:rsidR="00B138C7" w:rsidRPr="00A03525">
        <w:rPr>
          <w:rFonts w:eastAsia="Times New Roman" w:cstheme="minorHAnsi"/>
          <w:lang w:eastAsia="nb-NO"/>
        </w:rPr>
        <w:t>umpy level should be</w:t>
      </w:r>
      <w:r w:rsidR="0029216E" w:rsidRPr="00A03525">
        <w:rPr>
          <w:rFonts w:eastAsia="Times New Roman" w:cstheme="minorHAnsi"/>
          <w:lang w:eastAsia="nb-NO"/>
        </w:rPr>
        <w:t xml:space="preserve"> taken </w:t>
      </w:r>
      <w:r w:rsidR="00B138C7" w:rsidRPr="00A03525">
        <w:rPr>
          <w:rFonts w:eastAsia="Times New Roman" w:cstheme="minorHAnsi"/>
          <w:lang w:eastAsia="nb-NO"/>
        </w:rPr>
        <w:t xml:space="preserve">every </w:t>
      </w:r>
      <w:r w:rsidR="007A2961" w:rsidRPr="00A03525">
        <w:rPr>
          <w:rFonts w:eastAsia="Times New Roman" w:cstheme="minorHAnsi"/>
          <w:lang w:eastAsia="nb-NO"/>
        </w:rPr>
        <w:t>morning before the excavation starts and every artefact should</w:t>
      </w:r>
      <w:r w:rsidR="007A2961">
        <w:rPr>
          <w:rFonts w:eastAsia="Times New Roman" w:cstheme="minorHAnsi"/>
          <w:lang w:eastAsia="nb-NO"/>
        </w:rPr>
        <w:t xml:space="preserve"> have its’ </w:t>
      </w:r>
      <w:r w:rsidR="0029216E">
        <w:rPr>
          <w:rFonts w:eastAsia="Times New Roman" w:cstheme="minorHAnsi"/>
          <w:lang w:eastAsia="nb-NO"/>
        </w:rPr>
        <w:t>own D</w:t>
      </w:r>
      <w:r w:rsidR="007A2961">
        <w:rPr>
          <w:rFonts w:eastAsia="Times New Roman" w:cstheme="minorHAnsi"/>
          <w:lang w:eastAsia="nb-NO"/>
        </w:rPr>
        <w:t>umpy level taken and noted as well (</w:t>
      </w:r>
      <w:r w:rsidR="0029216E">
        <w:rPr>
          <w:rFonts w:eastAsia="Times New Roman" w:cstheme="minorHAnsi"/>
          <w:lang w:eastAsia="nb-NO"/>
        </w:rPr>
        <w:t xml:space="preserve">Savage and </w:t>
      </w:r>
      <w:proofErr w:type="spellStart"/>
      <w:r w:rsidR="0029216E">
        <w:rPr>
          <w:rFonts w:eastAsia="Times New Roman" w:cstheme="minorHAnsi"/>
          <w:lang w:eastAsia="nb-NO"/>
        </w:rPr>
        <w:t>Dismore</w:t>
      </w:r>
      <w:proofErr w:type="spellEnd"/>
      <w:r w:rsidR="0029216E">
        <w:rPr>
          <w:rFonts w:eastAsia="Times New Roman" w:cstheme="minorHAnsi"/>
          <w:lang w:eastAsia="nb-NO"/>
        </w:rPr>
        <w:t xml:space="preserve"> 1998</w:t>
      </w:r>
      <w:r w:rsidR="007A2961">
        <w:rPr>
          <w:rFonts w:eastAsia="Times New Roman" w:cstheme="minorHAnsi"/>
          <w:lang w:eastAsia="nb-NO"/>
        </w:rPr>
        <w:t>). Depending on the</w:t>
      </w:r>
      <w:r w:rsidR="00C44780">
        <w:rPr>
          <w:rFonts w:eastAsia="Times New Roman" w:cstheme="minorHAnsi"/>
          <w:lang w:eastAsia="nb-NO"/>
        </w:rPr>
        <w:t xml:space="preserve"> type of</w:t>
      </w:r>
      <w:r w:rsidR="007A2961">
        <w:rPr>
          <w:rFonts w:eastAsia="Times New Roman" w:cstheme="minorHAnsi"/>
          <w:lang w:eastAsia="nb-NO"/>
        </w:rPr>
        <w:t xml:space="preserve"> excavation, the typology of the soil should be noted as well, thus post excavation analysis could potentially create a taxonomy chart of soil types and artefacts (Savage and </w:t>
      </w:r>
      <w:proofErr w:type="spellStart"/>
      <w:r w:rsidR="007A2961">
        <w:rPr>
          <w:rFonts w:eastAsia="Times New Roman" w:cstheme="minorHAnsi"/>
          <w:lang w:eastAsia="nb-NO"/>
        </w:rPr>
        <w:t>Dismore</w:t>
      </w:r>
      <w:proofErr w:type="spellEnd"/>
      <w:r w:rsidR="007A2961">
        <w:rPr>
          <w:rFonts w:eastAsia="Times New Roman" w:cstheme="minorHAnsi"/>
          <w:lang w:eastAsia="nb-NO"/>
        </w:rPr>
        <w:t xml:space="preserve"> 1998:35). </w:t>
      </w:r>
      <w:r w:rsidR="00C44780">
        <w:rPr>
          <w:rFonts w:eastAsia="Times New Roman" w:cstheme="minorHAnsi"/>
          <w:lang w:eastAsia="nb-NO"/>
        </w:rPr>
        <w:t xml:space="preserve">Archaeological excavations undertaken do vary significantly when it comes to the different topographical areas in which it could be employed, such as rural archaeology, wetland archaeology, marine archaeology and many </w:t>
      </w:r>
      <w:proofErr w:type="gramStart"/>
      <w:r w:rsidR="00C44780">
        <w:rPr>
          <w:rFonts w:eastAsia="Times New Roman" w:cstheme="minorHAnsi"/>
          <w:lang w:eastAsia="nb-NO"/>
        </w:rPr>
        <w:t>more</w:t>
      </w:r>
      <w:r w:rsidR="00CC5AE1">
        <w:rPr>
          <w:rFonts w:eastAsia="Times New Roman" w:cstheme="minorHAnsi"/>
          <w:lang w:eastAsia="nb-NO"/>
        </w:rPr>
        <w:t xml:space="preserve"> </w:t>
      </w:r>
      <w:r w:rsidR="00C44780">
        <w:rPr>
          <w:rFonts w:eastAsia="Times New Roman" w:cstheme="minorHAnsi"/>
          <w:lang w:eastAsia="nb-NO"/>
        </w:rPr>
        <w:t>.</w:t>
      </w:r>
      <w:proofErr w:type="gramEnd"/>
      <w:r w:rsidR="00C44780">
        <w:rPr>
          <w:rFonts w:eastAsia="Times New Roman" w:cstheme="minorHAnsi"/>
          <w:lang w:eastAsia="nb-NO"/>
        </w:rPr>
        <w:t xml:space="preserve"> </w:t>
      </w:r>
    </w:p>
    <w:p w:rsidR="002856D8" w:rsidRDefault="00222978" w:rsidP="002856D8">
      <w:pPr>
        <w:rPr>
          <w:rFonts w:eastAsia="Times New Roman" w:cstheme="minorHAnsi"/>
          <w:lang w:eastAsia="nb-NO"/>
        </w:rPr>
      </w:pPr>
      <w:r>
        <w:rPr>
          <w:rFonts w:cstheme="minorHAnsi"/>
        </w:rPr>
        <w:lastRenderedPageBreak/>
        <w:t xml:space="preserve">The consumption of coffee during the Ottoman period has often been utilised to understand the contributions of archaeology to Ottoman history. </w:t>
      </w:r>
      <w:r w:rsidR="006233D7">
        <w:rPr>
          <w:rFonts w:eastAsia="Times New Roman" w:cstheme="minorHAnsi"/>
          <w:lang w:eastAsia="nb-NO"/>
        </w:rPr>
        <w:t>Especially important</w:t>
      </w:r>
      <w:r w:rsidR="002A1B14">
        <w:rPr>
          <w:rFonts w:eastAsia="Times New Roman" w:cstheme="minorHAnsi"/>
          <w:lang w:eastAsia="nb-NO"/>
        </w:rPr>
        <w:t xml:space="preserve"> concerning </w:t>
      </w:r>
      <w:r w:rsidR="00EB6E33">
        <w:rPr>
          <w:rFonts w:eastAsia="Times New Roman" w:cstheme="minorHAnsi"/>
          <w:lang w:eastAsia="nb-NO"/>
        </w:rPr>
        <w:t>the consumption of coffee in the Ottoman Empire is the</w:t>
      </w:r>
      <w:r w:rsidR="006233D7">
        <w:rPr>
          <w:rFonts w:eastAsia="Times New Roman" w:cstheme="minorHAnsi"/>
          <w:lang w:eastAsia="nb-NO"/>
        </w:rPr>
        <w:t xml:space="preserve"> analysis of ceramics</w:t>
      </w:r>
      <w:r w:rsidR="00EB6E33">
        <w:rPr>
          <w:rFonts w:eastAsia="Times New Roman" w:cstheme="minorHAnsi"/>
          <w:lang w:eastAsia="nb-NO"/>
        </w:rPr>
        <w:t xml:space="preserve">, </w:t>
      </w:r>
      <w:r w:rsidR="006233D7">
        <w:rPr>
          <w:rFonts w:eastAsia="Times New Roman" w:cstheme="minorHAnsi"/>
          <w:lang w:eastAsia="nb-NO"/>
        </w:rPr>
        <w:t>as they</w:t>
      </w:r>
      <w:r w:rsidR="00EB6E33">
        <w:rPr>
          <w:rFonts w:eastAsia="Times New Roman" w:cstheme="minorHAnsi"/>
          <w:lang w:eastAsia="nb-NO"/>
        </w:rPr>
        <w:t xml:space="preserve"> made up part of the vessels used for coffee consumption</w:t>
      </w:r>
      <w:r w:rsidR="00A17EDB">
        <w:rPr>
          <w:rFonts w:eastAsia="Times New Roman" w:cstheme="minorHAnsi"/>
          <w:lang w:eastAsia="nb-NO"/>
        </w:rPr>
        <w:t xml:space="preserve"> (Savage and </w:t>
      </w:r>
      <w:proofErr w:type="spellStart"/>
      <w:r w:rsidR="00A17EDB">
        <w:rPr>
          <w:rFonts w:eastAsia="Times New Roman" w:cstheme="minorHAnsi"/>
          <w:lang w:eastAsia="nb-NO"/>
        </w:rPr>
        <w:t>Dismore</w:t>
      </w:r>
      <w:proofErr w:type="spellEnd"/>
      <w:r w:rsidR="00A17EDB">
        <w:rPr>
          <w:rFonts w:eastAsia="Times New Roman" w:cstheme="minorHAnsi"/>
          <w:lang w:eastAsia="nb-NO"/>
        </w:rPr>
        <w:t xml:space="preserve"> 1998:36</w:t>
      </w:r>
      <w:r w:rsidR="00247B19">
        <w:rPr>
          <w:rFonts w:eastAsia="Times New Roman" w:cstheme="minorHAnsi"/>
          <w:lang w:eastAsia="nb-NO"/>
        </w:rPr>
        <w:t xml:space="preserve">, </w:t>
      </w:r>
      <w:r w:rsidR="00A17EDB">
        <w:rPr>
          <w:rFonts w:eastAsia="Times New Roman" w:cstheme="minorHAnsi"/>
          <w:lang w:eastAsia="nb-NO"/>
        </w:rPr>
        <w:t xml:space="preserve">and </w:t>
      </w:r>
      <w:proofErr w:type="spellStart"/>
      <w:r w:rsidR="00A17EDB">
        <w:rPr>
          <w:rFonts w:eastAsia="Times New Roman" w:cstheme="minorHAnsi"/>
          <w:lang w:eastAsia="nb-NO"/>
        </w:rPr>
        <w:t>Keal</w:t>
      </w:r>
      <w:r w:rsidR="002E754F">
        <w:rPr>
          <w:rFonts w:eastAsia="Times New Roman" w:cstheme="minorHAnsi"/>
          <w:lang w:eastAsia="nb-NO"/>
        </w:rPr>
        <w:t>l</w:t>
      </w:r>
      <w:proofErr w:type="spellEnd"/>
      <w:r w:rsidR="00A17EDB">
        <w:rPr>
          <w:rFonts w:eastAsia="Times New Roman" w:cstheme="minorHAnsi"/>
          <w:lang w:eastAsia="nb-NO"/>
        </w:rPr>
        <w:t xml:space="preserve"> in Tuscherer 2001). </w:t>
      </w:r>
    </w:p>
    <w:p w:rsidR="00760DCF" w:rsidRDefault="00760DCF" w:rsidP="002856D8">
      <w:pPr>
        <w:rPr>
          <w:rFonts w:eastAsia="Times New Roman" w:cstheme="minorHAnsi"/>
          <w:lang w:eastAsia="nb-NO"/>
        </w:rPr>
      </w:pPr>
      <w:r w:rsidRPr="00222978">
        <w:rPr>
          <w:rFonts w:eastAsia="Times New Roman" w:cstheme="minorHAnsi"/>
          <w:color w:val="000000" w:themeColor="text1"/>
          <w:lang w:eastAsia="nb-NO"/>
        </w:rPr>
        <w:t xml:space="preserve">Given that </w:t>
      </w:r>
      <w:r w:rsidR="00EA4187" w:rsidRPr="00222978">
        <w:rPr>
          <w:rFonts w:eastAsia="Times New Roman" w:cstheme="minorHAnsi"/>
          <w:color w:val="000000" w:themeColor="text1"/>
          <w:lang w:eastAsia="nb-NO"/>
        </w:rPr>
        <w:t>ceramics are a broad term,</w:t>
      </w:r>
      <w:r w:rsidRPr="00222978">
        <w:rPr>
          <w:rFonts w:eastAsia="Times New Roman" w:cstheme="minorHAnsi"/>
          <w:color w:val="000000" w:themeColor="text1"/>
          <w:lang w:eastAsia="nb-NO"/>
        </w:rPr>
        <w:t xml:space="preserve"> different manufacturing techniques, materials, shapes, decorations,</w:t>
      </w:r>
      <w:r w:rsidR="00AB297E" w:rsidRPr="00222978">
        <w:rPr>
          <w:rFonts w:eastAsia="Times New Roman" w:cstheme="minorHAnsi"/>
          <w:color w:val="000000" w:themeColor="text1"/>
          <w:lang w:eastAsia="nb-NO"/>
        </w:rPr>
        <w:t xml:space="preserve"> </w:t>
      </w:r>
      <w:r w:rsidRPr="00222978">
        <w:rPr>
          <w:rFonts w:eastAsia="Times New Roman" w:cstheme="minorHAnsi"/>
          <w:color w:val="000000" w:themeColor="text1"/>
          <w:lang w:eastAsia="nb-NO"/>
        </w:rPr>
        <w:t xml:space="preserve">tempering agents and locations of manufacture should </w:t>
      </w:r>
      <w:r w:rsidR="00EA4187" w:rsidRPr="00222978">
        <w:rPr>
          <w:rFonts w:eastAsia="Times New Roman" w:cstheme="minorHAnsi"/>
          <w:color w:val="000000" w:themeColor="text1"/>
          <w:lang w:eastAsia="nb-NO"/>
        </w:rPr>
        <w:t xml:space="preserve">ideally </w:t>
      </w:r>
      <w:r w:rsidRPr="00222978">
        <w:rPr>
          <w:rFonts w:eastAsia="Times New Roman" w:cstheme="minorHAnsi"/>
          <w:color w:val="000000" w:themeColor="text1"/>
          <w:lang w:eastAsia="nb-NO"/>
        </w:rPr>
        <w:t>be discussed</w:t>
      </w:r>
      <w:r w:rsidR="00EA4187" w:rsidRPr="00222978">
        <w:rPr>
          <w:rFonts w:eastAsia="Times New Roman" w:cstheme="minorHAnsi"/>
          <w:color w:val="000000" w:themeColor="text1"/>
          <w:lang w:eastAsia="nb-NO"/>
        </w:rPr>
        <w:t xml:space="preserve"> before an excavation aiming to investigate Ottoman coffee consumption </w:t>
      </w:r>
      <w:r w:rsidRPr="00222978">
        <w:rPr>
          <w:rFonts w:eastAsia="Times New Roman" w:cstheme="minorHAnsi"/>
          <w:color w:val="000000" w:themeColor="text1"/>
          <w:lang w:eastAsia="nb-NO"/>
        </w:rPr>
        <w:t xml:space="preserve">(Savage and </w:t>
      </w:r>
      <w:proofErr w:type="spellStart"/>
      <w:r w:rsidRPr="00222978">
        <w:rPr>
          <w:rFonts w:eastAsia="Times New Roman" w:cstheme="minorHAnsi"/>
          <w:color w:val="000000" w:themeColor="text1"/>
          <w:lang w:eastAsia="nb-NO"/>
        </w:rPr>
        <w:t>Dismore</w:t>
      </w:r>
      <w:proofErr w:type="spellEnd"/>
      <w:r w:rsidRPr="00222978">
        <w:rPr>
          <w:rFonts w:eastAsia="Times New Roman" w:cstheme="minorHAnsi"/>
          <w:color w:val="000000" w:themeColor="text1"/>
          <w:lang w:eastAsia="nb-NO"/>
        </w:rPr>
        <w:t xml:space="preserve"> 1998:36). </w:t>
      </w:r>
      <w:r w:rsidR="00AA4183">
        <w:rPr>
          <w:rFonts w:eastAsia="Times New Roman" w:cstheme="minorHAnsi"/>
          <w:lang w:eastAsia="nb-NO"/>
        </w:rPr>
        <w:t>Understanding if a ceramic sherd was glazed</w:t>
      </w:r>
      <w:r w:rsidR="00574985">
        <w:rPr>
          <w:rFonts w:eastAsia="Times New Roman" w:cstheme="minorHAnsi"/>
          <w:lang w:eastAsia="nb-NO"/>
        </w:rPr>
        <w:t>, decorated or</w:t>
      </w:r>
      <w:r w:rsidR="00AA4183">
        <w:rPr>
          <w:rFonts w:eastAsia="Times New Roman" w:cstheme="minorHAnsi"/>
          <w:lang w:eastAsia="nb-NO"/>
        </w:rPr>
        <w:t xml:space="preserve"> which part of the vessel it </w:t>
      </w:r>
      <w:r w:rsidR="00EA4187">
        <w:rPr>
          <w:rFonts w:eastAsia="Times New Roman" w:cstheme="minorHAnsi"/>
          <w:lang w:eastAsia="nb-NO"/>
        </w:rPr>
        <w:t>belonged to</w:t>
      </w:r>
      <w:r w:rsidR="00BF18B2">
        <w:rPr>
          <w:rFonts w:eastAsia="Times New Roman" w:cstheme="minorHAnsi"/>
          <w:lang w:eastAsia="nb-NO"/>
        </w:rPr>
        <w:t xml:space="preserve">, </w:t>
      </w:r>
      <w:r w:rsidR="00574985">
        <w:rPr>
          <w:rFonts w:eastAsia="Times New Roman" w:cstheme="minorHAnsi"/>
          <w:lang w:eastAsia="nb-NO"/>
        </w:rPr>
        <w:t>often suggests</w:t>
      </w:r>
      <w:r w:rsidR="00BF18B2">
        <w:rPr>
          <w:rFonts w:eastAsia="Times New Roman" w:cstheme="minorHAnsi"/>
          <w:lang w:eastAsia="nb-NO"/>
        </w:rPr>
        <w:t xml:space="preserve"> the possible purpose of the vessel and the context in which it was found</w:t>
      </w:r>
      <w:r w:rsidR="00574985">
        <w:rPr>
          <w:rFonts w:eastAsia="Times New Roman" w:cstheme="minorHAnsi"/>
          <w:lang w:eastAsia="nb-NO"/>
        </w:rPr>
        <w:t>, and are essential</w:t>
      </w:r>
      <w:r w:rsidR="00BF18B2">
        <w:rPr>
          <w:rFonts w:eastAsia="Times New Roman" w:cstheme="minorHAnsi"/>
          <w:lang w:eastAsia="nb-NO"/>
        </w:rPr>
        <w:t xml:space="preserve"> </w:t>
      </w:r>
      <w:r w:rsidR="00574985">
        <w:rPr>
          <w:rFonts w:eastAsia="Times New Roman" w:cstheme="minorHAnsi"/>
          <w:lang w:eastAsia="nb-NO"/>
        </w:rPr>
        <w:t xml:space="preserve">for </w:t>
      </w:r>
      <w:r w:rsidR="00BF18B2">
        <w:rPr>
          <w:rFonts w:eastAsia="Times New Roman" w:cstheme="minorHAnsi"/>
          <w:lang w:eastAsia="nb-NO"/>
        </w:rPr>
        <w:t>analysi</w:t>
      </w:r>
      <w:r w:rsidR="00EA4187">
        <w:rPr>
          <w:rFonts w:eastAsia="Times New Roman" w:cstheme="minorHAnsi"/>
          <w:lang w:eastAsia="nb-NO"/>
        </w:rPr>
        <w:t>ng</w:t>
      </w:r>
      <w:r w:rsidR="00BF18B2">
        <w:rPr>
          <w:rFonts w:eastAsia="Times New Roman" w:cstheme="minorHAnsi"/>
          <w:lang w:eastAsia="nb-NO"/>
        </w:rPr>
        <w:t xml:space="preserve"> </w:t>
      </w:r>
      <w:r w:rsidR="00EA4187">
        <w:rPr>
          <w:rFonts w:eastAsia="Times New Roman" w:cstheme="minorHAnsi"/>
          <w:lang w:eastAsia="nb-NO"/>
        </w:rPr>
        <w:t>c</w:t>
      </w:r>
      <w:r w:rsidR="00BF18B2">
        <w:rPr>
          <w:rFonts w:eastAsia="Times New Roman" w:cstheme="minorHAnsi"/>
          <w:lang w:eastAsia="nb-NO"/>
        </w:rPr>
        <w:t xml:space="preserve">eramics (Savage and </w:t>
      </w:r>
      <w:proofErr w:type="spellStart"/>
      <w:r w:rsidR="00BF18B2">
        <w:rPr>
          <w:rFonts w:eastAsia="Times New Roman" w:cstheme="minorHAnsi"/>
          <w:lang w:eastAsia="nb-NO"/>
        </w:rPr>
        <w:t>Dismore</w:t>
      </w:r>
      <w:proofErr w:type="spellEnd"/>
      <w:r w:rsidR="00BF18B2">
        <w:rPr>
          <w:rFonts w:eastAsia="Times New Roman" w:cstheme="minorHAnsi"/>
          <w:lang w:eastAsia="nb-NO"/>
        </w:rPr>
        <w:t xml:space="preserve"> 1998:36). </w:t>
      </w:r>
      <w:r w:rsidR="00D15526">
        <w:rPr>
          <w:rFonts w:eastAsia="Times New Roman" w:cstheme="minorHAnsi"/>
          <w:lang w:eastAsia="nb-NO"/>
        </w:rPr>
        <w:t>Often, creating a fact sheet about every single piece of ceramics proves to be useful, however</w:t>
      </w:r>
      <w:r w:rsidR="00574985">
        <w:rPr>
          <w:rFonts w:eastAsia="Times New Roman" w:cstheme="minorHAnsi"/>
          <w:lang w:eastAsia="nb-NO"/>
        </w:rPr>
        <w:t>, this</w:t>
      </w:r>
      <w:r w:rsidR="00D15526">
        <w:rPr>
          <w:rFonts w:eastAsia="Times New Roman" w:cstheme="minorHAnsi"/>
          <w:lang w:eastAsia="nb-NO"/>
        </w:rPr>
        <w:t xml:space="preserve"> can take a lot of time and is </w:t>
      </w:r>
      <w:r w:rsidR="00574985">
        <w:rPr>
          <w:rFonts w:eastAsia="Times New Roman" w:cstheme="minorHAnsi"/>
          <w:lang w:eastAsia="nb-NO"/>
        </w:rPr>
        <w:t>therefore often avoided</w:t>
      </w:r>
      <w:r w:rsidR="000A2539">
        <w:rPr>
          <w:rFonts w:eastAsia="Times New Roman" w:cstheme="minorHAnsi"/>
          <w:lang w:eastAsia="nb-NO"/>
        </w:rPr>
        <w:t xml:space="preserve"> </w:t>
      </w:r>
      <w:r w:rsidR="00D15526">
        <w:rPr>
          <w:rFonts w:eastAsia="Times New Roman" w:cstheme="minorHAnsi"/>
          <w:lang w:eastAsia="nb-NO"/>
        </w:rPr>
        <w:t xml:space="preserve">(Savage and </w:t>
      </w:r>
      <w:proofErr w:type="spellStart"/>
      <w:r w:rsidR="00D15526">
        <w:rPr>
          <w:rFonts w:eastAsia="Times New Roman" w:cstheme="minorHAnsi"/>
          <w:lang w:eastAsia="nb-NO"/>
        </w:rPr>
        <w:t>Dismore</w:t>
      </w:r>
      <w:proofErr w:type="spellEnd"/>
      <w:r w:rsidR="00D15526">
        <w:rPr>
          <w:rFonts w:eastAsia="Times New Roman" w:cstheme="minorHAnsi"/>
          <w:lang w:eastAsia="nb-NO"/>
        </w:rPr>
        <w:t xml:space="preserve"> 1998).</w:t>
      </w:r>
      <w:r w:rsidR="002D359F">
        <w:rPr>
          <w:rFonts w:eastAsia="Times New Roman" w:cstheme="minorHAnsi"/>
          <w:lang w:eastAsia="nb-NO"/>
        </w:rPr>
        <w:t xml:space="preserve"> In order to show how archaeological excavation contributed to our modern understanding of coffee consumption in the Ottoman Empire, both archaeological and written sources</w:t>
      </w:r>
      <w:r w:rsidR="00574985">
        <w:rPr>
          <w:rFonts w:eastAsia="Times New Roman" w:cstheme="minorHAnsi"/>
          <w:lang w:eastAsia="nb-NO"/>
        </w:rPr>
        <w:t xml:space="preserve"> are</w:t>
      </w:r>
      <w:r w:rsidR="002D359F">
        <w:rPr>
          <w:rFonts w:eastAsia="Times New Roman" w:cstheme="minorHAnsi"/>
          <w:lang w:eastAsia="nb-NO"/>
        </w:rPr>
        <w:t xml:space="preserve"> </w:t>
      </w:r>
      <w:r w:rsidR="00574985">
        <w:rPr>
          <w:rFonts w:eastAsia="Times New Roman" w:cstheme="minorHAnsi"/>
          <w:lang w:eastAsia="nb-NO"/>
        </w:rPr>
        <w:t xml:space="preserve">presented. </w:t>
      </w:r>
    </w:p>
    <w:p w:rsidR="008016F2" w:rsidRDefault="008016F2" w:rsidP="008016F2">
      <w:r>
        <w:t>The production of coffee originates in the Near East, specifically Yemen, w</w:t>
      </w:r>
      <w:r w:rsidR="002D359F">
        <w:t>here</w:t>
      </w:r>
      <w:r>
        <w:t xml:space="preserve"> its </w:t>
      </w:r>
      <w:r w:rsidR="00514E08">
        <w:t xml:space="preserve">consumption </w:t>
      </w:r>
      <w:r w:rsidR="002D359F">
        <w:t xml:space="preserve">has been </w:t>
      </w:r>
      <w:r w:rsidR="00514E08">
        <w:t>traced back to</w:t>
      </w:r>
      <w:r>
        <w:t xml:space="preserve"> the ninth </w:t>
      </w:r>
      <w:r w:rsidRPr="001A203E">
        <w:t>and fourteenth</w:t>
      </w:r>
      <w:r>
        <w:t xml:space="preserve"> centuri</w:t>
      </w:r>
      <w:r w:rsidR="00514E08">
        <w:t>es</w:t>
      </w:r>
      <w:r>
        <w:t xml:space="preserve"> (Tuscherer 2001:23). It </w:t>
      </w:r>
      <w:r w:rsidR="002D359F">
        <w:t>was</w:t>
      </w:r>
      <w:r>
        <w:t xml:space="preserve"> suggested that coffee </w:t>
      </w:r>
      <w:r w:rsidR="002D359F">
        <w:t>only ceased to be a beverage for the wealthy</w:t>
      </w:r>
      <w:r>
        <w:t xml:space="preserve"> in the 15</w:t>
      </w:r>
      <w:r w:rsidRPr="00312F7B">
        <w:rPr>
          <w:vertAlign w:val="superscript"/>
        </w:rPr>
        <w:t>th</w:t>
      </w:r>
      <w:r>
        <w:t xml:space="preserve"> century</w:t>
      </w:r>
      <w:r w:rsidR="002D359F">
        <w:t>,</w:t>
      </w:r>
      <w:r>
        <w:t xml:space="preserve"> as</w:t>
      </w:r>
      <w:r w:rsidR="002D359F">
        <w:t xml:space="preserve"> </w:t>
      </w:r>
      <w:r>
        <w:t>the reduction in size of the ceramic drinking bowls</w:t>
      </w:r>
      <w:r w:rsidR="002D359F">
        <w:t xml:space="preserve"> suggest</w:t>
      </w:r>
      <w:r>
        <w:t xml:space="preserve"> (</w:t>
      </w:r>
      <w:proofErr w:type="spellStart"/>
      <w:r>
        <w:t>Keal</w:t>
      </w:r>
      <w:r w:rsidR="002E754F">
        <w:t>l</w:t>
      </w:r>
      <w:proofErr w:type="spellEnd"/>
      <w:r>
        <w:t xml:space="preserve"> in Tuscherer 2001:35). </w:t>
      </w:r>
      <w:r w:rsidR="00AB297E">
        <w:t>Important archaeological evidence is derived from excavations at</w:t>
      </w:r>
      <w:r>
        <w:t xml:space="preserve"> </w:t>
      </w:r>
      <w:proofErr w:type="spellStart"/>
      <w:r>
        <w:t>Zabid</w:t>
      </w:r>
      <w:proofErr w:type="spellEnd"/>
      <w:r w:rsidR="00492D71">
        <w:t xml:space="preserve"> in </w:t>
      </w:r>
      <w:r>
        <w:t xml:space="preserve">Yemen, as </w:t>
      </w:r>
      <w:r w:rsidR="00AB297E">
        <w:t xml:space="preserve">conducted </w:t>
      </w:r>
      <w:r>
        <w:t xml:space="preserve">by </w:t>
      </w:r>
      <w:bookmarkStart w:id="1" w:name="_Hlk533857002"/>
      <w:r>
        <w:t>the Canadian Archaeological Mission of the Royal Ontario Museum</w:t>
      </w:r>
      <w:r w:rsidR="00514E08">
        <w:t xml:space="preserve"> </w:t>
      </w:r>
      <w:bookmarkEnd w:id="1"/>
      <w:r>
        <w:t>(</w:t>
      </w:r>
      <w:proofErr w:type="spellStart"/>
      <w:r>
        <w:t>Keal</w:t>
      </w:r>
      <w:r w:rsidR="002E754F">
        <w:t>l</w:t>
      </w:r>
      <w:proofErr w:type="spellEnd"/>
      <w:r>
        <w:t xml:space="preserve"> in Tuscherer 2001:35</w:t>
      </w:r>
      <w:r w:rsidR="003370E2">
        <w:t xml:space="preserve">). </w:t>
      </w:r>
      <w:r>
        <w:t>Importantly, the vessels</w:t>
      </w:r>
      <w:r w:rsidR="00574985">
        <w:t xml:space="preserve"> found</w:t>
      </w:r>
      <w:r w:rsidR="00492D71">
        <w:t>, dating back to the 15</w:t>
      </w:r>
      <w:r w:rsidR="00492D71" w:rsidRPr="00492D71">
        <w:rPr>
          <w:vertAlign w:val="superscript"/>
        </w:rPr>
        <w:t>th</w:t>
      </w:r>
      <w:r w:rsidR="00492D71">
        <w:t xml:space="preserve"> century, are predominantly</w:t>
      </w:r>
      <w:r>
        <w:t xml:space="preserve"> called bowls, </w:t>
      </w:r>
      <w:r w:rsidR="00492D71">
        <w:t>as t</w:t>
      </w:r>
      <w:r>
        <w:t>o distinguish from later models (</w:t>
      </w:r>
      <w:proofErr w:type="spellStart"/>
      <w:r>
        <w:t>Keal</w:t>
      </w:r>
      <w:r w:rsidR="002E754F">
        <w:t>l</w:t>
      </w:r>
      <w:proofErr w:type="spellEnd"/>
      <w:r>
        <w:t xml:space="preserve"> in Tuscherer 2001:35).</w:t>
      </w:r>
    </w:p>
    <w:p w:rsidR="00183669" w:rsidRDefault="008016F2" w:rsidP="008016F2">
      <w:r>
        <w:t>By the end of the 15</w:t>
      </w:r>
      <w:r w:rsidRPr="00436F04">
        <w:rPr>
          <w:vertAlign w:val="superscript"/>
        </w:rPr>
        <w:t>th</w:t>
      </w:r>
      <w:r>
        <w:t xml:space="preserve"> century, smaller drinking bowls were produced</w:t>
      </w:r>
      <w:r w:rsidR="00007D88">
        <w:t xml:space="preserve"> </w:t>
      </w:r>
      <w:r>
        <w:t xml:space="preserve">by the potters of Hays close to </w:t>
      </w:r>
      <w:proofErr w:type="spellStart"/>
      <w:r>
        <w:t>Zabid</w:t>
      </w:r>
      <w:proofErr w:type="spellEnd"/>
      <w:r>
        <w:t xml:space="preserve"> </w:t>
      </w:r>
      <w:r w:rsidR="00A36EFB">
        <w:t>with</w:t>
      </w:r>
      <w:r w:rsidR="00574985">
        <w:t xml:space="preserve"> the</w:t>
      </w:r>
      <w:r>
        <w:t xml:space="preserve"> Chinese porcelain tea bowl </w:t>
      </w:r>
      <w:r w:rsidR="00574985">
        <w:t xml:space="preserve">as </w:t>
      </w:r>
      <w:r>
        <w:t>its</w:t>
      </w:r>
      <w:r w:rsidR="00574985">
        <w:t xml:space="preserve"> supposed</w:t>
      </w:r>
      <w:r>
        <w:t xml:space="preserve"> main source of inspiration</w:t>
      </w:r>
      <w:r w:rsidR="00A36EFB">
        <w:t xml:space="preserve"> </w:t>
      </w:r>
      <w:r w:rsidR="00A36EFB">
        <w:t>(</w:t>
      </w:r>
      <w:proofErr w:type="spellStart"/>
      <w:r w:rsidR="00A36EFB">
        <w:t>Keal</w:t>
      </w:r>
      <w:r w:rsidR="002E754F">
        <w:t>l</w:t>
      </w:r>
      <w:proofErr w:type="spellEnd"/>
      <w:r w:rsidR="00A36EFB">
        <w:t xml:space="preserve"> in Tuscherer 2001:35)</w:t>
      </w:r>
      <w:r w:rsidR="00A36EFB">
        <w:t>. Pa</w:t>
      </w:r>
      <w:r w:rsidR="00514E08">
        <w:t>rallels</w:t>
      </w:r>
      <w:r>
        <w:t xml:space="preserve"> </w:t>
      </w:r>
      <w:r w:rsidR="00A36EFB">
        <w:t>between the two vessel types exist</w:t>
      </w:r>
      <w:r>
        <w:t xml:space="preserve"> such as the blue and white designs</w:t>
      </w:r>
      <w:r w:rsidR="00A36EFB">
        <w:t xml:space="preserve"> evident on both</w:t>
      </w:r>
      <w:r>
        <w:t xml:space="preserve">, </w:t>
      </w:r>
      <w:r w:rsidR="005E055E">
        <w:t>coherent</w:t>
      </w:r>
      <w:r>
        <w:t xml:space="preserve"> with the general affinity for Chinese design within the Ottoman Empire in the 15</w:t>
      </w:r>
      <w:r w:rsidRPr="00772757">
        <w:rPr>
          <w:vertAlign w:val="superscript"/>
        </w:rPr>
        <w:t>th</w:t>
      </w:r>
      <w:r>
        <w:t xml:space="preserve"> century (</w:t>
      </w:r>
      <w:proofErr w:type="spellStart"/>
      <w:r>
        <w:t>Keal</w:t>
      </w:r>
      <w:r w:rsidR="002E754F">
        <w:t>l</w:t>
      </w:r>
      <w:proofErr w:type="spellEnd"/>
      <w:r>
        <w:t xml:space="preserve"> in Tuscherer 2001:36). The people from </w:t>
      </w:r>
      <w:proofErr w:type="spellStart"/>
      <w:r>
        <w:t>Zabi</w:t>
      </w:r>
      <w:r w:rsidR="00183669">
        <w:t>d</w:t>
      </w:r>
      <w:proofErr w:type="spellEnd"/>
      <w:r>
        <w:t xml:space="preserve"> were unlikely relying solely on Chinese bowl import</w:t>
      </w:r>
      <w:r w:rsidR="00514E08">
        <w:t xml:space="preserve">s </w:t>
      </w:r>
      <w:r>
        <w:t xml:space="preserve">for their coffee consumption, as few have been found in the area, </w:t>
      </w:r>
      <w:r w:rsidR="00514E08">
        <w:t>given that</w:t>
      </w:r>
      <w:r>
        <w:t xml:space="preserve"> such import</w:t>
      </w:r>
      <w:r w:rsidR="00514E08">
        <w:t>-ware</w:t>
      </w:r>
      <w:r>
        <w:t xml:space="preserve"> w</w:t>
      </w:r>
      <w:r w:rsidR="00514E08">
        <w:t xml:space="preserve">as </w:t>
      </w:r>
      <w:r>
        <w:t xml:space="preserve">normally </w:t>
      </w:r>
      <w:r w:rsidR="00514E08">
        <w:t>higher in value</w:t>
      </w:r>
      <w:r>
        <w:t xml:space="preserve"> than</w:t>
      </w:r>
      <w:r w:rsidR="00183669">
        <w:t xml:space="preserve"> similar</w:t>
      </w:r>
      <w:r>
        <w:t xml:space="preserve"> local produc</w:t>
      </w:r>
      <w:r w:rsidR="00183669">
        <w:t>ts</w:t>
      </w:r>
      <w:r w:rsidR="00514E08">
        <w:t xml:space="preserve"> </w:t>
      </w:r>
      <w:r>
        <w:t>(</w:t>
      </w:r>
      <w:proofErr w:type="spellStart"/>
      <w:r>
        <w:t>Keal</w:t>
      </w:r>
      <w:r w:rsidR="002E754F">
        <w:t>l</w:t>
      </w:r>
      <w:proofErr w:type="spellEnd"/>
      <w:r>
        <w:t xml:space="preserve"> in Tuscherer 2001:36</w:t>
      </w:r>
      <w:r w:rsidRPr="00183669">
        <w:t xml:space="preserve">). </w:t>
      </w:r>
    </w:p>
    <w:p w:rsidR="00966FE3" w:rsidRDefault="008016F2" w:rsidP="008016F2">
      <w:r>
        <w:lastRenderedPageBreak/>
        <w:t>Only by the mid-16</w:t>
      </w:r>
      <w:r w:rsidRPr="00526A22">
        <w:rPr>
          <w:vertAlign w:val="superscript"/>
        </w:rPr>
        <w:t>th</w:t>
      </w:r>
      <w:r>
        <w:t xml:space="preserve"> century </w:t>
      </w:r>
      <w:proofErr w:type="gramStart"/>
      <w:r w:rsidR="005E055E">
        <w:t>were</w:t>
      </w:r>
      <w:proofErr w:type="gramEnd"/>
      <w:r w:rsidR="005E055E">
        <w:t xml:space="preserve"> </w:t>
      </w:r>
      <w:proofErr w:type="spellStart"/>
      <w:r>
        <w:t>Haysi</w:t>
      </w:r>
      <w:proofErr w:type="spellEnd"/>
      <w:r>
        <w:t xml:space="preserve"> potters producing</w:t>
      </w:r>
      <w:r w:rsidR="00514E08">
        <w:t xml:space="preserve"> </w:t>
      </w:r>
      <w:r w:rsidR="00822DDD">
        <w:t>what can be called</w:t>
      </w:r>
      <w:r w:rsidR="00514E08">
        <w:t xml:space="preserve"> </w:t>
      </w:r>
      <w:r>
        <w:t>coffee cup</w:t>
      </w:r>
      <w:r w:rsidR="00514E08">
        <w:t>s</w:t>
      </w:r>
      <w:r>
        <w:t xml:space="preserve">, </w:t>
      </w:r>
      <w:r w:rsidR="00822DDD">
        <w:t>identifiable</w:t>
      </w:r>
      <w:r>
        <w:t xml:space="preserve"> by a particular size and</w:t>
      </w:r>
      <w:r w:rsidR="00822DDD">
        <w:t xml:space="preserve"> their</w:t>
      </w:r>
      <w:r>
        <w:t xml:space="preserve"> similarity to the modern Turkish </w:t>
      </w:r>
      <w:proofErr w:type="spellStart"/>
      <w:r w:rsidRPr="00526A22">
        <w:rPr>
          <w:i/>
        </w:rPr>
        <w:t>findjan</w:t>
      </w:r>
      <w:proofErr w:type="spellEnd"/>
      <w:r>
        <w:rPr>
          <w:i/>
        </w:rPr>
        <w:t xml:space="preserve"> </w:t>
      </w:r>
      <w:r>
        <w:t>(</w:t>
      </w:r>
      <w:proofErr w:type="spellStart"/>
      <w:r>
        <w:t>Kea</w:t>
      </w:r>
      <w:r w:rsidR="007B6043">
        <w:t>l</w:t>
      </w:r>
      <w:r>
        <w:t>l</w:t>
      </w:r>
      <w:proofErr w:type="spellEnd"/>
      <w:r>
        <w:t xml:space="preserve"> in Tuscherer 2001:36). </w:t>
      </w:r>
      <w:r w:rsidR="00E647CF">
        <w:t xml:space="preserve">The sudden popularity of coffee </w:t>
      </w:r>
      <w:r w:rsidR="00822DDD">
        <w:t>observed in</w:t>
      </w:r>
      <w:r w:rsidR="00E647CF">
        <w:t xml:space="preserve"> the Yemeni population during the 15</w:t>
      </w:r>
      <w:r w:rsidR="00E647CF" w:rsidRPr="00E647CF">
        <w:rPr>
          <w:vertAlign w:val="superscript"/>
        </w:rPr>
        <w:t>th</w:t>
      </w:r>
      <w:r w:rsidR="00E647CF">
        <w:t xml:space="preserve"> century and the equivalent flourishing of </w:t>
      </w:r>
      <w:proofErr w:type="spellStart"/>
      <w:r w:rsidR="00E647CF">
        <w:t>Haysi</w:t>
      </w:r>
      <w:proofErr w:type="spellEnd"/>
      <w:r w:rsidR="00E647CF">
        <w:t xml:space="preserve"> ceramic ware </w:t>
      </w:r>
      <w:r w:rsidR="008532A0">
        <w:t>are often linked together, t</w:t>
      </w:r>
      <w:r w:rsidR="005E055E">
        <w:t>hereby</w:t>
      </w:r>
      <w:r w:rsidR="008532A0">
        <w:t xml:space="preserve"> strengthening the link between the two (</w:t>
      </w:r>
      <w:proofErr w:type="spellStart"/>
      <w:r w:rsidR="008532A0">
        <w:t>Kea</w:t>
      </w:r>
      <w:r w:rsidR="007B6043">
        <w:t>l</w:t>
      </w:r>
      <w:r w:rsidR="008532A0">
        <w:t>l</w:t>
      </w:r>
      <w:proofErr w:type="spellEnd"/>
      <w:r w:rsidR="008532A0">
        <w:t xml:space="preserve"> in Tuscherer 2001:36). </w:t>
      </w:r>
      <w:r w:rsidR="005E055E">
        <w:t>As</w:t>
      </w:r>
      <w:r w:rsidR="00A72721">
        <w:t xml:space="preserve"> </w:t>
      </w:r>
      <w:proofErr w:type="spellStart"/>
      <w:r w:rsidR="00A72721">
        <w:t>Zabi</w:t>
      </w:r>
      <w:r w:rsidR="00822DDD">
        <w:t>d</w:t>
      </w:r>
      <w:proofErr w:type="spellEnd"/>
      <w:r w:rsidR="00A72721">
        <w:t xml:space="preserve"> was labelled a very ordinary and representative town within the Ottoman Empire,</w:t>
      </w:r>
      <w:r w:rsidR="006F5237">
        <w:t xml:space="preserve"> excavation results are often used </w:t>
      </w:r>
      <w:r w:rsidR="00822DDD">
        <w:t>for comparing</w:t>
      </w:r>
      <w:r w:rsidR="006F5237">
        <w:t xml:space="preserve"> ordinary consumer patterns within the region (</w:t>
      </w:r>
      <w:proofErr w:type="spellStart"/>
      <w:r w:rsidR="006F5237">
        <w:t>Kea</w:t>
      </w:r>
      <w:r w:rsidR="007B6043">
        <w:t>l</w:t>
      </w:r>
      <w:r w:rsidR="006F5237">
        <w:t>l</w:t>
      </w:r>
      <w:proofErr w:type="spellEnd"/>
      <w:r w:rsidR="006F5237">
        <w:t xml:space="preserve"> in Tuscherer 2001:37).</w:t>
      </w:r>
      <w:r w:rsidR="003A51BB">
        <w:t xml:space="preserve"> </w:t>
      </w:r>
      <w:r w:rsidR="00822DDD">
        <w:t>Sorting such ceramic artefacts into categories ha</w:t>
      </w:r>
      <w:r w:rsidR="005E055E">
        <w:t>ve</w:t>
      </w:r>
      <w:r w:rsidR="00822DDD">
        <w:t xml:space="preserve"> been successfully carried out by t</w:t>
      </w:r>
      <w:r w:rsidR="003A51BB">
        <w:t>he Canadian Archaeological Mission of the Royal Ontario Museum</w:t>
      </w:r>
      <w:r w:rsidR="00822DDD">
        <w:t xml:space="preserve">, as they </w:t>
      </w:r>
      <w:r w:rsidR="003A51BB">
        <w:t xml:space="preserve">established a </w:t>
      </w:r>
      <w:r w:rsidR="00822DDD">
        <w:t>taxonomy</w:t>
      </w:r>
      <w:r w:rsidR="003A51BB">
        <w:t xml:space="preserve"> of </w:t>
      </w:r>
      <w:proofErr w:type="spellStart"/>
      <w:r w:rsidR="003A51BB">
        <w:t>Tihama</w:t>
      </w:r>
      <w:proofErr w:type="spellEnd"/>
      <w:r w:rsidR="003A51BB">
        <w:t xml:space="preserve"> ceramics by equating their appearance to similar vessels such as lusterwares from </w:t>
      </w:r>
      <w:r w:rsidR="003A51BB" w:rsidRPr="003A51BB">
        <w:rPr>
          <w:i/>
        </w:rPr>
        <w:t>Fatimid</w:t>
      </w:r>
      <w:r w:rsidR="003A51BB">
        <w:t xml:space="preserve"> in Egypt, </w:t>
      </w:r>
      <w:proofErr w:type="spellStart"/>
      <w:r w:rsidR="002069C6" w:rsidRPr="002069C6">
        <w:rPr>
          <w:i/>
        </w:rPr>
        <w:t>S</w:t>
      </w:r>
      <w:r w:rsidR="002069C6">
        <w:rPr>
          <w:i/>
        </w:rPr>
        <w:t>g</w:t>
      </w:r>
      <w:r w:rsidR="002069C6" w:rsidRPr="002069C6">
        <w:rPr>
          <w:i/>
        </w:rPr>
        <w:t>affiato</w:t>
      </w:r>
      <w:proofErr w:type="spellEnd"/>
      <w:r w:rsidR="002069C6">
        <w:t xml:space="preserve"> from</w:t>
      </w:r>
      <w:r w:rsidR="003A51BB">
        <w:t xml:space="preserve"> </w:t>
      </w:r>
      <w:r w:rsidR="003A51BB">
        <w:rPr>
          <w:i/>
        </w:rPr>
        <w:t xml:space="preserve">Abbasid </w:t>
      </w:r>
      <w:r w:rsidR="003A51BB">
        <w:t xml:space="preserve">in Iraq, </w:t>
      </w:r>
      <w:r w:rsidR="005E055E">
        <w:t xml:space="preserve">or </w:t>
      </w:r>
      <w:r w:rsidR="00B8435C" w:rsidRPr="00B8435C">
        <w:rPr>
          <w:i/>
        </w:rPr>
        <w:t>celadons</w:t>
      </w:r>
      <w:r w:rsidR="00B8435C">
        <w:t xml:space="preserve"> </w:t>
      </w:r>
      <w:r w:rsidR="002069C6">
        <w:t xml:space="preserve">from </w:t>
      </w:r>
      <w:proofErr w:type="spellStart"/>
      <w:r w:rsidR="002069C6">
        <w:t>Yuean</w:t>
      </w:r>
      <w:proofErr w:type="spellEnd"/>
      <w:r w:rsidR="002069C6">
        <w:t xml:space="preserve"> China, </w:t>
      </w:r>
      <w:r w:rsidR="00B8435C">
        <w:t xml:space="preserve"> </w:t>
      </w:r>
      <w:r w:rsidR="003A51BB">
        <w:t>thus establishing connections and spheres of influence</w:t>
      </w:r>
      <w:r w:rsidR="00151355">
        <w:t xml:space="preserve">, applying the analysis and taxonomy of ceramic ware </w:t>
      </w:r>
      <w:r w:rsidR="003A51BB">
        <w:t>(</w:t>
      </w:r>
      <w:proofErr w:type="spellStart"/>
      <w:r w:rsidR="003A51BB">
        <w:t>Kea</w:t>
      </w:r>
      <w:r w:rsidR="007B6043">
        <w:t>l</w:t>
      </w:r>
      <w:r w:rsidR="003A51BB">
        <w:t>l</w:t>
      </w:r>
      <w:proofErr w:type="spellEnd"/>
      <w:r w:rsidR="003A51BB">
        <w:t xml:space="preserve"> in Tuscherer 2001:37). </w:t>
      </w:r>
      <w:r w:rsidR="00822DDD">
        <w:t>Such efforts resulted in providing more context for excavated ceramic pieces, with the example of a</w:t>
      </w:r>
      <w:r w:rsidR="006C280E">
        <w:t xml:space="preserve"> previously unidentifiable piece of Yemeni pottery</w:t>
      </w:r>
      <w:r w:rsidR="00822DDD">
        <w:t xml:space="preserve">, </w:t>
      </w:r>
      <w:r w:rsidR="006C280E">
        <w:t xml:space="preserve">now quite securely attributed, give and take a century, </w:t>
      </w:r>
      <w:r w:rsidR="00822DDD">
        <w:t>to i</w:t>
      </w:r>
      <w:r w:rsidR="006C280E">
        <w:t>ts probable time of manufacture (</w:t>
      </w:r>
      <w:proofErr w:type="spellStart"/>
      <w:r w:rsidR="006C280E">
        <w:t>Kea</w:t>
      </w:r>
      <w:r w:rsidR="007B6043">
        <w:t>l</w:t>
      </w:r>
      <w:r w:rsidR="006C280E">
        <w:t>l</w:t>
      </w:r>
      <w:proofErr w:type="spellEnd"/>
      <w:r w:rsidR="006C280E">
        <w:t xml:space="preserve"> in Tuscherer 2001: 37).</w:t>
      </w:r>
      <w:r w:rsidR="00184597">
        <w:t xml:space="preserve"> From the 16</w:t>
      </w:r>
      <w:r w:rsidR="00184597" w:rsidRPr="00184597">
        <w:rPr>
          <w:vertAlign w:val="superscript"/>
        </w:rPr>
        <w:t>th</w:t>
      </w:r>
      <w:r w:rsidR="00184597">
        <w:t xml:space="preserve"> century onwards</w:t>
      </w:r>
      <w:r w:rsidR="00A77182">
        <w:t xml:space="preserve"> new types of cups were used</w:t>
      </w:r>
      <w:r w:rsidR="00F118BA">
        <w:t xml:space="preserve"> at </w:t>
      </w:r>
      <w:proofErr w:type="spellStart"/>
      <w:r w:rsidR="00F118BA">
        <w:t>Zabid</w:t>
      </w:r>
      <w:proofErr w:type="spellEnd"/>
      <w:r w:rsidR="00184597">
        <w:t xml:space="preserve">, </w:t>
      </w:r>
      <w:r w:rsidR="00F118BA">
        <w:t xml:space="preserve">called </w:t>
      </w:r>
      <w:proofErr w:type="spellStart"/>
      <w:r w:rsidR="00184597" w:rsidRPr="00184597">
        <w:rPr>
          <w:i/>
        </w:rPr>
        <w:t>findjan</w:t>
      </w:r>
      <w:proofErr w:type="spellEnd"/>
      <w:r w:rsidR="00F118BA">
        <w:t xml:space="preserve"> cups, with their location of manufacture attributed to</w:t>
      </w:r>
      <w:r w:rsidR="00184597">
        <w:t xml:space="preserve"> Hays</w:t>
      </w:r>
      <w:r w:rsidR="002D44DE">
        <w:t>(</w:t>
      </w:r>
      <w:proofErr w:type="spellStart"/>
      <w:r w:rsidR="002D44DE">
        <w:t>Kea</w:t>
      </w:r>
      <w:r w:rsidR="007B6043">
        <w:t>l</w:t>
      </w:r>
      <w:r w:rsidR="002D44DE">
        <w:t>l</w:t>
      </w:r>
      <w:proofErr w:type="spellEnd"/>
      <w:r w:rsidR="002D44DE">
        <w:t xml:space="preserve"> in Tuscherer 2001:40).</w:t>
      </w:r>
      <w:r w:rsidR="00F118BA">
        <w:t xml:space="preserve">Another way of dating Ottoman coffee cups is to equate them to tobacco pipes, if any were found in the same context, as that </w:t>
      </w:r>
      <w:r w:rsidR="00682E6B">
        <w:t>ma</w:t>
      </w:r>
      <w:r w:rsidR="00F118BA">
        <w:t>de it possible to</w:t>
      </w:r>
      <w:r w:rsidR="00682E6B">
        <w:t xml:space="preserve"> dat</w:t>
      </w:r>
      <w:r w:rsidR="00F118BA">
        <w:t>e</w:t>
      </w:r>
      <w:r w:rsidR="00682E6B">
        <w:t xml:space="preserve"> coffee cups found in the </w:t>
      </w:r>
      <w:proofErr w:type="spellStart"/>
      <w:r w:rsidR="00682E6B">
        <w:t>Zabid</w:t>
      </w:r>
      <w:proofErr w:type="spellEnd"/>
      <w:r w:rsidR="00682E6B">
        <w:t xml:space="preserve"> citadel to </w:t>
      </w:r>
      <w:r w:rsidR="00F118BA">
        <w:t xml:space="preserve">approximately </w:t>
      </w:r>
      <w:r w:rsidR="00682E6B">
        <w:t>1580-1640 (</w:t>
      </w:r>
      <w:proofErr w:type="spellStart"/>
      <w:r w:rsidR="00682E6B">
        <w:t>Kea</w:t>
      </w:r>
      <w:r w:rsidR="007B6043">
        <w:t>l</w:t>
      </w:r>
      <w:r w:rsidR="00682E6B">
        <w:t>l</w:t>
      </w:r>
      <w:proofErr w:type="spellEnd"/>
      <w:r w:rsidR="00682E6B">
        <w:t xml:space="preserve"> in Tuscherer 2001:40).</w:t>
      </w:r>
      <w:r w:rsidR="004F2509">
        <w:t xml:space="preserve"> </w:t>
      </w:r>
      <w:r w:rsidR="00353898">
        <w:t>I</w:t>
      </w:r>
      <w:r w:rsidR="004F2509">
        <w:t>dentifying what has been missing from the archaeological record</w:t>
      </w:r>
      <w:r w:rsidR="00353898">
        <w:t xml:space="preserve"> can also help to identify what types of coffee vessels were used at </w:t>
      </w:r>
      <w:proofErr w:type="spellStart"/>
      <w:r w:rsidR="00353898">
        <w:t>Zabid</w:t>
      </w:r>
      <w:proofErr w:type="spellEnd"/>
      <w:r w:rsidR="00353898">
        <w:t>,</w:t>
      </w:r>
      <w:r w:rsidR="004F2509">
        <w:t xml:space="preserve"> such as the lack of small cups </w:t>
      </w:r>
      <w:r w:rsidR="005E055E">
        <w:t>found</w:t>
      </w:r>
      <w:r w:rsidR="004F2509">
        <w:t xml:space="preserve"> at the </w:t>
      </w:r>
      <w:r w:rsidR="00084CEC">
        <w:t xml:space="preserve">site of </w:t>
      </w:r>
      <w:proofErr w:type="spellStart"/>
      <w:r w:rsidR="00084CEC">
        <w:t>Ziyadid</w:t>
      </w:r>
      <w:proofErr w:type="spellEnd"/>
      <w:r w:rsidR="00084CEC">
        <w:t xml:space="preserve"> </w:t>
      </w:r>
      <w:proofErr w:type="spellStart"/>
      <w:r w:rsidR="00084CEC">
        <w:t>Zabid</w:t>
      </w:r>
      <w:proofErr w:type="spellEnd"/>
      <w:r w:rsidR="00084CEC">
        <w:t xml:space="preserve">, where a pottery kiln has been excavated, accompanied by vessels likely to have been used for the serving of water </w:t>
      </w:r>
      <w:r w:rsidR="00D67AB0">
        <w:t xml:space="preserve">due to their size, crudeness and shape </w:t>
      </w:r>
      <w:r w:rsidR="00084CEC">
        <w:t>(</w:t>
      </w:r>
      <w:proofErr w:type="spellStart"/>
      <w:r w:rsidR="00084CEC">
        <w:t>Kea</w:t>
      </w:r>
      <w:r w:rsidR="007B6043">
        <w:t>l</w:t>
      </w:r>
      <w:r w:rsidR="00084CEC">
        <w:t>l</w:t>
      </w:r>
      <w:proofErr w:type="spellEnd"/>
      <w:r w:rsidR="00084CEC">
        <w:t xml:space="preserve"> in Tuscherer 2001:40). </w:t>
      </w:r>
    </w:p>
    <w:p w:rsidR="008016F2" w:rsidRPr="003A51BB" w:rsidRDefault="00966FE3" w:rsidP="008016F2">
      <w:r>
        <w:t xml:space="preserve">Having experienced to what degree archaeology alone can help to identify the consumption of coffee in </w:t>
      </w:r>
      <w:proofErr w:type="spellStart"/>
      <w:r>
        <w:t>Za</w:t>
      </w:r>
      <w:r w:rsidR="007B6043">
        <w:t>b</w:t>
      </w:r>
      <w:r>
        <w:t>id</w:t>
      </w:r>
      <w:proofErr w:type="spellEnd"/>
      <w:r>
        <w:t>, exploring the usefulness of written sources regarding that matter will show to what exten</w:t>
      </w:r>
      <w:r w:rsidR="005E055E">
        <w:t>t</w:t>
      </w:r>
      <w:r>
        <w:t xml:space="preserve"> archaeology contributes to our modern understanding of Ottoman history</w:t>
      </w:r>
      <w:r w:rsidR="00C15C8C">
        <w:t>.</w:t>
      </w:r>
    </w:p>
    <w:p w:rsidR="00DB05D4" w:rsidRPr="005E055E" w:rsidRDefault="005E055E" w:rsidP="002856D8">
      <w:pPr>
        <w:rPr>
          <w:rFonts w:eastAsia="Times New Roman" w:cstheme="minorHAnsi"/>
          <w:u w:val="single"/>
          <w:lang w:eastAsia="nb-NO"/>
        </w:rPr>
      </w:pPr>
      <w:r>
        <w:rPr>
          <w:rFonts w:eastAsia="Times New Roman" w:cstheme="minorHAnsi"/>
          <w:lang w:eastAsia="nb-NO"/>
        </w:rPr>
        <w:t>Upon investigating</w:t>
      </w:r>
      <w:r w:rsidR="00966FE3">
        <w:rPr>
          <w:rFonts w:eastAsia="Times New Roman" w:cstheme="minorHAnsi"/>
          <w:lang w:eastAsia="nb-NO"/>
        </w:rPr>
        <w:t xml:space="preserve"> the disadvantages of written accounts first, it comes to mind that they were</w:t>
      </w:r>
      <w:r w:rsidR="00DB05D4">
        <w:rPr>
          <w:rFonts w:eastAsia="Times New Roman" w:cstheme="minorHAnsi"/>
          <w:lang w:eastAsia="nb-NO"/>
        </w:rPr>
        <w:t xml:space="preserve"> often heavily influenced by human agency, such as propaganda, entertaining exaggeration and overall timely politics (</w:t>
      </w:r>
      <w:r w:rsidR="00B37594">
        <w:rPr>
          <w:rFonts w:eastAsia="Times New Roman" w:cstheme="minorHAnsi"/>
          <w:lang w:eastAsia="nb-NO"/>
        </w:rPr>
        <w:t>Nicholson 2015</w:t>
      </w:r>
      <w:r w:rsidR="00DB05D4">
        <w:rPr>
          <w:rFonts w:eastAsia="Times New Roman" w:cstheme="minorHAnsi"/>
          <w:lang w:eastAsia="nb-NO"/>
        </w:rPr>
        <w:t xml:space="preserve">). </w:t>
      </w:r>
      <w:r w:rsidR="00B37594">
        <w:rPr>
          <w:rFonts w:eastAsia="Times New Roman" w:cstheme="minorHAnsi"/>
          <w:lang w:eastAsia="nb-NO"/>
        </w:rPr>
        <w:t xml:space="preserve">Referring to textual </w:t>
      </w:r>
      <w:r w:rsidR="00472F86">
        <w:rPr>
          <w:rFonts w:eastAsia="Times New Roman" w:cstheme="minorHAnsi"/>
          <w:lang w:eastAsia="nb-NO"/>
        </w:rPr>
        <w:t xml:space="preserve">sources, </w:t>
      </w:r>
      <w:r w:rsidR="00B37594">
        <w:rPr>
          <w:rFonts w:eastAsia="Times New Roman" w:cstheme="minorHAnsi"/>
          <w:lang w:eastAsia="nb-NO"/>
        </w:rPr>
        <w:t xml:space="preserve">the differentiation between </w:t>
      </w:r>
      <w:r w:rsidR="00472F86">
        <w:rPr>
          <w:rFonts w:eastAsia="Times New Roman" w:cstheme="minorHAnsi"/>
          <w:lang w:eastAsia="nb-NO"/>
        </w:rPr>
        <w:t>primary and secondary sources</w:t>
      </w:r>
      <w:r w:rsidR="00B37594">
        <w:rPr>
          <w:rFonts w:eastAsia="Times New Roman" w:cstheme="minorHAnsi"/>
          <w:lang w:eastAsia="nb-NO"/>
        </w:rPr>
        <w:t xml:space="preserve"> </w:t>
      </w:r>
      <w:r w:rsidR="00966FE3">
        <w:rPr>
          <w:rFonts w:eastAsia="Times New Roman" w:cstheme="minorHAnsi"/>
          <w:lang w:eastAsia="nb-NO"/>
        </w:rPr>
        <w:t>is often made</w:t>
      </w:r>
      <w:r w:rsidR="00B37594">
        <w:rPr>
          <w:rFonts w:eastAsia="Times New Roman" w:cstheme="minorHAnsi"/>
          <w:lang w:eastAsia="nb-NO"/>
        </w:rPr>
        <w:t>, with the f</w:t>
      </w:r>
      <w:r>
        <w:rPr>
          <w:rFonts w:eastAsia="Times New Roman" w:cstheme="minorHAnsi"/>
          <w:lang w:eastAsia="nb-NO"/>
        </w:rPr>
        <w:t>ormer</w:t>
      </w:r>
      <w:r w:rsidR="00B37594">
        <w:rPr>
          <w:rFonts w:eastAsia="Times New Roman" w:cstheme="minorHAnsi"/>
          <w:lang w:eastAsia="nb-NO"/>
        </w:rPr>
        <w:t xml:space="preserve"> referring </w:t>
      </w:r>
      <w:r w:rsidR="00472F86">
        <w:rPr>
          <w:rFonts w:eastAsia="Times New Roman" w:cstheme="minorHAnsi"/>
          <w:lang w:eastAsia="nb-NO"/>
        </w:rPr>
        <w:t xml:space="preserve">to textual </w:t>
      </w:r>
      <w:r w:rsidR="00472F86">
        <w:rPr>
          <w:rFonts w:eastAsia="Times New Roman" w:cstheme="minorHAnsi"/>
          <w:lang w:eastAsia="nb-NO"/>
        </w:rPr>
        <w:lastRenderedPageBreak/>
        <w:t>material</w:t>
      </w:r>
      <w:r w:rsidR="00B37594">
        <w:rPr>
          <w:rFonts w:eastAsia="Times New Roman" w:cstheme="minorHAnsi"/>
          <w:lang w:eastAsia="nb-NO"/>
        </w:rPr>
        <w:t xml:space="preserve"> written contemporary to the events </w:t>
      </w:r>
      <w:r w:rsidR="00966FE3">
        <w:rPr>
          <w:rFonts w:eastAsia="Times New Roman" w:cstheme="minorHAnsi"/>
          <w:lang w:eastAsia="nb-NO"/>
        </w:rPr>
        <w:t>covered, whil</w:t>
      </w:r>
      <w:r>
        <w:rPr>
          <w:rFonts w:eastAsia="Times New Roman" w:cstheme="minorHAnsi"/>
          <w:lang w:eastAsia="nb-NO"/>
        </w:rPr>
        <w:t>st</w:t>
      </w:r>
      <w:r w:rsidR="00966FE3">
        <w:rPr>
          <w:rFonts w:eastAsia="Times New Roman" w:cstheme="minorHAnsi"/>
          <w:lang w:eastAsia="nb-NO"/>
        </w:rPr>
        <w:t xml:space="preserve"> the latter would</w:t>
      </w:r>
      <w:r w:rsidR="007B6043">
        <w:rPr>
          <w:rFonts w:eastAsia="Times New Roman" w:cstheme="minorHAnsi"/>
          <w:lang w:eastAsia="nb-NO"/>
        </w:rPr>
        <w:t xml:space="preserve"> document</w:t>
      </w:r>
      <w:r w:rsidR="00966FE3">
        <w:rPr>
          <w:rFonts w:eastAsia="Times New Roman" w:cstheme="minorHAnsi"/>
          <w:lang w:eastAsia="nb-NO"/>
        </w:rPr>
        <w:t xml:space="preserve"> events already passed</w:t>
      </w:r>
      <w:r>
        <w:rPr>
          <w:rFonts w:eastAsia="Times New Roman" w:cstheme="minorHAnsi"/>
          <w:lang w:eastAsia="nb-NO"/>
        </w:rPr>
        <w:t>,</w:t>
      </w:r>
      <w:r w:rsidR="00966FE3">
        <w:rPr>
          <w:rFonts w:eastAsia="Times New Roman" w:cstheme="minorHAnsi"/>
          <w:lang w:eastAsia="nb-NO"/>
        </w:rPr>
        <w:t xml:space="preserve"> th</w:t>
      </w:r>
      <w:r>
        <w:rPr>
          <w:rFonts w:eastAsia="Times New Roman" w:cstheme="minorHAnsi"/>
          <w:lang w:eastAsia="nb-NO"/>
        </w:rPr>
        <w:t>ereby</w:t>
      </w:r>
      <w:r w:rsidR="00966FE3">
        <w:rPr>
          <w:rFonts w:eastAsia="Times New Roman" w:cstheme="minorHAnsi"/>
          <w:lang w:eastAsia="nb-NO"/>
        </w:rPr>
        <w:t xml:space="preserve"> not providing a</w:t>
      </w:r>
      <w:r w:rsidR="00682D68">
        <w:rPr>
          <w:rFonts w:eastAsia="Times New Roman" w:cstheme="minorHAnsi"/>
          <w:lang w:eastAsia="nb-NO"/>
        </w:rPr>
        <w:t xml:space="preserve"> witness’ account (Nicholson 2015).</w:t>
      </w:r>
      <w:r w:rsidR="00472F86">
        <w:rPr>
          <w:rFonts w:eastAsia="Times New Roman" w:cstheme="minorHAnsi"/>
          <w:lang w:eastAsia="nb-NO"/>
        </w:rPr>
        <w:t xml:space="preserve"> </w:t>
      </w:r>
    </w:p>
    <w:p w:rsidR="00D15656" w:rsidRPr="00682D68" w:rsidRDefault="0053747A" w:rsidP="002856D8">
      <w:pPr>
        <w:rPr>
          <w:rFonts w:eastAsia="Times New Roman" w:cstheme="minorHAnsi"/>
          <w:lang w:eastAsia="nb-NO"/>
        </w:rPr>
      </w:pPr>
      <w:r>
        <w:rPr>
          <w:rFonts w:eastAsia="Times New Roman" w:cstheme="minorHAnsi"/>
          <w:lang w:eastAsia="nb-NO"/>
        </w:rPr>
        <w:t>For example</w:t>
      </w:r>
      <w:r w:rsidR="005E055E">
        <w:rPr>
          <w:rFonts w:eastAsia="Times New Roman" w:cstheme="minorHAnsi"/>
          <w:lang w:eastAsia="nb-NO"/>
        </w:rPr>
        <w:t>,</w:t>
      </w:r>
      <w:r>
        <w:rPr>
          <w:rFonts w:eastAsia="Times New Roman" w:cstheme="minorHAnsi"/>
          <w:lang w:eastAsia="nb-NO"/>
        </w:rPr>
        <w:t xml:space="preserve"> the ancient Greeks distinguished history written for pleasure from history written for utility, making for very different writing styles and the employment of literary figures (Nicholson 2015:2).</w:t>
      </w:r>
      <w:r w:rsidR="00682D68">
        <w:rPr>
          <w:rFonts w:eastAsia="Times New Roman" w:cstheme="minorHAnsi"/>
          <w:lang w:eastAsia="nb-NO"/>
        </w:rPr>
        <w:t xml:space="preserve"> </w:t>
      </w:r>
      <w:r>
        <w:rPr>
          <w:rFonts w:eastAsia="Times New Roman" w:cstheme="minorHAnsi"/>
          <w:lang w:eastAsia="nb-NO"/>
        </w:rPr>
        <w:t>However, as Ottoman history covers such an extensive amount of time, its’ written accounts also possibly change according to fashion and politics</w:t>
      </w:r>
      <w:r w:rsidR="006362BB">
        <w:rPr>
          <w:rFonts w:eastAsia="Times New Roman" w:cstheme="minorHAnsi"/>
          <w:lang w:eastAsia="nb-NO"/>
        </w:rPr>
        <w:t xml:space="preserve"> </w:t>
      </w:r>
      <w:r w:rsidR="008C1D45">
        <w:rPr>
          <w:rFonts w:eastAsia="Times New Roman" w:cstheme="minorHAnsi"/>
          <w:lang w:eastAsia="nb-NO"/>
        </w:rPr>
        <w:fldChar w:fldCharType="begin" w:fldLock="1"/>
      </w:r>
      <w:r w:rsidR="008C1D45">
        <w:rPr>
          <w:rFonts w:eastAsia="Times New Roman" w:cstheme="minorHAnsi"/>
          <w:lang w:eastAsia="nb-NO"/>
        </w:rPr>
        <w:instrText>ADDIN CSL_CITATION {"citationItems":[{"id":"ITEM-1","itemData":{"URL":"http://www.lib.uts.edu.au/guides/primary-sources/primary-sources/strengthsweakness","accessed":{"date-parts":[["2018","12","31"]]},"author":[{"dropping-particle":"","family":"UTSlibrary","given":"","non-dropping-particle":"","parse-names":false,"suffix":""}],"id":"ITEM-1","issued":{"date-parts":[["2013"]]},"title":"Primary Sources: Strengths/Weakness | Guides | UTS Library","type":"webpage"},"uris":["http://www.mendeley.com/documents/?uuid=43de56c7-d38e-362d-a610-fd7d1f97a05c"]}],"mendeley":{"formattedCitation":"(UTSlibrary, 2013)","plainTextFormattedCitation":"(UTSlibrary, 2013)","previouslyFormattedCitation":"(UTSlibrary, 2013)"},"properties":{"noteIndex":0},"schema":"https://github.com/citation-style-language/schema/raw/master/csl-citation.json"}</w:instrText>
      </w:r>
      <w:r w:rsidR="008C1D45">
        <w:rPr>
          <w:rFonts w:eastAsia="Times New Roman" w:cstheme="minorHAnsi"/>
          <w:lang w:eastAsia="nb-NO"/>
        </w:rPr>
        <w:fldChar w:fldCharType="separate"/>
      </w:r>
      <w:r w:rsidR="008C1D45" w:rsidRPr="008C1D45">
        <w:rPr>
          <w:rFonts w:eastAsia="Times New Roman" w:cstheme="minorHAnsi"/>
          <w:noProof/>
          <w:lang w:eastAsia="nb-NO"/>
        </w:rPr>
        <w:t>(UTSlibrary, 2013)</w:t>
      </w:r>
      <w:r w:rsidR="008C1D45">
        <w:rPr>
          <w:rFonts w:eastAsia="Times New Roman" w:cstheme="minorHAnsi"/>
          <w:lang w:eastAsia="nb-NO"/>
        </w:rPr>
        <w:fldChar w:fldCharType="end"/>
      </w:r>
      <w:r>
        <w:rPr>
          <w:rFonts w:eastAsia="Times New Roman" w:cstheme="minorHAnsi"/>
          <w:lang w:eastAsia="nb-NO"/>
        </w:rPr>
        <w:t>. More recent accounts are described as being more reliable, applying to modern scientifically orientated scholarship (Nicholson 2015:2).</w:t>
      </w:r>
      <w:r w:rsidR="00682D68">
        <w:rPr>
          <w:rFonts w:eastAsia="Times New Roman" w:cstheme="minorHAnsi"/>
          <w:lang w:eastAsia="nb-NO"/>
        </w:rPr>
        <w:t xml:space="preserve"> </w:t>
      </w:r>
      <w:r w:rsidR="001A203E">
        <w:rPr>
          <w:rFonts w:eastAsia="Times New Roman" w:cstheme="minorHAnsi"/>
          <w:lang w:eastAsia="nb-NO"/>
        </w:rPr>
        <w:t>L</w:t>
      </w:r>
      <w:r w:rsidR="00682D68">
        <w:rPr>
          <w:rFonts w:eastAsia="Times New Roman" w:cstheme="minorHAnsi"/>
          <w:lang w:eastAsia="nb-NO"/>
        </w:rPr>
        <w:t xml:space="preserve">iterature from the Ottoman period would </w:t>
      </w:r>
      <w:r w:rsidR="001A203E">
        <w:rPr>
          <w:rFonts w:eastAsia="Times New Roman" w:cstheme="minorHAnsi"/>
          <w:lang w:eastAsia="nb-NO"/>
        </w:rPr>
        <w:t xml:space="preserve">therefore </w:t>
      </w:r>
      <w:r w:rsidR="00682D68">
        <w:rPr>
          <w:rFonts w:eastAsia="Times New Roman" w:cstheme="minorHAnsi"/>
          <w:lang w:eastAsia="nb-NO"/>
        </w:rPr>
        <w:t>have its own biases and specificities compared to ancient Greek literature, which also l</w:t>
      </w:r>
      <w:r w:rsidR="001A203E">
        <w:rPr>
          <w:rFonts w:eastAsia="Times New Roman" w:cstheme="minorHAnsi"/>
          <w:lang w:eastAsia="nb-NO"/>
        </w:rPr>
        <w:t>ie</w:t>
      </w:r>
      <w:r w:rsidR="00682D68">
        <w:rPr>
          <w:rFonts w:eastAsia="Times New Roman" w:cstheme="minorHAnsi"/>
          <w:lang w:eastAsia="nb-NO"/>
        </w:rPr>
        <w:t>s further in the past</w:t>
      </w:r>
      <w:r w:rsidR="008C1D45">
        <w:rPr>
          <w:rFonts w:eastAsia="Times New Roman" w:cstheme="minorHAnsi"/>
          <w:lang w:eastAsia="nb-NO"/>
        </w:rPr>
        <w:t xml:space="preserve"> </w:t>
      </w:r>
      <w:r w:rsidR="008C1D45">
        <w:rPr>
          <w:rFonts w:eastAsia="Times New Roman" w:cstheme="minorHAnsi"/>
          <w:lang w:eastAsia="nb-NO"/>
        </w:rPr>
        <w:fldChar w:fldCharType="begin" w:fldLock="1"/>
      </w:r>
      <w:r w:rsidR="0006662F">
        <w:rPr>
          <w:rFonts w:eastAsia="Times New Roman" w:cstheme="minorHAnsi"/>
          <w:lang w:eastAsia="nb-NO"/>
        </w:rPr>
        <w:instrText>ADDIN CSL_CITATION {"citationItems":[{"id":"ITEM-1","itemData":{"URL":"http://www.lib.uts.edu.au/guides/primary-sources/primary-sources/strengthsweakness","accessed":{"date-parts":[["2018","12","31"]]},"author":[{"dropping-particle":"","family":"UTSlibrary","given":"","non-dropping-particle":"","parse-names":false,"suffix":""}],"id":"ITEM-1","issued":{"date-parts":[["2013"]]},"title":"Primary Sources: Strengths/Weakness | Guides | UTS Library","type":"webpage"},"uris":["http://www.mendeley.com/documents/?uuid=43de56c7-d38e-362d-a610-fd7d1f97a05c"]}],"mendeley":{"formattedCitation":"(UTSlibrary, 2013)","plainTextFormattedCitation":"(UTSlibrary, 2013)","previouslyFormattedCitation":"(UTSlibrary, 2013)"},"properties":{"noteIndex":0},"schema":"https://github.com/citation-style-language/schema/raw/master/csl-citation.json"}</w:instrText>
      </w:r>
      <w:r w:rsidR="008C1D45">
        <w:rPr>
          <w:rFonts w:eastAsia="Times New Roman" w:cstheme="minorHAnsi"/>
          <w:lang w:eastAsia="nb-NO"/>
        </w:rPr>
        <w:fldChar w:fldCharType="separate"/>
      </w:r>
      <w:r w:rsidR="008C1D45" w:rsidRPr="008C1D45">
        <w:rPr>
          <w:rFonts w:eastAsia="Times New Roman" w:cstheme="minorHAnsi"/>
          <w:noProof/>
          <w:lang w:eastAsia="nb-NO"/>
        </w:rPr>
        <w:t>(UTSlibrary, 2013)</w:t>
      </w:r>
      <w:r w:rsidR="008C1D45">
        <w:rPr>
          <w:rFonts w:eastAsia="Times New Roman" w:cstheme="minorHAnsi"/>
          <w:lang w:eastAsia="nb-NO"/>
        </w:rPr>
        <w:fldChar w:fldCharType="end"/>
      </w:r>
      <w:r w:rsidR="00682D68">
        <w:rPr>
          <w:rFonts w:eastAsia="Times New Roman" w:cstheme="minorHAnsi"/>
          <w:lang w:eastAsia="nb-NO"/>
        </w:rPr>
        <w:t>.</w:t>
      </w:r>
      <w:r>
        <w:rPr>
          <w:rFonts w:eastAsia="Times New Roman" w:cstheme="minorHAnsi"/>
          <w:lang w:eastAsia="nb-NO"/>
        </w:rPr>
        <w:t xml:space="preserve"> As for Ottoman literature, the distinction </w:t>
      </w:r>
      <w:r w:rsidR="001729F8">
        <w:rPr>
          <w:rFonts w:eastAsia="Times New Roman" w:cstheme="minorHAnsi"/>
          <w:lang w:eastAsia="nb-NO"/>
        </w:rPr>
        <w:t>was made between courtly and popular</w:t>
      </w:r>
      <w:r w:rsidR="00682D68">
        <w:rPr>
          <w:rFonts w:eastAsia="Times New Roman" w:cstheme="minorHAnsi"/>
          <w:lang w:eastAsia="nb-NO"/>
        </w:rPr>
        <w:t>, generally developed through a heavy influence of religion</w:t>
      </w:r>
      <w:r w:rsidR="008C1D45">
        <w:rPr>
          <w:rFonts w:eastAsia="Times New Roman" w:cstheme="minorHAnsi"/>
          <w:lang w:eastAsia="nb-NO"/>
        </w:rPr>
        <w:t xml:space="preserve"> </w:t>
      </w:r>
      <w:r w:rsidR="008C1D45">
        <w:rPr>
          <w:rFonts w:eastAsia="Times New Roman" w:cstheme="minorHAnsi"/>
          <w:lang w:eastAsia="nb-NO"/>
        </w:rPr>
        <w:fldChar w:fldCharType="begin" w:fldLock="1"/>
      </w:r>
      <w:r w:rsidR="008C1D45">
        <w:rPr>
          <w:rFonts w:eastAsia="Times New Roman" w:cstheme="minorHAnsi"/>
          <w:lang w:eastAsia="nb-NO"/>
        </w:rPr>
        <w:instrText>ADDIN CSL_CITATION {"citationItems":[{"id":"ITEM-1","itemData":{"DOI":"10.2307/1596070","author":[{"dropping-particle":"","family":"Kafadar","given":"Cemal","non-dropping-particle":"","parse-names":false,"suffix":""}],"container-title":"Studia Islamica","id":"ITEM-1","issue":"69","issued":{"date-parts":[["1989"]]},"page":"121","publisher":"Brill","title":"Self and Others: The Diary of a Dervish in Seventeenth Century Istanbul and First-Person Narratives in Ottoman Literature","type":"article-journal"},"uris":["http://www.mendeley.com/documents/?uuid=709a267b-4da0-30f6-9511-cddfe4d03c49"]}],"mendeley":{"formattedCitation":"(Kafadar, 1989)","plainTextFormattedCitation":"(Kafadar, 1989)","previouslyFormattedCitation":"(Kafadar, 1989)"},"properties":{"noteIndex":0},"schema":"https://github.com/citation-style-language/schema/raw/master/csl-citation.json"}</w:instrText>
      </w:r>
      <w:r w:rsidR="008C1D45">
        <w:rPr>
          <w:rFonts w:eastAsia="Times New Roman" w:cstheme="minorHAnsi"/>
          <w:lang w:eastAsia="nb-NO"/>
        </w:rPr>
        <w:fldChar w:fldCharType="separate"/>
      </w:r>
      <w:r w:rsidR="008C1D45" w:rsidRPr="008C1D45">
        <w:rPr>
          <w:rFonts w:eastAsia="Times New Roman" w:cstheme="minorHAnsi"/>
          <w:noProof/>
          <w:lang w:eastAsia="nb-NO"/>
        </w:rPr>
        <w:t>(Kafadar, 1989)</w:t>
      </w:r>
      <w:r w:rsidR="008C1D45">
        <w:rPr>
          <w:rFonts w:eastAsia="Times New Roman" w:cstheme="minorHAnsi"/>
          <w:lang w:eastAsia="nb-NO"/>
        </w:rPr>
        <w:fldChar w:fldCharType="end"/>
      </w:r>
      <w:r w:rsidR="008C1D45">
        <w:rPr>
          <w:rFonts w:eastAsia="Times New Roman" w:cstheme="minorHAnsi"/>
          <w:lang w:eastAsia="nb-NO"/>
        </w:rPr>
        <w:t>.</w:t>
      </w:r>
    </w:p>
    <w:p w:rsidR="002C5638" w:rsidRPr="0017354A" w:rsidRDefault="00574985" w:rsidP="00981EB0">
      <w:r>
        <w:t>Moreover</w:t>
      </w:r>
      <w:r w:rsidR="00682D68">
        <w:t>, one</w:t>
      </w:r>
      <w:r w:rsidR="00B80AF7">
        <w:t xml:space="preserve"> of the issues regarding written sources is that when it comes to ceramic ware,</w:t>
      </w:r>
      <w:r w:rsidR="00702FD7">
        <w:t xml:space="preserve"> </w:t>
      </w:r>
      <w:r w:rsidR="00B80AF7">
        <w:t>the vessels recovered by the Canadian Archaeological Mission of the Royal Ontario Museum</w:t>
      </w:r>
      <w:r w:rsidR="00702FD7">
        <w:t xml:space="preserve">, other than occasional references by </w:t>
      </w:r>
      <w:proofErr w:type="spellStart"/>
      <w:r w:rsidR="00702FD7">
        <w:t>Chtittik</w:t>
      </w:r>
      <w:proofErr w:type="spellEnd"/>
      <w:r w:rsidR="00702FD7">
        <w:t>, were unknown to the outside world before 1982</w:t>
      </w:r>
      <w:r w:rsidR="00682D68">
        <w:t>, thus a lack of written material led to archaeological excavations having to make up for the lost information</w:t>
      </w:r>
      <w:r w:rsidR="00702FD7">
        <w:t xml:space="preserve"> (</w:t>
      </w:r>
      <w:proofErr w:type="spellStart"/>
      <w:r w:rsidR="00702FD7">
        <w:t>Kea</w:t>
      </w:r>
      <w:r w:rsidR="007B6043">
        <w:t>l</w:t>
      </w:r>
      <w:r w:rsidR="00702FD7">
        <w:t>l</w:t>
      </w:r>
      <w:proofErr w:type="spellEnd"/>
      <w:r w:rsidR="00702FD7">
        <w:t xml:space="preserve"> in </w:t>
      </w:r>
      <w:proofErr w:type="spellStart"/>
      <w:r w:rsidR="00702FD7">
        <w:t>Tuschara</w:t>
      </w:r>
      <w:proofErr w:type="spellEnd"/>
      <w:r w:rsidR="00702FD7">
        <w:t xml:space="preserve"> 2001:37). </w:t>
      </w:r>
    </w:p>
    <w:p w:rsidR="00F56AFF" w:rsidRPr="001A203E" w:rsidRDefault="006D4C8F" w:rsidP="00F56AFF">
      <w:r>
        <w:rPr>
          <w:rFonts w:eastAsia="Times New Roman" w:cstheme="minorHAnsi"/>
          <w:lang w:eastAsia="nb-NO"/>
        </w:rPr>
        <w:t>Generally, Ottoman history only ceased recently</w:t>
      </w:r>
      <w:r w:rsidR="001A203E">
        <w:rPr>
          <w:rFonts w:eastAsia="Times New Roman" w:cstheme="minorHAnsi"/>
          <w:lang w:eastAsia="nb-NO"/>
        </w:rPr>
        <w:t xml:space="preserve">, </w:t>
      </w:r>
      <w:r>
        <w:rPr>
          <w:rFonts w:eastAsia="Times New Roman" w:cstheme="minorHAnsi"/>
          <w:lang w:eastAsia="nb-NO"/>
        </w:rPr>
        <w:t>hence many written accounts survive</w:t>
      </w:r>
      <w:r w:rsidR="0016447C">
        <w:rPr>
          <w:rFonts w:eastAsia="Times New Roman" w:cstheme="minorHAnsi"/>
          <w:lang w:eastAsia="nb-NO"/>
        </w:rPr>
        <w:t>, making them possibly more reliable if one understands their purpose and weaknesses</w:t>
      </w:r>
      <w:r w:rsidR="001439CE">
        <w:rPr>
          <w:rFonts w:eastAsia="Times New Roman" w:cstheme="minorHAnsi"/>
          <w:lang w:eastAsia="nb-NO"/>
        </w:rPr>
        <w:t xml:space="preserve"> </w:t>
      </w:r>
      <w:r w:rsidR="001439CE">
        <w:t>(</w:t>
      </w:r>
      <w:proofErr w:type="spellStart"/>
      <w:r w:rsidR="001439CE" w:rsidRPr="00B969B8">
        <w:rPr>
          <w:rFonts w:eastAsia="Times New Roman" w:cstheme="minorHAnsi"/>
          <w:lang w:val="nb-NO" w:eastAsia="nb-NO"/>
        </w:rPr>
        <w:fldChar w:fldCharType="begin"/>
      </w:r>
      <w:r w:rsidR="001439CE" w:rsidRPr="00B969B8">
        <w:rPr>
          <w:rFonts w:eastAsia="Times New Roman" w:cstheme="minorHAnsi"/>
          <w:lang w:eastAsia="nb-NO"/>
        </w:rPr>
        <w:instrText xml:space="preserve"> HYPERLINK "https://www.google.no/search?tbo=p&amp;tbm=bks&amp;q=inauthor:%22Suraiya+Faroqhi%22" </w:instrText>
      </w:r>
      <w:r w:rsidR="001439CE" w:rsidRPr="00B969B8">
        <w:rPr>
          <w:rFonts w:eastAsia="Times New Roman" w:cstheme="minorHAnsi"/>
          <w:lang w:val="nb-NO" w:eastAsia="nb-NO"/>
        </w:rPr>
        <w:fldChar w:fldCharType="separate"/>
      </w:r>
      <w:r w:rsidR="001439CE" w:rsidRPr="00B969B8">
        <w:rPr>
          <w:rFonts w:eastAsia="Times New Roman" w:cstheme="minorHAnsi"/>
          <w:lang w:eastAsia="nb-NO"/>
        </w:rPr>
        <w:t>Faroqhi</w:t>
      </w:r>
      <w:proofErr w:type="spellEnd"/>
      <w:r w:rsidR="001439CE" w:rsidRPr="00B969B8">
        <w:rPr>
          <w:rFonts w:eastAsia="Times New Roman" w:cstheme="minorHAnsi"/>
          <w:lang w:val="nb-NO" w:eastAsia="nb-NO"/>
        </w:rPr>
        <w:fldChar w:fldCharType="end"/>
      </w:r>
      <w:r w:rsidR="001439CE" w:rsidRPr="00B969B8">
        <w:rPr>
          <w:rFonts w:eastAsia="Times New Roman" w:cstheme="minorHAnsi"/>
          <w:lang w:eastAsia="nb-NO"/>
        </w:rPr>
        <w:t xml:space="preserve">, </w:t>
      </w:r>
      <w:hyperlink r:id="rId10" w:history="1">
        <w:r w:rsidR="001439CE" w:rsidRPr="00B969B8">
          <w:rPr>
            <w:rFonts w:eastAsia="Times New Roman" w:cstheme="minorHAnsi"/>
            <w:lang w:eastAsia="nb-NO"/>
          </w:rPr>
          <w:t>McGowan</w:t>
        </w:r>
      </w:hyperlink>
      <w:r w:rsidR="001439CE" w:rsidRPr="00B969B8">
        <w:rPr>
          <w:rFonts w:eastAsia="Times New Roman" w:cstheme="minorHAnsi"/>
          <w:lang w:eastAsia="nb-NO"/>
        </w:rPr>
        <w:t xml:space="preserve"> and </w:t>
      </w:r>
      <w:hyperlink r:id="rId11" w:history="1">
        <w:r w:rsidR="001439CE" w:rsidRPr="00B969B8">
          <w:rPr>
            <w:rFonts w:eastAsia="Times New Roman" w:cstheme="minorHAnsi"/>
            <w:lang w:eastAsia="nb-NO"/>
          </w:rPr>
          <w:t xml:space="preserve"> Pamuk</w:t>
        </w:r>
      </w:hyperlink>
      <w:r w:rsidR="001439CE" w:rsidRPr="00B969B8">
        <w:rPr>
          <w:rFonts w:eastAsia="Times New Roman" w:cstheme="minorHAnsi"/>
          <w:lang w:eastAsia="nb-NO"/>
        </w:rPr>
        <w:t xml:space="preserve"> 1994: xviii-xxiv</w:t>
      </w:r>
      <w:r w:rsidR="001439CE">
        <w:rPr>
          <w:rFonts w:eastAsia="Times New Roman" w:cstheme="minorHAnsi"/>
          <w:lang w:eastAsia="nb-NO"/>
        </w:rPr>
        <w:t>)</w:t>
      </w:r>
      <w:r w:rsidR="001439CE">
        <w:rPr>
          <w:rFonts w:eastAsia="Times New Roman" w:cstheme="minorHAnsi"/>
          <w:lang w:eastAsia="nb-NO"/>
        </w:rPr>
        <w:t>.</w:t>
      </w:r>
    </w:p>
    <w:p w:rsidR="00F56AFF" w:rsidRDefault="001439CE" w:rsidP="00F56AFF">
      <w:pPr>
        <w:rPr>
          <w:rFonts w:eastAsia="Times New Roman" w:cstheme="minorHAnsi"/>
          <w:lang w:eastAsia="nb-NO"/>
        </w:rPr>
      </w:pPr>
      <w:r>
        <w:rPr>
          <w:rFonts w:eastAsia="Times New Roman" w:cstheme="minorHAnsi"/>
          <w:lang w:eastAsia="nb-NO"/>
        </w:rPr>
        <w:t xml:space="preserve">Further advantages </w:t>
      </w:r>
      <w:r w:rsidR="00F56AFF">
        <w:rPr>
          <w:rFonts w:eastAsia="Times New Roman" w:cstheme="minorHAnsi"/>
          <w:lang w:eastAsia="nb-NO"/>
        </w:rPr>
        <w:t>include</w:t>
      </w:r>
      <w:r w:rsidR="00C654C6">
        <w:rPr>
          <w:rFonts w:eastAsia="Times New Roman" w:cstheme="minorHAnsi"/>
          <w:lang w:eastAsia="nb-NO"/>
        </w:rPr>
        <w:t xml:space="preserve"> that it is</w:t>
      </w:r>
      <w:r w:rsidR="00F56AFF">
        <w:rPr>
          <w:rFonts w:eastAsia="Times New Roman" w:cstheme="minorHAnsi"/>
          <w:lang w:eastAsia="nb-NO"/>
        </w:rPr>
        <w:t xml:space="preserve"> often easi</w:t>
      </w:r>
      <w:r w:rsidR="00C654C6">
        <w:rPr>
          <w:rFonts w:eastAsia="Times New Roman" w:cstheme="minorHAnsi"/>
          <w:lang w:eastAsia="nb-NO"/>
        </w:rPr>
        <w:t>er to identify</w:t>
      </w:r>
      <w:r w:rsidR="00F56AFF">
        <w:rPr>
          <w:rFonts w:eastAsia="Times New Roman" w:cstheme="minorHAnsi"/>
          <w:lang w:eastAsia="nb-NO"/>
        </w:rPr>
        <w:t xml:space="preserve"> the purpose of </w:t>
      </w:r>
      <w:r>
        <w:rPr>
          <w:rFonts w:eastAsia="Times New Roman" w:cstheme="minorHAnsi"/>
          <w:lang w:eastAsia="nb-NO"/>
        </w:rPr>
        <w:t>a</w:t>
      </w:r>
      <w:r w:rsidR="00F56AFF">
        <w:rPr>
          <w:rFonts w:eastAsia="Times New Roman" w:cstheme="minorHAnsi"/>
          <w:lang w:eastAsia="nb-NO"/>
        </w:rPr>
        <w:t xml:space="preserve"> document, giv</w:t>
      </w:r>
      <w:r w:rsidR="00C654C6">
        <w:rPr>
          <w:rFonts w:eastAsia="Times New Roman" w:cstheme="minorHAnsi"/>
          <w:lang w:eastAsia="nb-NO"/>
        </w:rPr>
        <w:t xml:space="preserve">en the authors intentions are clear, as well as </w:t>
      </w:r>
      <w:r>
        <w:rPr>
          <w:rFonts w:eastAsia="Times New Roman" w:cstheme="minorHAnsi"/>
          <w:lang w:eastAsia="nb-NO"/>
        </w:rPr>
        <w:t>receivin</w:t>
      </w:r>
      <w:r w:rsidR="00C654C6">
        <w:rPr>
          <w:rFonts w:eastAsia="Times New Roman" w:cstheme="minorHAnsi"/>
          <w:lang w:eastAsia="nb-NO"/>
        </w:rPr>
        <w:t xml:space="preserve">g </w:t>
      </w:r>
      <w:r w:rsidR="00F56AFF">
        <w:rPr>
          <w:rFonts w:eastAsia="Times New Roman" w:cstheme="minorHAnsi"/>
          <w:lang w:eastAsia="nb-NO"/>
        </w:rPr>
        <w:t xml:space="preserve">a possible insight into the </w:t>
      </w:r>
      <w:r>
        <w:rPr>
          <w:rFonts w:eastAsia="Times New Roman" w:cstheme="minorHAnsi"/>
          <w:lang w:eastAsia="nb-NO"/>
        </w:rPr>
        <w:t>authors life</w:t>
      </w:r>
      <w:r w:rsidR="00F56AFF">
        <w:rPr>
          <w:rFonts w:eastAsia="Times New Roman" w:cstheme="minorHAnsi"/>
          <w:lang w:eastAsia="nb-NO"/>
        </w:rPr>
        <w:t>, as well as providing sociological information about</w:t>
      </w:r>
      <w:r w:rsidR="00C654C6">
        <w:rPr>
          <w:rFonts w:eastAsia="Times New Roman" w:cstheme="minorHAnsi"/>
          <w:lang w:eastAsia="nb-NO"/>
        </w:rPr>
        <w:t xml:space="preserve"> a certain culture and time</w:t>
      </w:r>
      <w:r w:rsidR="00F56AFF">
        <w:rPr>
          <w:rFonts w:eastAsia="Times New Roman" w:cstheme="minorHAnsi"/>
          <w:lang w:eastAsia="nb-NO"/>
        </w:rPr>
        <w:t xml:space="preserve">, </w:t>
      </w:r>
      <w:r w:rsidR="006362BB">
        <w:rPr>
          <w:rFonts w:eastAsia="Times New Roman" w:cstheme="minorHAnsi"/>
          <w:lang w:eastAsia="nb-NO"/>
        </w:rPr>
        <w:t xml:space="preserve">possibly focussing on </w:t>
      </w:r>
      <w:r w:rsidR="00F56AFF">
        <w:rPr>
          <w:rFonts w:eastAsia="Times New Roman" w:cstheme="minorHAnsi"/>
          <w:lang w:eastAsia="nb-NO"/>
        </w:rPr>
        <w:t>militarily, political</w:t>
      </w:r>
      <w:r>
        <w:rPr>
          <w:rFonts w:eastAsia="Times New Roman" w:cstheme="minorHAnsi"/>
          <w:lang w:eastAsia="nb-NO"/>
        </w:rPr>
        <w:t xml:space="preserve"> </w:t>
      </w:r>
      <w:r w:rsidR="00F56AFF">
        <w:rPr>
          <w:rFonts w:eastAsia="Times New Roman" w:cstheme="minorHAnsi"/>
          <w:lang w:eastAsia="nb-NO"/>
        </w:rPr>
        <w:t xml:space="preserve">or domestic </w:t>
      </w:r>
      <w:r w:rsidR="006362BB">
        <w:rPr>
          <w:rFonts w:eastAsia="Times New Roman" w:cstheme="minorHAnsi"/>
          <w:lang w:eastAsia="nb-NO"/>
        </w:rPr>
        <w:t xml:space="preserve">issues </w:t>
      </w:r>
      <w:r w:rsidR="00F56AFF">
        <w:rPr>
          <w:rFonts w:eastAsia="Times New Roman" w:cstheme="minorHAnsi"/>
          <w:lang w:eastAsia="nb-NO"/>
        </w:rPr>
        <w:t>(</w:t>
      </w:r>
      <w:r w:rsidR="006362BB">
        <w:rPr>
          <w:rFonts w:eastAsia="Times New Roman" w:cstheme="minorHAnsi"/>
          <w:lang w:eastAsia="nb-NO"/>
        </w:rPr>
        <w:t xml:space="preserve">Nicholson 2015 and </w:t>
      </w:r>
      <w:proofErr w:type="spellStart"/>
      <w:r w:rsidR="006362BB">
        <w:rPr>
          <w:rFonts w:eastAsia="Times New Roman" w:cstheme="minorHAnsi"/>
          <w:lang w:eastAsia="nb-NO"/>
        </w:rPr>
        <w:t>UTSlibrary</w:t>
      </w:r>
      <w:proofErr w:type="spellEnd"/>
      <w:r w:rsidR="006362BB">
        <w:rPr>
          <w:rFonts w:eastAsia="Times New Roman" w:cstheme="minorHAnsi"/>
          <w:lang w:eastAsia="nb-NO"/>
        </w:rPr>
        <w:t xml:space="preserve"> 201</w:t>
      </w:r>
      <w:r w:rsidR="007B6043">
        <w:rPr>
          <w:rFonts w:eastAsia="Times New Roman" w:cstheme="minorHAnsi"/>
          <w:lang w:eastAsia="nb-NO"/>
        </w:rPr>
        <w:t>3</w:t>
      </w:r>
      <w:r w:rsidR="006362BB">
        <w:rPr>
          <w:rFonts w:eastAsia="Times New Roman" w:cstheme="minorHAnsi"/>
          <w:lang w:eastAsia="nb-NO"/>
        </w:rPr>
        <w:t xml:space="preserve">). </w:t>
      </w:r>
      <w:r>
        <w:rPr>
          <w:rFonts w:eastAsia="Times New Roman" w:cstheme="minorHAnsi"/>
          <w:lang w:eastAsia="nb-NO"/>
        </w:rPr>
        <w:t>L</w:t>
      </w:r>
      <w:r w:rsidR="00F56AFF">
        <w:rPr>
          <w:rFonts w:eastAsia="Times New Roman" w:cstheme="minorHAnsi"/>
          <w:lang w:eastAsia="nb-NO"/>
        </w:rPr>
        <w:t xml:space="preserve">iterary sources </w:t>
      </w:r>
      <w:r w:rsidR="009B4027">
        <w:rPr>
          <w:rFonts w:eastAsia="Times New Roman" w:cstheme="minorHAnsi"/>
          <w:lang w:eastAsia="nb-NO"/>
        </w:rPr>
        <w:t xml:space="preserve">by </w:t>
      </w:r>
      <w:r w:rsidR="00F56AFF">
        <w:rPr>
          <w:rFonts w:eastAsia="Times New Roman" w:cstheme="minorHAnsi"/>
          <w:lang w:eastAsia="nb-NO"/>
        </w:rPr>
        <w:t>the conveyance of personal opinions</w:t>
      </w:r>
      <w:r w:rsidR="009B4027">
        <w:rPr>
          <w:rFonts w:eastAsia="Times New Roman" w:cstheme="minorHAnsi"/>
          <w:lang w:eastAsia="nb-NO"/>
        </w:rPr>
        <w:t xml:space="preserve"> give a detailed account of human agency, social hierarchies and different viewpoints</w:t>
      </w:r>
      <w:r w:rsidR="00F56AFF">
        <w:rPr>
          <w:rFonts w:eastAsia="Times New Roman" w:cstheme="minorHAnsi"/>
          <w:lang w:eastAsia="nb-NO"/>
        </w:rPr>
        <w:t xml:space="preserve"> </w:t>
      </w:r>
      <w:r>
        <w:rPr>
          <w:rFonts w:eastAsia="Times New Roman" w:cstheme="minorHAnsi"/>
          <w:lang w:eastAsia="nb-NO"/>
        </w:rPr>
        <w:t xml:space="preserve">within the Ottoman Empire </w:t>
      </w:r>
      <w:r w:rsidR="00F56AFF">
        <w:rPr>
          <w:rFonts w:eastAsia="Times New Roman" w:cstheme="minorHAnsi"/>
          <w:lang w:eastAsia="nb-NO"/>
        </w:rPr>
        <w:t>(</w:t>
      </w:r>
      <w:proofErr w:type="spellStart"/>
      <w:r w:rsidR="009B4027">
        <w:rPr>
          <w:rFonts w:eastAsia="Times New Roman" w:cstheme="minorHAnsi"/>
          <w:lang w:eastAsia="nb-NO"/>
        </w:rPr>
        <w:t>UTSlibrary</w:t>
      </w:r>
      <w:proofErr w:type="spellEnd"/>
      <w:r w:rsidR="009B4027">
        <w:rPr>
          <w:rFonts w:eastAsia="Times New Roman" w:cstheme="minorHAnsi"/>
          <w:lang w:eastAsia="nb-NO"/>
        </w:rPr>
        <w:t xml:space="preserve"> 201</w:t>
      </w:r>
      <w:r w:rsidR="007B6043">
        <w:rPr>
          <w:rFonts w:eastAsia="Times New Roman" w:cstheme="minorHAnsi"/>
          <w:lang w:eastAsia="nb-NO"/>
        </w:rPr>
        <w:t>3</w:t>
      </w:r>
      <w:r w:rsidR="00F56AFF">
        <w:rPr>
          <w:rFonts w:eastAsia="Times New Roman" w:cstheme="minorHAnsi"/>
          <w:lang w:eastAsia="nb-NO"/>
        </w:rPr>
        <w:t xml:space="preserve">). </w:t>
      </w:r>
    </w:p>
    <w:p w:rsidR="008016F2" w:rsidRPr="00D16B35" w:rsidRDefault="00805704" w:rsidP="00D16B35">
      <w:r>
        <w:t xml:space="preserve">Picking out some of the most useful textual sources regarding </w:t>
      </w:r>
      <w:proofErr w:type="spellStart"/>
      <w:r w:rsidR="00D16B35">
        <w:t>Zabid</w:t>
      </w:r>
      <w:proofErr w:type="spellEnd"/>
      <w:r w:rsidR="00D16B35">
        <w:t>, coffee consumption and coffee cups can show how much information alone can be derived without the use of archaeology.</w:t>
      </w:r>
    </w:p>
    <w:p w:rsidR="008016F2" w:rsidRPr="00E2387D" w:rsidRDefault="002C5638" w:rsidP="002C5638">
      <w:pPr>
        <w:tabs>
          <w:tab w:val="left" w:pos="7128"/>
        </w:tabs>
        <w:rPr>
          <w:u w:val="single"/>
        </w:rPr>
      </w:pPr>
      <w:r w:rsidRPr="00E2387D">
        <w:lastRenderedPageBreak/>
        <w:t xml:space="preserve">One author providing </w:t>
      </w:r>
      <w:r w:rsidR="00D16B35">
        <w:t xml:space="preserve">primary </w:t>
      </w:r>
      <w:r w:rsidRPr="00E2387D">
        <w:t>sources</w:t>
      </w:r>
      <w:r w:rsidR="00D16B35">
        <w:t xml:space="preserve"> for </w:t>
      </w:r>
      <w:proofErr w:type="spellStart"/>
      <w:r w:rsidR="00D16B35">
        <w:t>Zabid</w:t>
      </w:r>
      <w:proofErr w:type="spellEnd"/>
      <w:r w:rsidRPr="00E2387D">
        <w:t xml:space="preserve"> was </w:t>
      </w:r>
      <w:proofErr w:type="spellStart"/>
      <w:r w:rsidR="003370E2" w:rsidRPr="00E2387D">
        <w:t>Hattox</w:t>
      </w:r>
      <w:proofErr w:type="spellEnd"/>
      <w:r w:rsidR="00071228">
        <w:t>,</w:t>
      </w:r>
      <w:r w:rsidR="00D16B35">
        <w:t xml:space="preserve"> he </w:t>
      </w:r>
      <w:r w:rsidR="00E2387D" w:rsidRPr="00E2387D">
        <w:t xml:space="preserve">wrote about </w:t>
      </w:r>
      <w:r w:rsidR="003370E2" w:rsidRPr="00E2387D">
        <w:t>social theory</w:t>
      </w:r>
      <w:r w:rsidR="00D16B35">
        <w:t xml:space="preserve">, </w:t>
      </w:r>
      <w:r w:rsidR="00E2387D" w:rsidRPr="00E2387D">
        <w:t>handily accompanied and explained some of the increased popularity of coffee consumption in the 15</w:t>
      </w:r>
      <w:r w:rsidR="00E2387D" w:rsidRPr="00E2387D">
        <w:rPr>
          <w:vertAlign w:val="superscript"/>
        </w:rPr>
        <w:t>th</w:t>
      </w:r>
      <w:r w:rsidR="00E2387D" w:rsidRPr="00E2387D">
        <w:t xml:space="preserve"> century</w:t>
      </w:r>
      <w:r w:rsidR="00D16B35">
        <w:t xml:space="preserve"> </w:t>
      </w:r>
      <w:r w:rsidR="003370E2" w:rsidRPr="00E2387D">
        <w:t>(</w:t>
      </w:r>
      <w:proofErr w:type="spellStart"/>
      <w:r w:rsidR="003370E2" w:rsidRPr="00E2387D">
        <w:t>Kea</w:t>
      </w:r>
      <w:r w:rsidR="007B6043">
        <w:t>l</w:t>
      </w:r>
      <w:r w:rsidR="003370E2" w:rsidRPr="00E2387D">
        <w:t>l</w:t>
      </w:r>
      <w:proofErr w:type="spellEnd"/>
      <w:r w:rsidR="003370E2" w:rsidRPr="00E2387D">
        <w:t xml:space="preserve"> in Tuscherer 2001:35).</w:t>
      </w:r>
    </w:p>
    <w:p w:rsidR="004600DB" w:rsidRPr="00236E70" w:rsidRDefault="002D672E" w:rsidP="00236E70">
      <w:pPr>
        <w:tabs>
          <w:tab w:val="left" w:pos="7128"/>
        </w:tabs>
        <w:rPr>
          <w:u w:val="single"/>
        </w:rPr>
      </w:pPr>
      <w:r w:rsidRPr="002D672E">
        <w:t xml:space="preserve">One of </w:t>
      </w:r>
      <w:proofErr w:type="spellStart"/>
      <w:r w:rsidR="003370E2" w:rsidRPr="002D672E">
        <w:t>Hattox</w:t>
      </w:r>
      <w:proofErr w:type="spellEnd"/>
      <w:r w:rsidRPr="002D672E">
        <w:t xml:space="preserve">’ statements include that </w:t>
      </w:r>
      <w:r w:rsidR="003370E2" w:rsidRPr="002D672E">
        <w:t>the early coffee consumption in the 15</w:t>
      </w:r>
      <w:r w:rsidR="003370E2" w:rsidRPr="002D672E">
        <w:rPr>
          <w:vertAlign w:val="superscript"/>
        </w:rPr>
        <w:t>th</w:t>
      </w:r>
      <w:r w:rsidR="003370E2" w:rsidRPr="002D672E">
        <w:t xml:space="preserve"> century</w:t>
      </w:r>
      <w:r w:rsidRPr="002D672E">
        <w:t xml:space="preserve"> took place by </w:t>
      </w:r>
      <w:r w:rsidR="005045D3">
        <w:t xml:space="preserve">using </w:t>
      </w:r>
      <w:r w:rsidR="003370E2" w:rsidRPr="002D672E">
        <w:t xml:space="preserve">a </w:t>
      </w:r>
      <w:proofErr w:type="spellStart"/>
      <w:r w:rsidR="003370E2" w:rsidRPr="002D672E">
        <w:rPr>
          <w:i/>
        </w:rPr>
        <w:t>madjur</w:t>
      </w:r>
      <w:proofErr w:type="spellEnd"/>
      <w:r w:rsidR="003370E2" w:rsidRPr="002D672E">
        <w:rPr>
          <w:i/>
        </w:rPr>
        <w:t xml:space="preserve">, </w:t>
      </w:r>
      <w:r w:rsidR="003370E2" w:rsidRPr="002D672E">
        <w:t xml:space="preserve">a pottery basin </w:t>
      </w:r>
      <w:r w:rsidR="003370E2" w:rsidRPr="005045D3">
        <w:t>which was penetrated by a ladle</w:t>
      </w:r>
      <w:r w:rsidRPr="005045D3">
        <w:t xml:space="preserve"> (</w:t>
      </w:r>
      <w:proofErr w:type="spellStart"/>
      <w:r w:rsidRPr="002D672E">
        <w:t>Kea</w:t>
      </w:r>
      <w:r w:rsidR="007B6043">
        <w:t>l</w:t>
      </w:r>
      <w:r w:rsidRPr="002D672E">
        <w:t>l</w:t>
      </w:r>
      <w:proofErr w:type="spellEnd"/>
      <w:r w:rsidRPr="002D672E">
        <w:t xml:space="preserve"> in Tuscherer 2001:35). </w:t>
      </w:r>
      <w:proofErr w:type="spellStart"/>
      <w:r w:rsidR="003370E2" w:rsidRPr="002D672E">
        <w:t>Hattox</w:t>
      </w:r>
      <w:proofErr w:type="spellEnd"/>
      <w:r w:rsidRPr="002D672E">
        <w:t xml:space="preserve"> himself witnessed this practice </w:t>
      </w:r>
      <w:r w:rsidR="005045D3">
        <w:t>in</w:t>
      </w:r>
      <w:r w:rsidRPr="002D672E">
        <w:t xml:space="preserve"> </w:t>
      </w:r>
      <w:r w:rsidR="003370E2" w:rsidRPr="002D672E">
        <w:t xml:space="preserve">Iran, where he came across the mystics group of the </w:t>
      </w:r>
      <w:proofErr w:type="spellStart"/>
      <w:r w:rsidR="003370E2" w:rsidRPr="002D672E">
        <w:t>Ahl</w:t>
      </w:r>
      <w:proofErr w:type="spellEnd"/>
      <w:r w:rsidR="003370E2" w:rsidRPr="002D672E">
        <w:t>-</w:t>
      </w:r>
      <w:proofErr w:type="spellStart"/>
      <w:r w:rsidR="003370E2" w:rsidRPr="002D672E">
        <w:t>i</w:t>
      </w:r>
      <w:proofErr w:type="spellEnd"/>
      <w:r w:rsidR="003370E2" w:rsidRPr="002D672E">
        <w:t xml:space="preserve">-Haqq who would pass around </w:t>
      </w:r>
      <w:r w:rsidR="005045D3">
        <w:t>this coffee basin for consumption</w:t>
      </w:r>
      <w:r w:rsidR="003370E2" w:rsidRPr="002D672E">
        <w:t xml:space="preserve">, making coffee </w:t>
      </w:r>
      <w:r w:rsidR="005045D3">
        <w:t>drinking</w:t>
      </w:r>
      <w:r w:rsidR="003370E2" w:rsidRPr="002D672E">
        <w:t xml:space="preserve"> a shared experience (</w:t>
      </w:r>
      <w:proofErr w:type="spellStart"/>
      <w:r w:rsidR="003370E2" w:rsidRPr="002D672E">
        <w:t>Kea</w:t>
      </w:r>
      <w:r w:rsidR="007B6043">
        <w:t>l</w:t>
      </w:r>
      <w:r w:rsidR="003370E2" w:rsidRPr="002D672E">
        <w:t>l</w:t>
      </w:r>
      <w:proofErr w:type="spellEnd"/>
      <w:r w:rsidR="003370E2" w:rsidRPr="002D672E">
        <w:t xml:space="preserve"> in Tuscherer 2001:35). Initially communally consumed at funerary ceremon</w:t>
      </w:r>
      <w:r w:rsidR="003370E2" w:rsidRPr="009C50A9">
        <w:t>ies or similarly important occasions, Coffee still seemed to have been reserved for special events</w:t>
      </w:r>
      <w:r w:rsidRPr="009C50A9">
        <w:t xml:space="preserve"> </w:t>
      </w:r>
      <w:proofErr w:type="spellStart"/>
      <w:r w:rsidR="005045D3">
        <w:t>Hattox</w:t>
      </w:r>
      <w:proofErr w:type="spellEnd"/>
      <w:r w:rsidRPr="009C50A9">
        <w:t xml:space="preserve"> noted </w:t>
      </w:r>
      <w:r w:rsidR="003370E2" w:rsidRPr="009C50A9">
        <w:t>(</w:t>
      </w:r>
      <w:proofErr w:type="spellStart"/>
      <w:r w:rsidR="003370E2" w:rsidRPr="009C50A9">
        <w:t>Kea</w:t>
      </w:r>
      <w:r w:rsidR="007B6043">
        <w:t>l</w:t>
      </w:r>
      <w:r w:rsidR="003370E2" w:rsidRPr="009C50A9">
        <w:t>l</w:t>
      </w:r>
      <w:proofErr w:type="spellEnd"/>
      <w:r w:rsidR="003370E2" w:rsidRPr="009C50A9">
        <w:t xml:space="preserve"> in Tuscherer 2001:35).</w:t>
      </w:r>
      <w:r w:rsidR="009C50A9" w:rsidRPr="009C50A9">
        <w:t xml:space="preserve"> He related the growing popularity of coffee at </w:t>
      </w:r>
      <w:proofErr w:type="spellStart"/>
      <w:r w:rsidR="009C50A9" w:rsidRPr="009C50A9">
        <w:t>Zabid</w:t>
      </w:r>
      <w:proofErr w:type="spellEnd"/>
      <w:r w:rsidR="009C50A9" w:rsidRPr="009C50A9">
        <w:t xml:space="preserve"> to its’ increasing </w:t>
      </w:r>
      <w:r w:rsidR="00DB62D1" w:rsidRPr="009C50A9">
        <w:t>multicultu</w:t>
      </w:r>
      <w:r w:rsidR="005045D3">
        <w:t>re</w:t>
      </w:r>
      <w:r w:rsidR="009C50A9" w:rsidRPr="009C50A9">
        <w:t xml:space="preserve"> and consequential </w:t>
      </w:r>
      <w:r w:rsidR="00DB62D1" w:rsidRPr="009C50A9">
        <w:t xml:space="preserve">growing </w:t>
      </w:r>
      <w:r w:rsidR="005045D3">
        <w:t xml:space="preserve">interest in coffee </w:t>
      </w:r>
      <w:r w:rsidR="00DB62D1" w:rsidRPr="009C50A9">
        <w:t>(</w:t>
      </w:r>
      <w:proofErr w:type="spellStart"/>
      <w:r w:rsidR="00DB62D1" w:rsidRPr="009C50A9">
        <w:t>Kea</w:t>
      </w:r>
      <w:r w:rsidR="007B6043">
        <w:t>l</w:t>
      </w:r>
      <w:r w:rsidR="00DB62D1" w:rsidRPr="009C50A9">
        <w:t>l</w:t>
      </w:r>
      <w:proofErr w:type="spellEnd"/>
      <w:r w:rsidR="00DB62D1" w:rsidRPr="009C50A9">
        <w:t xml:space="preserve"> in Tuscherer 2001:36</w:t>
      </w:r>
      <w:r w:rsidR="00DB62D1" w:rsidRPr="00391F93">
        <w:t>).</w:t>
      </w:r>
      <w:r w:rsidR="00391F93" w:rsidRPr="00391F93">
        <w:t xml:space="preserve"> Further, </w:t>
      </w:r>
      <w:proofErr w:type="spellStart"/>
      <w:r w:rsidR="005758D8" w:rsidRPr="00391F93">
        <w:t>Hattox</w:t>
      </w:r>
      <w:proofErr w:type="spellEnd"/>
      <w:r w:rsidR="005758D8" w:rsidRPr="00391F93">
        <w:t xml:space="preserve"> states that regions such as </w:t>
      </w:r>
      <w:proofErr w:type="spellStart"/>
      <w:r w:rsidR="005758D8" w:rsidRPr="00391F93">
        <w:t>Zabi</w:t>
      </w:r>
      <w:r w:rsidR="009C50A9" w:rsidRPr="00391F93">
        <w:t>d</w:t>
      </w:r>
      <w:proofErr w:type="spellEnd"/>
      <w:r w:rsidR="005758D8" w:rsidRPr="00391F93">
        <w:t xml:space="preserve"> represented the best source for tracing the origins of Yemeni coffee consumption compared to mountainous </w:t>
      </w:r>
      <w:r w:rsidR="009E7D1B">
        <w:t>regions</w:t>
      </w:r>
      <w:r w:rsidR="005758D8" w:rsidRPr="00391F93">
        <w:t xml:space="preserve">, thus standing in </w:t>
      </w:r>
      <w:r w:rsidR="005758D8" w:rsidRPr="00236E70">
        <w:t>agreement with the archaeolog</w:t>
      </w:r>
      <w:r w:rsidR="005045D3">
        <w:t xml:space="preserve">y of </w:t>
      </w:r>
      <w:proofErr w:type="spellStart"/>
      <w:r w:rsidR="005045D3">
        <w:t>Zabid</w:t>
      </w:r>
      <w:proofErr w:type="spellEnd"/>
      <w:r w:rsidR="009E7D1B" w:rsidRPr="00236E70">
        <w:t xml:space="preserve"> </w:t>
      </w:r>
      <w:r w:rsidR="005758D8" w:rsidRPr="00236E70">
        <w:t>(</w:t>
      </w:r>
      <w:proofErr w:type="spellStart"/>
      <w:r w:rsidR="005758D8" w:rsidRPr="00236E70">
        <w:t>Kea</w:t>
      </w:r>
      <w:r w:rsidR="007B6043">
        <w:t>l</w:t>
      </w:r>
      <w:r w:rsidR="005758D8" w:rsidRPr="00236E70">
        <w:t>l</w:t>
      </w:r>
      <w:proofErr w:type="spellEnd"/>
      <w:r w:rsidR="005758D8" w:rsidRPr="00236E70">
        <w:t xml:space="preserve"> in Tuscherer 2001:37). </w:t>
      </w:r>
      <w:proofErr w:type="spellStart"/>
      <w:r w:rsidR="00F25EE7" w:rsidRPr="00236E70">
        <w:t>Hattox</w:t>
      </w:r>
      <w:proofErr w:type="spellEnd"/>
      <w:r w:rsidR="00F25EE7" w:rsidRPr="00236E70">
        <w:t xml:space="preserve"> also published a miniature painting from the mid-16</w:t>
      </w:r>
      <w:r w:rsidR="00F25EE7" w:rsidRPr="00236E70">
        <w:rPr>
          <w:vertAlign w:val="superscript"/>
        </w:rPr>
        <w:t>th</w:t>
      </w:r>
      <w:r w:rsidR="00F25EE7" w:rsidRPr="00236E70">
        <w:t xml:space="preserve"> century showing coffee cups and coffee consumption, </w:t>
      </w:r>
      <w:r w:rsidR="005B37BB">
        <w:t xml:space="preserve">proving </w:t>
      </w:r>
      <w:r w:rsidR="00F25EE7" w:rsidRPr="00236E70">
        <w:t xml:space="preserve">that pictorial evidence </w:t>
      </w:r>
      <w:r w:rsidR="005B37BB">
        <w:t>can sometimes</w:t>
      </w:r>
      <w:r w:rsidR="00F25EE7" w:rsidRPr="00236E70">
        <w:t xml:space="preserve"> accompan</w:t>
      </w:r>
      <w:r w:rsidR="005B37BB">
        <w:t>y</w:t>
      </w:r>
      <w:r w:rsidR="00F25EE7" w:rsidRPr="00236E70">
        <w:t xml:space="preserve"> written documents and </w:t>
      </w:r>
      <w:r w:rsidR="00236E70" w:rsidRPr="00236E70">
        <w:t>hence</w:t>
      </w:r>
      <w:r w:rsidR="00F25EE7" w:rsidRPr="00236E70">
        <w:t xml:space="preserve"> give a more varied body of evidence than </w:t>
      </w:r>
      <w:r w:rsidR="005B37BB">
        <w:t xml:space="preserve">would be the case with the written evidence alone </w:t>
      </w:r>
      <w:r w:rsidR="00F25EE7" w:rsidRPr="00236E70">
        <w:t>(</w:t>
      </w:r>
      <w:proofErr w:type="spellStart"/>
      <w:r w:rsidR="00F25EE7" w:rsidRPr="00236E70">
        <w:t>Keal</w:t>
      </w:r>
      <w:r w:rsidR="007B6043">
        <w:t>l</w:t>
      </w:r>
      <w:proofErr w:type="spellEnd"/>
      <w:r w:rsidR="00F25EE7" w:rsidRPr="00236E70">
        <w:t xml:space="preserve"> in Tuscherer 2001:40). </w:t>
      </w:r>
      <w:r w:rsidR="00236E70" w:rsidRPr="00236E70">
        <w:t>Further written evidence was provided by</w:t>
      </w:r>
      <w:r w:rsidR="00095595" w:rsidRPr="00236E70">
        <w:t xml:space="preserve"> author</w:t>
      </w:r>
      <w:r w:rsidR="00236E70" w:rsidRPr="00236E70">
        <w:t>s</w:t>
      </w:r>
      <w:r w:rsidR="005B37BB">
        <w:t xml:space="preserve"> </w:t>
      </w:r>
      <w:r w:rsidR="00897A18" w:rsidRPr="00236E70">
        <w:t>document</w:t>
      </w:r>
      <w:r w:rsidR="005B37BB">
        <w:t xml:space="preserve">ing </w:t>
      </w:r>
      <w:r w:rsidR="00897A18" w:rsidRPr="00236E70">
        <w:t xml:space="preserve">the events of medieval </w:t>
      </w:r>
      <w:proofErr w:type="spellStart"/>
      <w:r w:rsidR="00897A18" w:rsidRPr="00236E70">
        <w:t>Zabib</w:t>
      </w:r>
      <w:proofErr w:type="spellEnd"/>
      <w:r w:rsidR="00236E70" w:rsidRPr="00236E70">
        <w:t xml:space="preserve"> such as </w:t>
      </w:r>
      <w:r w:rsidR="00897A18" w:rsidRPr="00236E70">
        <w:t>Umana al-</w:t>
      </w:r>
      <w:proofErr w:type="spellStart"/>
      <w:r w:rsidR="00897A18" w:rsidRPr="00236E70">
        <w:t>Yamari</w:t>
      </w:r>
      <w:proofErr w:type="spellEnd"/>
      <w:r w:rsidR="00897A18" w:rsidRPr="00236E70">
        <w:t xml:space="preserve"> from the 12</w:t>
      </w:r>
      <w:r w:rsidR="00897A18" w:rsidRPr="00236E70">
        <w:rPr>
          <w:vertAlign w:val="superscript"/>
        </w:rPr>
        <w:t>th</w:t>
      </w:r>
      <w:r w:rsidR="00897A18" w:rsidRPr="00236E70">
        <w:t xml:space="preserve"> century (d.569/1174) </w:t>
      </w:r>
      <w:r w:rsidR="00095595" w:rsidRPr="00236E70">
        <w:t>(</w:t>
      </w:r>
      <w:proofErr w:type="spellStart"/>
      <w:r w:rsidR="00095595" w:rsidRPr="00236E70">
        <w:t>Keal</w:t>
      </w:r>
      <w:r w:rsidR="007B6043">
        <w:t>l</w:t>
      </w:r>
      <w:proofErr w:type="spellEnd"/>
      <w:r w:rsidR="00095595" w:rsidRPr="00236E70">
        <w:t xml:space="preserve"> in Tuscherer 2001:38). </w:t>
      </w:r>
      <w:r w:rsidR="004600DB" w:rsidRPr="00236E70">
        <w:t>Another important author was al-</w:t>
      </w:r>
      <w:proofErr w:type="spellStart"/>
      <w:r w:rsidR="004600DB" w:rsidRPr="00236E70">
        <w:t>Mudjawir</w:t>
      </w:r>
      <w:proofErr w:type="spellEnd"/>
      <w:r w:rsidR="004600DB" w:rsidRPr="00236E70">
        <w:t xml:space="preserve"> (d.690/1291), a native from Damascus who travelled to </w:t>
      </w:r>
      <w:proofErr w:type="spellStart"/>
      <w:r w:rsidR="004600DB" w:rsidRPr="00236E70">
        <w:t>Zabi</w:t>
      </w:r>
      <w:r w:rsidR="0032506F">
        <w:t>d</w:t>
      </w:r>
      <w:proofErr w:type="spellEnd"/>
      <w:r w:rsidR="0032506F">
        <w:t xml:space="preserve"> </w:t>
      </w:r>
      <w:r w:rsidR="004600DB" w:rsidRPr="00236E70">
        <w:t xml:space="preserve">around three times and who documented his experiences </w:t>
      </w:r>
      <w:r w:rsidR="0032506F">
        <w:t>through a business perspective</w:t>
      </w:r>
      <w:r w:rsidR="004600DB" w:rsidRPr="00236E70">
        <w:t xml:space="preserve"> (</w:t>
      </w:r>
      <w:proofErr w:type="spellStart"/>
      <w:r w:rsidR="004600DB" w:rsidRPr="00236E70">
        <w:t>Kea</w:t>
      </w:r>
      <w:r w:rsidR="007B6043">
        <w:t>l</w:t>
      </w:r>
      <w:r w:rsidR="004600DB" w:rsidRPr="00236E70">
        <w:t>l</w:t>
      </w:r>
      <w:proofErr w:type="spellEnd"/>
      <w:r w:rsidR="004600DB" w:rsidRPr="00236E70">
        <w:t xml:space="preserve"> in Tuscherer 2001:38). </w:t>
      </w:r>
      <w:r w:rsidR="0032506F">
        <w:t>Al-</w:t>
      </w:r>
      <w:proofErr w:type="spellStart"/>
      <w:r w:rsidR="0032506F">
        <w:t>Mudjawir</w:t>
      </w:r>
      <w:proofErr w:type="spellEnd"/>
      <w:r w:rsidR="004600DB" w:rsidRPr="00236E70">
        <w:t xml:space="preserve"> documented s</w:t>
      </w:r>
      <w:r w:rsidR="008C7483">
        <w:t>o</w:t>
      </w:r>
      <w:r w:rsidR="004600DB" w:rsidRPr="00236E70">
        <w:t>cial practices which included mentioning the fine coffee cups that were produced in neighbouring Hays (</w:t>
      </w:r>
      <w:proofErr w:type="spellStart"/>
      <w:r w:rsidR="004600DB" w:rsidRPr="00236E70">
        <w:t>Kea</w:t>
      </w:r>
      <w:r w:rsidR="007B6043">
        <w:t>l</w:t>
      </w:r>
      <w:r w:rsidR="004600DB" w:rsidRPr="00236E70">
        <w:t>l</w:t>
      </w:r>
      <w:proofErr w:type="spellEnd"/>
      <w:r w:rsidR="004600DB" w:rsidRPr="00236E70">
        <w:t xml:space="preserve"> in Tuscherer 2001:38). </w:t>
      </w:r>
      <w:r w:rsidR="00930C37">
        <w:t xml:space="preserve">Having mentioned the importance of written sources, </w:t>
      </w:r>
      <w:r w:rsidR="0032506F">
        <w:t>it becomes quite apparent how archaeology and w</w:t>
      </w:r>
      <w:r w:rsidR="007B6043">
        <w:t>r</w:t>
      </w:r>
      <w:r w:rsidR="0032506F">
        <w:t>itten material substitute each other, benefitting the overall outcome. Where however archaeology would fail to provide satisfying explanations without the help of written sources, can help to understand the limits of archaeology.</w:t>
      </w:r>
    </w:p>
    <w:p w:rsidR="00930C37" w:rsidRDefault="00930C37" w:rsidP="00930C37"/>
    <w:p w:rsidR="00B80AF7" w:rsidRPr="006E0D30" w:rsidRDefault="006D2CDA" w:rsidP="00B80AF7">
      <w:r>
        <w:t>It is rare that a completely certain context can be established</w:t>
      </w:r>
      <w:r w:rsidR="0032506F">
        <w:t xml:space="preserve"> in archaeology</w:t>
      </w:r>
      <w:r>
        <w:t>, often ar</w:t>
      </w:r>
      <w:r w:rsidR="0032506F">
        <w:t>tefacts are</w:t>
      </w:r>
      <w:r>
        <w:t xml:space="preserve"> </w:t>
      </w:r>
      <w:r w:rsidR="00E45498">
        <w:t xml:space="preserve">discovered out of </w:t>
      </w:r>
      <w:r>
        <w:t>context,</w:t>
      </w:r>
      <w:r w:rsidR="00E45498">
        <w:t xml:space="preserve"> chucked</w:t>
      </w:r>
      <w:r>
        <w:t xml:space="preserve"> i</w:t>
      </w:r>
      <w:r w:rsidR="00E45498">
        <w:t xml:space="preserve">nto </w:t>
      </w:r>
      <w:r>
        <w:t>rubbish dumb</w:t>
      </w:r>
      <w:r w:rsidR="00E45498">
        <w:t>s</w:t>
      </w:r>
      <w:r>
        <w:t xml:space="preserve">, while catastrophic events such as the </w:t>
      </w:r>
      <w:r w:rsidR="0032506F">
        <w:t xml:space="preserve">preservation of Pompeii by volcanic ashes </w:t>
      </w:r>
      <w:r>
        <w:t>provide in situ evidence which is easier to interpret (</w:t>
      </w:r>
      <w:proofErr w:type="spellStart"/>
      <w:r>
        <w:t>Kea</w:t>
      </w:r>
      <w:r w:rsidR="007B6043">
        <w:t>l</w:t>
      </w:r>
      <w:r>
        <w:t>l</w:t>
      </w:r>
      <w:proofErr w:type="spellEnd"/>
      <w:r>
        <w:t xml:space="preserve"> in Tuscherer 2001: 36 a</w:t>
      </w:r>
      <w:r w:rsidR="00E45498">
        <w:t>nd</w:t>
      </w:r>
      <w:r w:rsidR="0032506F">
        <w:t xml:space="preserve"> </w:t>
      </w:r>
      <w:r w:rsidR="00102998">
        <w:fldChar w:fldCharType="begin" w:fldLock="1"/>
      </w:r>
      <w:r w:rsidR="001F725C">
        <w:instrText>ADDIN CSL_CITATION {"citationItems":[{"id":"ITEM-1","itemData":{"DOI":"10.4324/9780203885161","ISBN":"0203885163","ISSN":"1098-6596","PMID":"25246403","abstract":"Predicting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approach.","author":[{"dropping-particle":"","family":"Lazer","given":"Estelle","non-dropping-particle":"","parse-names":false,"suffix":""}],"container-title":"Resurrecting Pompeii","id":"ITEM-1","issued":{"date-parts":[["2009"]]},"title":"Resurrecting Pompeii","type":"book"},"uris":["http://www.mendeley.com/documents/?uuid=86162066-9071-4401-9cd5-c206cb66e295"]}],"mendeley":{"formattedCitation":"(Lazer, 2009)","manualFormatting":"Lazer, 2009)","plainTextFormattedCitation":"(Lazer, 2009)","previouslyFormattedCitation":"(Lazer, 2009)"},"properties":{"noteIndex":0},"schema":"https://github.com/citation-style-language/schema/raw/master/csl-citation.json"}</w:instrText>
      </w:r>
      <w:r w:rsidR="00102998">
        <w:fldChar w:fldCharType="separate"/>
      </w:r>
      <w:r w:rsidR="00102998" w:rsidRPr="00102998">
        <w:rPr>
          <w:noProof/>
        </w:rPr>
        <w:t>Lazer, 2009)</w:t>
      </w:r>
      <w:r w:rsidR="00102998">
        <w:fldChar w:fldCharType="end"/>
      </w:r>
      <w:r>
        <w:t xml:space="preserve">. </w:t>
      </w:r>
      <w:r w:rsidR="00102998">
        <w:t xml:space="preserve">More specific limitations are evident by the lack </w:t>
      </w:r>
      <w:r w:rsidR="00102998">
        <w:lastRenderedPageBreak/>
        <w:t>of</w:t>
      </w:r>
      <w:r>
        <w:t xml:space="preserve"> coffee house</w:t>
      </w:r>
      <w:r w:rsidR="00102998">
        <w:t>s</w:t>
      </w:r>
      <w:r>
        <w:t xml:space="preserve"> excavated by the Canadian Archaeological Mission of the Royal Ontario Museum, with also no kitchen ware excavated</w:t>
      </w:r>
      <w:r w:rsidR="00102998">
        <w:t xml:space="preserve">, </w:t>
      </w:r>
      <w:r>
        <w:t xml:space="preserve">associated </w:t>
      </w:r>
      <w:r w:rsidR="00102998">
        <w:t xml:space="preserve">with </w:t>
      </w:r>
      <w:r>
        <w:t>the preparation of coffee regarding the 15</w:t>
      </w:r>
      <w:r w:rsidRPr="00930C37">
        <w:rPr>
          <w:vertAlign w:val="superscript"/>
        </w:rPr>
        <w:t>th</w:t>
      </w:r>
      <w:r>
        <w:t>, 16</w:t>
      </w:r>
      <w:r w:rsidRPr="00930C37">
        <w:rPr>
          <w:vertAlign w:val="superscript"/>
        </w:rPr>
        <w:t>th</w:t>
      </w:r>
      <w:r>
        <w:t xml:space="preserve"> and even 17</w:t>
      </w:r>
      <w:r w:rsidRPr="00930C37">
        <w:rPr>
          <w:vertAlign w:val="superscript"/>
        </w:rPr>
        <w:t>th</w:t>
      </w:r>
      <w:r>
        <w:t xml:space="preserve"> century</w:t>
      </w:r>
      <w:r w:rsidR="00102998">
        <w:t xml:space="preserve"> (</w:t>
      </w:r>
      <w:proofErr w:type="spellStart"/>
      <w:r w:rsidR="00102998">
        <w:t>Kea</w:t>
      </w:r>
      <w:r w:rsidR="007B6043">
        <w:t>l</w:t>
      </w:r>
      <w:r w:rsidR="00102998">
        <w:t>l</w:t>
      </w:r>
      <w:proofErr w:type="spellEnd"/>
      <w:r w:rsidR="00102998">
        <w:t xml:space="preserve"> in Tuscherer 2001:36). Also, </w:t>
      </w:r>
      <w:r>
        <w:t>proof</w:t>
      </w:r>
      <w:r w:rsidR="00102998">
        <w:t xml:space="preserve"> is</w:t>
      </w:r>
      <w:r>
        <w:t xml:space="preserve"> lacking to support the hypothesis that the bowls and cups associated with coffee consumption found were only used for coffee consumption </w:t>
      </w:r>
      <w:r w:rsidR="00102998">
        <w:t xml:space="preserve">and for nothing else </w:t>
      </w:r>
      <w:r>
        <w:t>(</w:t>
      </w:r>
      <w:proofErr w:type="spellStart"/>
      <w:r>
        <w:t>Keal</w:t>
      </w:r>
      <w:r w:rsidR="007B6043">
        <w:t>l</w:t>
      </w:r>
      <w:proofErr w:type="spellEnd"/>
      <w:r>
        <w:t xml:space="preserve"> in Tuscherer 2001:36). These vessels could have also been used for serving sauces or sweetmeats rather than beverages, </w:t>
      </w:r>
      <w:r w:rsidR="00102998">
        <w:t xml:space="preserve">predictions for which there is no evidence yet </w:t>
      </w:r>
      <w:r>
        <w:t>(</w:t>
      </w:r>
      <w:proofErr w:type="spellStart"/>
      <w:r>
        <w:t>Kea</w:t>
      </w:r>
      <w:r w:rsidR="007B6043">
        <w:t>l</w:t>
      </w:r>
      <w:r>
        <w:t>l</w:t>
      </w:r>
      <w:proofErr w:type="spellEnd"/>
      <w:r>
        <w:t xml:space="preserve"> in Tuscherer 2001:36). Archaeological artefacts found at al-</w:t>
      </w:r>
      <w:proofErr w:type="spellStart"/>
      <w:r>
        <w:t>Mukha</w:t>
      </w:r>
      <w:proofErr w:type="spellEnd"/>
      <w:r>
        <w:t xml:space="preserve"> could possibly draw a </w:t>
      </w:r>
      <w:r w:rsidR="00102998">
        <w:t xml:space="preserve">misleading </w:t>
      </w:r>
      <w:r>
        <w:t xml:space="preserve">picture of ceramic use, as </w:t>
      </w:r>
      <w:r w:rsidR="00102998">
        <w:t>al-</w:t>
      </w:r>
      <w:proofErr w:type="spellStart"/>
      <w:r w:rsidR="00102998">
        <w:t>Mukha</w:t>
      </w:r>
      <w:proofErr w:type="spellEnd"/>
      <w:r w:rsidR="00102998">
        <w:t xml:space="preserve"> </w:t>
      </w:r>
      <w:r>
        <w:t xml:space="preserve">was a popular port of entry and thus the quantity and types of ceramics might not have equated to </w:t>
      </w:r>
      <w:r w:rsidR="00102998">
        <w:t>local coffee consumption figures</w:t>
      </w:r>
      <w:r>
        <w:t xml:space="preserve"> (</w:t>
      </w:r>
      <w:proofErr w:type="spellStart"/>
      <w:r>
        <w:t>Keal</w:t>
      </w:r>
      <w:r w:rsidR="007B6043">
        <w:t>l</w:t>
      </w:r>
      <w:proofErr w:type="spellEnd"/>
      <w:r>
        <w:t xml:space="preserve"> in Tuscherer 2001:36). Unfortunately, giving or taking one hundred years from a date of production is not very accurate, </w:t>
      </w:r>
      <w:r w:rsidR="00102998">
        <w:t>with the contrast of</w:t>
      </w:r>
      <w:r>
        <w:t xml:space="preserve"> </w:t>
      </w:r>
      <w:proofErr w:type="spellStart"/>
      <w:r>
        <w:t>Hattox</w:t>
      </w:r>
      <w:proofErr w:type="spellEnd"/>
      <w:r>
        <w:t xml:space="preserve"> </w:t>
      </w:r>
      <w:r w:rsidR="00102998">
        <w:t>mentioning</w:t>
      </w:r>
      <w:r>
        <w:t xml:space="preserve"> precise dates, such as when the consumption of coffee within mosques was attempted to be forbidden due to the Mecca incident of 1511, </w:t>
      </w:r>
      <w:r w:rsidR="00102998">
        <w:t xml:space="preserve">by </w:t>
      </w:r>
      <w:r>
        <w:t>the account of men drinking coffee within a mosque on the evening of Friday, Rabi’ I 23, 917/June 20, 1511 (</w:t>
      </w:r>
      <w:proofErr w:type="spellStart"/>
      <w:r>
        <w:t>Kea</w:t>
      </w:r>
      <w:r w:rsidR="007B6043">
        <w:t>l</w:t>
      </w:r>
      <w:r>
        <w:t>l</w:t>
      </w:r>
      <w:proofErr w:type="spellEnd"/>
      <w:r>
        <w:t xml:space="preserve"> in Tuscherer 2001:37). </w:t>
      </w:r>
      <w:r w:rsidR="00D52E53">
        <w:t xml:space="preserve">This clearly demonstrates that making use of archaeological sources alone would not yield the same amount of insight into Ottoman history as the combination of the two. </w:t>
      </w:r>
    </w:p>
    <w:p w:rsidR="00751CB9" w:rsidRDefault="008649D2">
      <w:r>
        <w:t xml:space="preserve">Regarding the future of Ottoman Archaeology much is left to be improved, such as clearly defining Ottoman archaeology as its own archaeological discipline, practiced by non-and Muslims alike, </w:t>
      </w:r>
      <w:r w:rsidR="006E0D30">
        <w:t xml:space="preserve">leading to an evaluation of </w:t>
      </w:r>
      <w:r>
        <w:t xml:space="preserve">finds from both an Islamic and secular viewpoint, as mainly non-Muslims </w:t>
      </w:r>
      <w:r w:rsidR="006E0D30">
        <w:t xml:space="preserve">have </w:t>
      </w:r>
      <w:r>
        <w:t>practice Islamic Archaeology</w:t>
      </w:r>
      <w:r w:rsidR="006E0D30">
        <w:t xml:space="preserve"> traditionally</w:t>
      </w:r>
      <w:r>
        <w:t xml:space="preserve"> (Petersen 2018:1). </w:t>
      </w:r>
    </w:p>
    <w:p w:rsidR="00526A22" w:rsidRDefault="001A203E">
      <w:r>
        <w:t xml:space="preserve">In conclusion, archaeology as an area of research proves itself vital for investigating the Ottoman past. Different techniques are applied according to what, where and who is excavating, however when it comes to exploring the consumption of coffee at </w:t>
      </w:r>
      <w:proofErr w:type="spellStart"/>
      <w:r>
        <w:t>Zabid</w:t>
      </w:r>
      <w:proofErr w:type="spellEnd"/>
      <w:r>
        <w:t xml:space="preserve"> in Yemen, analysing different types of pottery proves itself to be a viable method of investigation (</w:t>
      </w:r>
      <w:proofErr w:type="spellStart"/>
      <w:r>
        <w:t>Kea</w:t>
      </w:r>
      <w:r w:rsidR="007B6043">
        <w:t>l</w:t>
      </w:r>
      <w:r>
        <w:t>l</w:t>
      </w:r>
      <w:proofErr w:type="spellEnd"/>
      <w:r>
        <w:t xml:space="preserve"> in Tuscherer 2001). Written sources, despite their own flaws, prove to be crucial in complementing archaeology with its own flaws and </w:t>
      </w:r>
      <w:r w:rsidR="006E0D30">
        <w:t>limitations and thus a combination of the two seem to be the best option when uncovering the Ottoman past (</w:t>
      </w:r>
      <w:proofErr w:type="spellStart"/>
      <w:r w:rsidR="006E0D30">
        <w:t>Keal</w:t>
      </w:r>
      <w:r w:rsidR="007B6043">
        <w:t>l</w:t>
      </w:r>
      <w:proofErr w:type="spellEnd"/>
      <w:r w:rsidR="006E0D30">
        <w:t xml:space="preserve"> in Tuscherer 2001). The future of archaeology still has room for a lot of improvement, especially when it comes to employing a higher ratio of archaeologists with a more diverse background.</w:t>
      </w:r>
    </w:p>
    <w:p w:rsidR="009D6222" w:rsidRDefault="009D6222"/>
    <w:p w:rsidR="002052E3" w:rsidRDefault="002052E3"/>
    <w:p w:rsidR="00981DB0" w:rsidRPr="002052E3" w:rsidRDefault="002E754F" w:rsidP="002052E3">
      <w:pPr>
        <w:spacing w:line="259" w:lineRule="auto"/>
        <w:rPr>
          <w:rFonts w:asciiTheme="minorHAnsi" w:hAnsiTheme="minorHAnsi"/>
        </w:rPr>
      </w:pPr>
      <w:r>
        <w:lastRenderedPageBreak/>
        <w:t>Reference list</w:t>
      </w:r>
      <w:r w:rsidR="007B6043">
        <w:fldChar w:fldCharType="begin" w:fldLock="1"/>
      </w:r>
      <w:r w:rsidR="007B6043">
        <w:instrText xml:space="preserve">ADDIN Mendeley Bibliography CSL_BIBLIOGRAPHY </w:instrText>
      </w:r>
      <w:r w:rsidR="007B6043">
        <w:fldChar w:fldCharType="separate"/>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fldChar w:fldCharType="begin" w:fldLock="1"/>
      </w:r>
      <w:r>
        <w:instrText xml:space="preserve">ADDIN Mendeley Bibliography CSL_BIBLIOGRAPHY </w:instrText>
      </w:r>
      <w:r>
        <w:fldChar w:fldCharType="separate"/>
      </w:r>
      <w:r w:rsidRPr="0006662F">
        <w:rPr>
          <w:rFonts w:ascii="Calibri" w:hAnsi="Calibri" w:cs="Calibri"/>
          <w:noProof/>
          <w:sz w:val="22"/>
          <w:szCs w:val="24"/>
        </w:rPr>
        <w:t xml:space="preserve">archaeological.org (no date) </w:t>
      </w:r>
      <w:r w:rsidRPr="0006662F">
        <w:rPr>
          <w:rFonts w:ascii="Calibri" w:hAnsi="Calibri" w:cs="Calibri"/>
          <w:i/>
          <w:iCs/>
          <w:noProof/>
          <w:sz w:val="22"/>
          <w:szCs w:val="24"/>
        </w:rPr>
        <w:t>Introduction to Archaeology: Glossary - Archaeological Institute of America</w:t>
      </w:r>
      <w:r w:rsidRPr="0006662F">
        <w:rPr>
          <w:rFonts w:ascii="Calibri" w:hAnsi="Calibri" w:cs="Calibri"/>
          <w:noProof/>
          <w:sz w:val="22"/>
          <w:szCs w:val="24"/>
        </w:rPr>
        <w:t xml:space="preserve">, </w:t>
      </w:r>
      <w:r w:rsidRPr="0006662F">
        <w:rPr>
          <w:rFonts w:ascii="Calibri" w:hAnsi="Calibri" w:cs="Calibri"/>
          <w:i/>
          <w:iCs/>
          <w:noProof/>
          <w:sz w:val="22"/>
          <w:szCs w:val="24"/>
        </w:rPr>
        <w:t>Archaeological Institute of America</w:t>
      </w:r>
      <w:r w:rsidRPr="0006662F">
        <w:rPr>
          <w:rFonts w:ascii="Calibri" w:hAnsi="Calibri" w:cs="Calibri"/>
          <w:noProof/>
          <w:sz w:val="22"/>
          <w:szCs w:val="24"/>
        </w:rPr>
        <w:t xml:space="preserve">. Available at: https://www.archaeological.org/education/glossary (Accessed: </w:t>
      </w:r>
      <w:r>
        <w:rPr>
          <w:rFonts w:ascii="Calibri" w:hAnsi="Calibri" w:cs="Calibri"/>
          <w:noProof/>
          <w:szCs w:val="24"/>
        </w:rPr>
        <w:t>2</w:t>
      </w:r>
      <w:r w:rsidRPr="0006662F">
        <w:rPr>
          <w:rFonts w:ascii="Calibri" w:hAnsi="Calibri" w:cs="Calibri"/>
          <w:noProof/>
          <w:sz w:val="22"/>
          <w:szCs w:val="24"/>
        </w:rPr>
        <w:t>1</w:t>
      </w:r>
      <w:r>
        <w:rPr>
          <w:rFonts w:ascii="Calibri" w:hAnsi="Calibri" w:cs="Calibri"/>
          <w:noProof/>
          <w:szCs w:val="24"/>
        </w:rPr>
        <w:t>st</w:t>
      </w:r>
      <w:r w:rsidRPr="0006662F">
        <w:rPr>
          <w:rFonts w:ascii="Calibri" w:hAnsi="Calibri" w:cs="Calibri"/>
          <w:noProof/>
          <w:sz w:val="22"/>
          <w:szCs w:val="24"/>
        </w:rPr>
        <w:t xml:space="preserve"> December 2018).</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English Oxford living Dictionaries (2018) </w:t>
      </w:r>
      <w:r w:rsidRPr="0006662F">
        <w:rPr>
          <w:rFonts w:ascii="Calibri" w:hAnsi="Calibri" w:cs="Calibri"/>
          <w:i/>
          <w:iCs/>
          <w:noProof/>
          <w:sz w:val="22"/>
          <w:szCs w:val="24"/>
        </w:rPr>
        <w:t>archaeology | Definition of archaeology in English by Oxford Dictionaries</w:t>
      </w:r>
      <w:r w:rsidRPr="0006662F">
        <w:rPr>
          <w:rFonts w:ascii="Calibri" w:hAnsi="Calibri" w:cs="Calibri"/>
          <w:noProof/>
          <w:sz w:val="22"/>
          <w:szCs w:val="24"/>
        </w:rPr>
        <w:t xml:space="preserve">. Available at: https://en.oxforddictionaries.com/definition/Archaeology (Accessed: </w:t>
      </w:r>
      <w:r>
        <w:rPr>
          <w:rFonts w:ascii="Calibri" w:hAnsi="Calibri" w:cs="Calibri"/>
          <w:noProof/>
          <w:szCs w:val="24"/>
        </w:rPr>
        <w:t>2</w:t>
      </w:r>
      <w:r w:rsidRPr="0006662F">
        <w:rPr>
          <w:rFonts w:ascii="Calibri" w:hAnsi="Calibri" w:cs="Calibri"/>
          <w:noProof/>
          <w:sz w:val="22"/>
          <w:szCs w:val="24"/>
        </w:rPr>
        <w:t>1</w:t>
      </w:r>
      <w:r>
        <w:rPr>
          <w:rFonts w:ascii="Calibri" w:hAnsi="Calibri" w:cs="Calibri"/>
          <w:noProof/>
          <w:szCs w:val="24"/>
        </w:rPr>
        <w:t xml:space="preserve">st </w:t>
      </w:r>
      <w:r w:rsidRPr="0006662F">
        <w:rPr>
          <w:rFonts w:ascii="Calibri" w:hAnsi="Calibri" w:cs="Calibri"/>
          <w:noProof/>
          <w:sz w:val="22"/>
          <w:szCs w:val="24"/>
        </w:rPr>
        <w:t>December 2018).</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Faroqhi, S., McGowan, B. and Panuk, S. (1994) </w:t>
      </w:r>
      <w:r w:rsidRPr="0006662F">
        <w:rPr>
          <w:rFonts w:ascii="Calibri" w:hAnsi="Calibri" w:cs="Calibri"/>
          <w:i/>
          <w:iCs/>
          <w:noProof/>
          <w:sz w:val="22"/>
          <w:szCs w:val="24"/>
        </w:rPr>
        <w:t>An economic and social history of the Ottoman Empire, 1300-1914</w:t>
      </w:r>
      <w:r w:rsidRPr="0006662F">
        <w:rPr>
          <w:rFonts w:ascii="Calibri" w:hAnsi="Calibri" w:cs="Calibri"/>
          <w:noProof/>
          <w:sz w:val="22"/>
          <w:szCs w:val="24"/>
        </w:rPr>
        <w:t xml:space="preserve">. Cambridge University Press. Available at: https://books.google.no/books?id=MWUlNdskNfIC&amp;pg=PR18&amp;redir_esc=y#v=onepage&amp;q&amp;f=false (Accessed: </w:t>
      </w:r>
      <w:r>
        <w:rPr>
          <w:rFonts w:ascii="Calibri" w:hAnsi="Calibri" w:cs="Calibri"/>
          <w:noProof/>
          <w:szCs w:val="24"/>
        </w:rPr>
        <w:t>20th</w:t>
      </w:r>
      <w:r w:rsidRPr="0006662F">
        <w:rPr>
          <w:rFonts w:ascii="Calibri" w:hAnsi="Calibri" w:cs="Calibri"/>
          <w:noProof/>
          <w:sz w:val="22"/>
          <w:szCs w:val="24"/>
        </w:rPr>
        <w:t xml:space="preserve"> December 2018).</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Kafadar, C. (1989) ‘Self and Others: The Diary of a Dervish in Seventeenth Century Istanbul and First-Person Narratives in Ottoman Literature’, </w:t>
      </w:r>
      <w:r w:rsidRPr="0006662F">
        <w:rPr>
          <w:rFonts w:ascii="Calibri" w:hAnsi="Calibri" w:cs="Calibri"/>
          <w:i/>
          <w:iCs/>
          <w:noProof/>
          <w:sz w:val="22"/>
          <w:szCs w:val="24"/>
        </w:rPr>
        <w:t>Studia Islamica</w:t>
      </w:r>
      <w:r w:rsidRPr="0006662F">
        <w:rPr>
          <w:rFonts w:ascii="Calibri" w:hAnsi="Calibri" w:cs="Calibri"/>
          <w:noProof/>
          <w:sz w:val="22"/>
          <w:szCs w:val="24"/>
        </w:rPr>
        <w:t>. Brill, (69), p. 121. doi: 10.2307/1596070.</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Keall, E. </w:t>
      </w:r>
      <w:r>
        <w:rPr>
          <w:rFonts w:ascii="Calibri" w:hAnsi="Calibri" w:cs="Calibri"/>
          <w:noProof/>
          <w:szCs w:val="24"/>
        </w:rPr>
        <w:t xml:space="preserve">in </w:t>
      </w:r>
      <w:r w:rsidRPr="0006662F">
        <w:rPr>
          <w:rFonts w:ascii="Calibri" w:hAnsi="Calibri" w:cs="Calibri"/>
          <w:noProof/>
          <w:sz w:val="22"/>
          <w:szCs w:val="24"/>
        </w:rPr>
        <w:t>Tuscherer, M. (2001) ‘Coffee Book 1.pdf’. Institut francais d’archeologie orientale.</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Lazer, E. (2009) </w:t>
      </w:r>
      <w:r w:rsidRPr="0006662F">
        <w:rPr>
          <w:rFonts w:ascii="Calibri" w:hAnsi="Calibri" w:cs="Calibri"/>
          <w:i/>
          <w:iCs/>
          <w:noProof/>
          <w:sz w:val="22"/>
          <w:szCs w:val="24"/>
        </w:rPr>
        <w:t>Resurrecting Pompeii</w:t>
      </w:r>
      <w:r w:rsidRPr="0006662F">
        <w:rPr>
          <w:rFonts w:ascii="Calibri" w:hAnsi="Calibri" w:cs="Calibri"/>
          <w:noProof/>
          <w:sz w:val="22"/>
          <w:szCs w:val="24"/>
        </w:rPr>
        <w:t xml:space="preserve">, </w:t>
      </w:r>
      <w:r w:rsidRPr="0006662F">
        <w:rPr>
          <w:rFonts w:ascii="Calibri" w:hAnsi="Calibri" w:cs="Calibri"/>
          <w:i/>
          <w:iCs/>
          <w:noProof/>
          <w:sz w:val="22"/>
          <w:szCs w:val="24"/>
        </w:rPr>
        <w:t>Resurrecting Pompeii</w:t>
      </w:r>
      <w:r w:rsidRPr="0006662F">
        <w:rPr>
          <w:rFonts w:ascii="Calibri" w:hAnsi="Calibri" w:cs="Calibri"/>
          <w:noProof/>
          <w:sz w:val="22"/>
          <w:szCs w:val="24"/>
        </w:rPr>
        <w:t>. doi: 10.4324/9780203885161.</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Longacre, W. A. (2010) ‘Archaeology as anthropology revisited’, </w:t>
      </w:r>
      <w:r w:rsidRPr="0006662F">
        <w:rPr>
          <w:rFonts w:ascii="Calibri" w:hAnsi="Calibri" w:cs="Calibri"/>
          <w:i/>
          <w:iCs/>
          <w:noProof/>
          <w:sz w:val="22"/>
          <w:szCs w:val="24"/>
        </w:rPr>
        <w:t>Journal of Archaeological Method and Theory</w:t>
      </w:r>
      <w:r w:rsidRPr="0006662F">
        <w:rPr>
          <w:rFonts w:ascii="Calibri" w:hAnsi="Calibri" w:cs="Calibri"/>
          <w:noProof/>
          <w:sz w:val="22"/>
          <w:szCs w:val="24"/>
        </w:rPr>
        <w:t>. doi: 10.1007/s10816-010-9080-1.</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Maschner, H. D. G. and Chippindale, C. (2005) </w:t>
      </w:r>
      <w:r w:rsidRPr="0006662F">
        <w:rPr>
          <w:rFonts w:ascii="Calibri" w:hAnsi="Calibri" w:cs="Calibri"/>
          <w:i/>
          <w:iCs/>
          <w:noProof/>
          <w:sz w:val="22"/>
          <w:szCs w:val="24"/>
        </w:rPr>
        <w:t>Handbook of archaeological methods</w:t>
      </w:r>
      <w:r w:rsidRPr="0006662F">
        <w:rPr>
          <w:rFonts w:ascii="Calibri" w:hAnsi="Calibri" w:cs="Calibri"/>
          <w:noProof/>
          <w:sz w:val="22"/>
          <w:szCs w:val="24"/>
        </w:rPr>
        <w:t xml:space="preserve">. AltaMira Press. Available at: https://books.google.no/books?id=HC5fG-I020wC&amp;dq=archaeological+methods&amp;lr=&amp;source=gbs_navlinks_s (Accessed: </w:t>
      </w:r>
      <w:r>
        <w:rPr>
          <w:rFonts w:ascii="Calibri" w:hAnsi="Calibri" w:cs="Calibri"/>
          <w:noProof/>
          <w:szCs w:val="24"/>
        </w:rPr>
        <w:t>18th</w:t>
      </w:r>
      <w:r w:rsidRPr="0006662F">
        <w:rPr>
          <w:rFonts w:ascii="Calibri" w:hAnsi="Calibri" w:cs="Calibri"/>
          <w:noProof/>
          <w:sz w:val="22"/>
          <w:szCs w:val="24"/>
        </w:rPr>
        <w:t xml:space="preserve"> December 2018).</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msu.edu (no date) </w:t>
      </w:r>
      <w:r w:rsidRPr="0006662F">
        <w:rPr>
          <w:rFonts w:ascii="Calibri" w:hAnsi="Calibri" w:cs="Calibri"/>
          <w:i/>
          <w:iCs/>
          <w:noProof/>
          <w:sz w:val="22"/>
          <w:szCs w:val="24"/>
        </w:rPr>
        <w:t>Methods of Archaeology</w:t>
      </w:r>
      <w:r w:rsidRPr="0006662F">
        <w:rPr>
          <w:rFonts w:ascii="Calibri" w:hAnsi="Calibri" w:cs="Calibri"/>
          <w:noProof/>
          <w:sz w:val="22"/>
          <w:szCs w:val="24"/>
        </w:rPr>
        <w:t xml:space="preserve">. Available at: https://msu.edu/~aarondan/methodsofarchaeology.htm (Accessed: </w:t>
      </w:r>
      <w:r>
        <w:rPr>
          <w:rFonts w:ascii="Calibri" w:hAnsi="Calibri" w:cs="Calibri"/>
          <w:noProof/>
          <w:szCs w:val="24"/>
        </w:rPr>
        <w:t>17th</w:t>
      </w:r>
      <w:r w:rsidRPr="0006662F">
        <w:rPr>
          <w:rFonts w:ascii="Calibri" w:hAnsi="Calibri" w:cs="Calibri"/>
          <w:noProof/>
          <w:sz w:val="22"/>
          <w:szCs w:val="24"/>
        </w:rPr>
        <w:t xml:space="preserve"> December 2018).</w:t>
      </w:r>
    </w:p>
    <w:p w:rsidR="00981DB0" w:rsidRDefault="00981DB0" w:rsidP="00981DB0">
      <w:pPr>
        <w:widowControl w:val="0"/>
        <w:autoSpaceDE w:val="0"/>
        <w:autoSpaceDN w:val="0"/>
        <w:adjustRightInd w:val="0"/>
        <w:spacing w:line="240" w:lineRule="auto"/>
        <w:rPr>
          <w:rFonts w:ascii="Calibri" w:hAnsi="Calibri" w:cs="Calibri"/>
          <w:noProof/>
          <w:szCs w:val="24"/>
        </w:rPr>
      </w:pPr>
      <w:r w:rsidRPr="0006662F">
        <w:rPr>
          <w:rFonts w:ascii="Calibri" w:hAnsi="Calibri" w:cs="Calibri"/>
          <w:noProof/>
          <w:sz w:val="22"/>
          <w:szCs w:val="24"/>
        </w:rPr>
        <w:t>Nicholson, E. L. (2015) ‘The Nature of Ancient Greek Historiography and Bias within Polybius ’ Emma Nicholson The Nature of Ancient Greek Historiography and Bias with in Polybius ’ Histories’, (November 2013), pp. 0–6. doi: 10.13140/2.1.5001.4403</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7B6043">
        <w:rPr>
          <w:rFonts w:ascii="Calibri" w:hAnsi="Calibri" w:cs="Calibri"/>
          <w:noProof/>
          <w:sz w:val="22"/>
          <w:szCs w:val="24"/>
        </w:rPr>
        <w:t>Petersen, A. (2018) ‘Encyclopedia of Global Archaeology’. doi: 10.1007/978-3-319-51726-1.</w:t>
      </w:r>
      <w:r w:rsidRPr="0006662F">
        <w:rPr>
          <w:rFonts w:ascii="Calibri" w:hAnsi="Calibri" w:cs="Calibri"/>
          <w:noProof/>
          <w:sz w:val="22"/>
          <w:szCs w:val="24"/>
        </w:rPr>
        <w:t>.</w:t>
      </w:r>
    </w:p>
    <w:p w:rsidR="00981DB0" w:rsidRPr="0006662F" w:rsidRDefault="00981DB0" w:rsidP="00981DB0">
      <w:pPr>
        <w:widowControl w:val="0"/>
        <w:autoSpaceDE w:val="0"/>
        <w:autoSpaceDN w:val="0"/>
        <w:adjustRightInd w:val="0"/>
        <w:spacing w:line="240" w:lineRule="auto"/>
        <w:rPr>
          <w:rFonts w:ascii="Calibri" w:hAnsi="Calibri" w:cs="Calibri"/>
          <w:noProof/>
          <w:sz w:val="22"/>
          <w:szCs w:val="24"/>
        </w:rPr>
      </w:pPr>
      <w:r w:rsidRPr="0006662F">
        <w:rPr>
          <w:rFonts w:ascii="Calibri" w:hAnsi="Calibri" w:cs="Calibri"/>
          <w:noProof/>
          <w:sz w:val="22"/>
          <w:szCs w:val="24"/>
        </w:rPr>
        <w:t xml:space="preserve">Savage, S. H. and Dinsmore, E. S. (1998) ‘Exercises in Archaeological Methods and Techniques by’, </w:t>
      </w:r>
      <w:r w:rsidRPr="0006662F">
        <w:rPr>
          <w:rFonts w:ascii="Calibri" w:hAnsi="Calibri" w:cs="Calibri"/>
          <w:i/>
          <w:iCs/>
          <w:noProof/>
          <w:sz w:val="22"/>
          <w:szCs w:val="24"/>
        </w:rPr>
        <w:t>ReVision</w:t>
      </w:r>
      <w:r w:rsidRPr="0006662F">
        <w:rPr>
          <w:rFonts w:ascii="Calibri" w:hAnsi="Calibri" w:cs="Calibri"/>
          <w:noProof/>
          <w:sz w:val="22"/>
          <w:szCs w:val="24"/>
        </w:rPr>
        <w:t>.</w:t>
      </w:r>
      <w:r>
        <w:rPr>
          <w:rFonts w:ascii="Calibri" w:hAnsi="Calibri" w:cs="Calibri"/>
          <w:noProof/>
          <w:szCs w:val="24"/>
        </w:rPr>
        <w:br/>
      </w:r>
    </w:p>
    <w:p w:rsidR="00981DB0" w:rsidRPr="0006662F" w:rsidRDefault="00981DB0" w:rsidP="00981DB0">
      <w:pPr>
        <w:widowControl w:val="0"/>
        <w:autoSpaceDE w:val="0"/>
        <w:autoSpaceDN w:val="0"/>
        <w:adjustRightInd w:val="0"/>
        <w:spacing w:line="240" w:lineRule="auto"/>
        <w:rPr>
          <w:rFonts w:ascii="Calibri" w:hAnsi="Calibri" w:cs="Calibri"/>
          <w:noProof/>
          <w:sz w:val="22"/>
        </w:rPr>
      </w:pPr>
      <w:r w:rsidRPr="0006662F">
        <w:rPr>
          <w:rFonts w:ascii="Calibri" w:hAnsi="Calibri" w:cs="Calibri"/>
          <w:noProof/>
          <w:sz w:val="22"/>
          <w:szCs w:val="24"/>
        </w:rPr>
        <w:t xml:space="preserve">UTSlibrary (2013) </w:t>
      </w:r>
      <w:r w:rsidRPr="0006662F">
        <w:rPr>
          <w:rFonts w:ascii="Calibri" w:hAnsi="Calibri" w:cs="Calibri"/>
          <w:i/>
          <w:iCs/>
          <w:noProof/>
          <w:sz w:val="22"/>
          <w:szCs w:val="24"/>
        </w:rPr>
        <w:t>Primary Sources: Strengths/Weakness | Guides | UTS Library</w:t>
      </w:r>
      <w:r w:rsidRPr="0006662F">
        <w:rPr>
          <w:rFonts w:ascii="Calibri" w:hAnsi="Calibri" w:cs="Calibri"/>
          <w:noProof/>
          <w:sz w:val="22"/>
          <w:szCs w:val="24"/>
        </w:rPr>
        <w:t xml:space="preserve">. Available at: http://www.lib.uts.edu.au/guides/primary-sources/primary-sources/strengthsweakness (Accessed: </w:t>
      </w:r>
      <w:r>
        <w:rPr>
          <w:rFonts w:ascii="Calibri" w:hAnsi="Calibri" w:cs="Calibri"/>
          <w:noProof/>
          <w:szCs w:val="24"/>
        </w:rPr>
        <w:t>21st</w:t>
      </w:r>
      <w:r w:rsidRPr="0006662F">
        <w:rPr>
          <w:rFonts w:ascii="Calibri" w:hAnsi="Calibri" w:cs="Calibri"/>
          <w:noProof/>
          <w:sz w:val="22"/>
          <w:szCs w:val="24"/>
        </w:rPr>
        <w:t xml:space="preserve"> December 2018).</w:t>
      </w:r>
    </w:p>
    <w:p w:rsidR="00CC5AE1" w:rsidRDefault="00981DB0" w:rsidP="00981DB0">
      <w:pPr>
        <w:widowControl w:val="0"/>
        <w:autoSpaceDE w:val="0"/>
        <w:autoSpaceDN w:val="0"/>
        <w:adjustRightInd w:val="0"/>
        <w:spacing w:line="240" w:lineRule="auto"/>
      </w:pPr>
      <w:r>
        <w:fldChar w:fldCharType="end"/>
      </w:r>
    </w:p>
    <w:p w:rsidR="00981DB0" w:rsidRPr="007B6043" w:rsidRDefault="00981DB0" w:rsidP="00981DB0">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p>
    <w:p w:rsidR="00981DB0" w:rsidRPr="007B6043" w:rsidRDefault="00981DB0" w:rsidP="00981DB0">
      <w:pPr>
        <w:widowControl w:val="0"/>
        <w:autoSpaceDE w:val="0"/>
        <w:autoSpaceDN w:val="0"/>
        <w:adjustRightInd w:val="0"/>
        <w:spacing w:line="240" w:lineRule="auto"/>
        <w:rPr>
          <w:rFonts w:ascii="Calibri" w:hAnsi="Calibri" w:cs="Calibri"/>
          <w:noProof/>
          <w:sz w:val="22"/>
          <w:szCs w:val="24"/>
        </w:rPr>
      </w:pPr>
    </w:p>
    <w:p w:rsidR="007B6043" w:rsidRPr="007B6043" w:rsidRDefault="00981DB0" w:rsidP="00981DB0">
      <w:pPr>
        <w:widowControl w:val="0"/>
        <w:autoSpaceDE w:val="0"/>
        <w:autoSpaceDN w:val="0"/>
        <w:adjustRightInd w:val="0"/>
        <w:spacing w:line="240" w:lineRule="auto"/>
        <w:rPr>
          <w:rFonts w:ascii="Calibri" w:hAnsi="Calibri" w:cs="Calibri"/>
          <w:noProof/>
          <w:sz w:val="22"/>
          <w:szCs w:val="24"/>
        </w:rPr>
      </w:pPr>
      <w:r>
        <w:fldChar w:fldCharType="end"/>
      </w:r>
    </w:p>
    <w:p w:rsidR="00751CB9" w:rsidRDefault="007B6043">
      <w:r>
        <w:fldChar w:fldCharType="end"/>
      </w:r>
    </w:p>
    <w:p w:rsidR="009D6222" w:rsidRDefault="009D6222" w:rsidP="009D6222"/>
    <w:p w:rsidR="00751CB9" w:rsidRDefault="00751CB9"/>
    <w:p w:rsidR="00751CB9" w:rsidRDefault="00751CB9"/>
    <w:sectPr w:rsidR="00751CB9">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2D70" w:rsidRDefault="00322D70" w:rsidP="00B07423">
      <w:pPr>
        <w:spacing w:after="0" w:line="240" w:lineRule="auto"/>
      </w:pPr>
      <w:r>
        <w:separator/>
      </w:r>
    </w:p>
  </w:endnote>
  <w:endnote w:type="continuationSeparator" w:id="0">
    <w:p w:rsidR="00322D70" w:rsidRDefault="00322D70" w:rsidP="00B07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5046757"/>
      <w:docPartObj>
        <w:docPartGallery w:val="Page Numbers (Bottom of Page)"/>
        <w:docPartUnique/>
      </w:docPartObj>
    </w:sdtPr>
    <w:sdtContent>
      <w:p w:rsidR="002052E3" w:rsidRDefault="002052E3">
        <w:pPr>
          <w:pStyle w:val="Bunntekst"/>
          <w:jc w:val="right"/>
        </w:pPr>
        <w:r>
          <w:fldChar w:fldCharType="begin"/>
        </w:r>
        <w:r>
          <w:instrText>PAGE   \* MERGEFORMAT</w:instrText>
        </w:r>
        <w:r>
          <w:fldChar w:fldCharType="separate"/>
        </w:r>
        <w:r>
          <w:rPr>
            <w:lang w:val="nb-NO"/>
          </w:rPr>
          <w:t>2</w:t>
        </w:r>
        <w:r>
          <w:fldChar w:fldCharType="end"/>
        </w:r>
      </w:p>
    </w:sdtContent>
  </w:sdt>
  <w:p w:rsidR="002052E3" w:rsidRDefault="002052E3">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2D70" w:rsidRDefault="00322D70" w:rsidP="00B07423">
      <w:pPr>
        <w:spacing w:after="0" w:line="240" w:lineRule="auto"/>
      </w:pPr>
      <w:r>
        <w:separator/>
      </w:r>
    </w:p>
  </w:footnote>
  <w:footnote w:type="continuationSeparator" w:id="0">
    <w:p w:rsidR="00322D70" w:rsidRDefault="00322D70" w:rsidP="00B07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7284D"/>
    <w:multiLevelType w:val="hybridMultilevel"/>
    <w:tmpl w:val="E7AA157C"/>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 w15:restartNumberingAfterBreak="0">
    <w:nsid w:val="25B01B58"/>
    <w:multiLevelType w:val="hybridMultilevel"/>
    <w:tmpl w:val="8BB88CEC"/>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 w15:restartNumberingAfterBreak="0">
    <w:nsid w:val="291C4CCD"/>
    <w:multiLevelType w:val="hybridMultilevel"/>
    <w:tmpl w:val="278ECA06"/>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3" w15:restartNumberingAfterBreak="0">
    <w:nsid w:val="3D8A296E"/>
    <w:multiLevelType w:val="hybridMultilevel"/>
    <w:tmpl w:val="4D10C0E0"/>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4" w15:restartNumberingAfterBreak="0">
    <w:nsid w:val="473B70F3"/>
    <w:multiLevelType w:val="hybridMultilevel"/>
    <w:tmpl w:val="C6123BC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A5C"/>
    <w:rsid w:val="00007D88"/>
    <w:rsid w:val="0006662F"/>
    <w:rsid w:val="00071228"/>
    <w:rsid w:val="00076BB1"/>
    <w:rsid w:val="00084CEC"/>
    <w:rsid w:val="00095595"/>
    <w:rsid w:val="000A2539"/>
    <w:rsid w:val="00102998"/>
    <w:rsid w:val="001072B5"/>
    <w:rsid w:val="001439CE"/>
    <w:rsid w:val="00151355"/>
    <w:rsid w:val="0016447C"/>
    <w:rsid w:val="001729F8"/>
    <w:rsid w:val="0017354A"/>
    <w:rsid w:val="00183669"/>
    <w:rsid w:val="00184597"/>
    <w:rsid w:val="001910F1"/>
    <w:rsid w:val="001A203E"/>
    <w:rsid w:val="001E1D91"/>
    <w:rsid w:val="001F2885"/>
    <w:rsid w:val="001F725C"/>
    <w:rsid w:val="002052E3"/>
    <w:rsid w:val="002069C6"/>
    <w:rsid w:val="00222978"/>
    <w:rsid w:val="00236E70"/>
    <w:rsid w:val="00247B19"/>
    <w:rsid w:val="00265173"/>
    <w:rsid w:val="00275CC1"/>
    <w:rsid w:val="002856D8"/>
    <w:rsid w:val="0029216E"/>
    <w:rsid w:val="002A1B14"/>
    <w:rsid w:val="002B3A5C"/>
    <w:rsid w:val="002B57E8"/>
    <w:rsid w:val="002C5638"/>
    <w:rsid w:val="002D359F"/>
    <w:rsid w:val="002D44DE"/>
    <w:rsid w:val="002D48FF"/>
    <w:rsid w:val="002D672E"/>
    <w:rsid w:val="002E754F"/>
    <w:rsid w:val="00312F7B"/>
    <w:rsid w:val="00313E09"/>
    <w:rsid w:val="00322D70"/>
    <w:rsid w:val="0032506F"/>
    <w:rsid w:val="003370E2"/>
    <w:rsid w:val="00353898"/>
    <w:rsid w:val="00391F93"/>
    <w:rsid w:val="003A023E"/>
    <w:rsid w:val="003A51BB"/>
    <w:rsid w:val="003D16C5"/>
    <w:rsid w:val="003D2857"/>
    <w:rsid w:val="004102C2"/>
    <w:rsid w:val="00436F04"/>
    <w:rsid w:val="0044618E"/>
    <w:rsid w:val="004600DB"/>
    <w:rsid w:val="00470832"/>
    <w:rsid w:val="0047211A"/>
    <w:rsid w:val="00472F86"/>
    <w:rsid w:val="00492D71"/>
    <w:rsid w:val="004C5E75"/>
    <w:rsid w:val="004F2509"/>
    <w:rsid w:val="005045D3"/>
    <w:rsid w:val="00514E08"/>
    <w:rsid w:val="00526A22"/>
    <w:rsid w:val="005327F0"/>
    <w:rsid w:val="0053747A"/>
    <w:rsid w:val="00574985"/>
    <w:rsid w:val="005758D8"/>
    <w:rsid w:val="005B37BB"/>
    <w:rsid w:val="005E055E"/>
    <w:rsid w:val="006233D7"/>
    <w:rsid w:val="006362BB"/>
    <w:rsid w:val="006703BD"/>
    <w:rsid w:val="00675E93"/>
    <w:rsid w:val="00682D68"/>
    <w:rsid w:val="00682E6B"/>
    <w:rsid w:val="00686C2A"/>
    <w:rsid w:val="006C0764"/>
    <w:rsid w:val="006C280E"/>
    <w:rsid w:val="006D2CDA"/>
    <w:rsid w:val="006D4C8F"/>
    <w:rsid w:val="006E0D30"/>
    <w:rsid w:val="006E5DD4"/>
    <w:rsid w:val="006F5237"/>
    <w:rsid w:val="00702FD7"/>
    <w:rsid w:val="00751CB9"/>
    <w:rsid w:val="00760DCF"/>
    <w:rsid w:val="00772757"/>
    <w:rsid w:val="007A2961"/>
    <w:rsid w:val="007B6043"/>
    <w:rsid w:val="007B777F"/>
    <w:rsid w:val="008016F2"/>
    <w:rsid w:val="00805704"/>
    <w:rsid w:val="00822DDD"/>
    <w:rsid w:val="00833DDC"/>
    <w:rsid w:val="008532A0"/>
    <w:rsid w:val="00860173"/>
    <w:rsid w:val="008649D2"/>
    <w:rsid w:val="00872F8B"/>
    <w:rsid w:val="00897A18"/>
    <w:rsid w:val="008C1D45"/>
    <w:rsid w:val="008C442E"/>
    <w:rsid w:val="008C7483"/>
    <w:rsid w:val="008E08A5"/>
    <w:rsid w:val="008E0BFB"/>
    <w:rsid w:val="008F2665"/>
    <w:rsid w:val="00904399"/>
    <w:rsid w:val="00930C37"/>
    <w:rsid w:val="00966FE3"/>
    <w:rsid w:val="00981DB0"/>
    <w:rsid w:val="00981EB0"/>
    <w:rsid w:val="009B4027"/>
    <w:rsid w:val="009C50A9"/>
    <w:rsid w:val="009D6222"/>
    <w:rsid w:val="009E7D1B"/>
    <w:rsid w:val="00A02DCB"/>
    <w:rsid w:val="00A03525"/>
    <w:rsid w:val="00A17EDB"/>
    <w:rsid w:val="00A36EFB"/>
    <w:rsid w:val="00A46F17"/>
    <w:rsid w:val="00A72721"/>
    <w:rsid w:val="00A77182"/>
    <w:rsid w:val="00AA4183"/>
    <w:rsid w:val="00AB297E"/>
    <w:rsid w:val="00AC592A"/>
    <w:rsid w:val="00B07423"/>
    <w:rsid w:val="00B138C7"/>
    <w:rsid w:val="00B37594"/>
    <w:rsid w:val="00B45E66"/>
    <w:rsid w:val="00B7606B"/>
    <w:rsid w:val="00B7651D"/>
    <w:rsid w:val="00B80AF7"/>
    <w:rsid w:val="00B8435C"/>
    <w:rsid w:val="00B87131"/>
    <w:rsid w:val="00B969B8"/>
    <w:rsid w:val="00BE48DB"/>
    <w:rsid w:val="00BF18B2"/>
    <w:rsid w:val="00C00C46"/>
    <w:rsid w:val="00C03CED"/>
    <w:rsid w:val="00C15C8C"/>
    <w:rsid w:val="00C204A9"/>
    <w:rsid w:val="00C44780"/>
    <w:rsid w:val="00C654C6"/>
    <w:rsid w:val="00C8457A"/>
    <w:rsid w:val="00C94862"/>
    <w:rsid w:val="00C96762"/>
    <w:rsid w:val="00CC5AE1"/>
    <w:rsid w:val="00CD789A"/>
    <w:rsid w:val="00CE59CF"/>
    <w:rsid w:val="00D15526"/>
    <w:rsid w:val="00D15656"/>
    <w:rsid w:val="00D16B35"/>
    <w:rsid w:val="00D52E53"/>
    <w:rsid w:val="00D67AB0"/>
    <w:rsid w:val="00D90AF3"/>
    <w:rsid w:val="00DA3D7A"/>
    <w:rsid w:val="00DB05D4"/>
    <w:rsid w:val="00DB62D1"/>
    <w:rsid w:val="00DF2954"/>
    <w:rsid w:val="00E2387D"/>
    <w:rsid w:val="00E45498"/>
    <w:rsid w:val="00E647CF"/>
    <w:rsid w:val="00E70EF4"/>
    <w:rsid w:val="00E71A18"/>
    <w:rsid w:val="00EA4187"/>
    <w:rsid w:val="00EA4613"/>
    <w:rsid w:val="00EA71E0"/>
    <w:rsid w:val="00EB6E33"/>
    <w:rsid w:val="00EC6181"/>
    <w:rsid w:val="00EE5C6F"/>
    <w:rsid w:val="00EF7A7D"/>
    <w:rsid w:val="00F118BA"/>
    <w:rsid w:val="00F11B82"/>
    <w:rsid w:val="00F2596E"/>
    <w:rsid w:val="00F25EE7"/>
    <w:rsid w:val="00F56AFF"/>
    <w:rsid w:val="00F8175C"/>
    <w:rsid w:val="00F914EA"/>
    <w:rsid w:val="00FA02D6"/>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400F18"/>
  <w15:chartTrackingRefBased/>
  <w15:docId w15:val="{0F808D57-FB82-4984-843D-246F8475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52E3"/>
    <w:pPr>
      <w:spacing w:line="360" w:lineRule="auto"/>
      <w:jc w:val="both"/>
    </w:pPr>
    <w:rPr>
      <w:rFonts w:ascii="Times New Roman" w:hAnsi="Times New Roman"/>
      <w:sz w:val="24"/>
      <w:lang w:val="en-GB"/>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NormalWeb">
    <w:name w:val="Normal (Web)"/>
    <w:basedOn w:val="Normal"/>
    <w:uiPriority w:val="99"/>
    <w:unhideWhenUsed/>
    <w:rsid w:val="002B3A5C"/>
    <w:pPr>
      <w:spacing w:before="100" w:beforeAutospacing="1" w:after="100" w:afterAutospacing="1" w:line="240" w:lineRule="auto"/>
    </w:pPr>
    <w:rPr>
      <w:rFonts w:eastAsia="Times New Roman" w:cs="Times New Roman"/>
      <w:szCs w:val="24"/>
      <w:lang w:val="nb-NO" w:eastAsia="nb-NO"/>
    </w:rPr>
  </w:style>
  <w:style w:type="character" w:customStyle="1" w:styleId="ind">
    <w:name w:val="ind"/>
    <w:basedOn w:val="Standardskriftforavsnitt"/>
    <w:rsid w:val="00751CB9"/>
  </w:style>
  <w:style w:type="character" w:styleId="Hyperkobling">
    <w:name w:val="Hyperlink"/>
    <w:basedOn w:val="Standardskriftforavsnitt"/>
    <w:uiPriority w:val="99"/>
    <w:unhideWhenUsed/>
    <w:rsid w:val="00751CB9"/>
    <w:rPr>
      <w:color w:val="0563C1" w:themeColor="hyperlink"/>
      <w:u w:val="single"/>
    </w:rPr>
  </w:style>
  <w:style w:type="character" w:styleId="Ulstomtale">
    <w:name w:val="Unresolved Mention"/>
    <w:basedOn w:val="Standardskriftforavsnitt"/>
    <w:uiPriority w:val="99"/>
    <w:semiHidden/>
    <w:unhideWhenUsed/>
    <w:rsid w:val="00751CB9"/>
    <w:rPr>
      <w:color w:val="605E5C"/>
      <w:shd w:val="clear" w:color="auto" w:fill="E1DFDD"/>
    </w:rPr>
  </w:style>
  <w:style w:type="paragraph" w:styleId="Listeavsnitt">
    <w:name w:val="List Paragraph"/>
    <w:basedOn w:val="Normal"/>
    <w:uiPriority w:val="34"/>
    <w:qFormat/>
    <w:rsid w:val="00751CB9"/>
    <w:pPr>
      <w:ind w:left="720"/>
      <w:contextualSpacing/>
    </w:pPr>
  </w:style>
  <w:style w:type="character" w:styleId="Fulgthyperkobling">
    <w:name w:val="FollowedHyperlink"/>
    <w:basedOn w:val="Standardskriftforavsnitt"/>
    <w:uiPriority w:val="99"/>
    <w:semiHidden/>
    <w:unhideWhenUsed/>
    <w:rsid w:val="00DF2954"/>
    <w:rPr>
      <w:color w:val="954F72" w:themeColor="followedHyperlink"/>
      <w:u w:val="single"/>
    </w:rPr>
  </w:style>
  <w:style w:type="paragraph" w:styleId="Fotnotetekst">
    <w:name w:val="footnote text"/>
    <w:basedOn w:val="Normal"/>
    <w:link w:val="FotnotetekstTegn"/>
    <w:uiPriority w:val="99"/>
    <w:semiHidden/>
    <w:unhideWhenUsed/>
    <w:rsid w:val="00B07423"/>
    <w:pPr>
      <w:spacing w:after="0" w:line="240" w:lineRule="auto"/>
    </w:pPr>
    <w:rPr>
      <w:sz w:val="20"/>
      <w:szCs w:val="20"/>
    </w:rPr>
  </w:style>
  <w:style w:type="character" w:customStyle="1" w:styleId="FotnotetekstTegn">
    <w:name w:val="Fotnotetekst Tegn"/>
    <w:basedOn w:val="Standardskriftforavsnitt"/>
    <w:link w:val="Fotnotetekst"/>
    <w:uiPriority w:val="99"/>
    <w:semiHidden/>
    <w:rsid w:val="00B07423"/>
    <w:rPr>
      <w:sz w:val="20"/>
      <w:szCs w:val="20"/>
      <w:lang w:val="en-GB"/>
    </w:rPr>
  </w:style>
  <w:style w:type="character" w:styleId="Fotnotereferanse">
    <w:name w:val="footnote reference"/>
    <w:basedOn w:val="Standardskriftforavsnitt"/>
    <w:uiPriority w:val="99"/>
    <w:semiHidden/>
    <w:unhideWhenUsed/>
    <w:rsid w:val="00B07423"/>
    <w:rPr>
      <w:vertAlign w:val="superscript"/>
    </w:rPr>
  </w:style>
  <w:style w:type="paragraph" w:styleId="Sluttnotetekst">
    <w:name w:val="endnote text"/>
    <w:basedOn w:val="Normal"/>
    <w:link w:val="SluttnotetekstTegn"/>
    <w:uiPriority w:val="99"/>
    <w:semiHidden/>
    <w:unhideWhenUsed/>
    <w:rsid w:val="00A02DCB"/>
    <w:pPr>
      <w:spacing w:after="0" w:line="240" w:lineRule="auto"/>
    </w:pPr>
    <w:rPr>
      <w:sz w:val="20"/>
      <w:szCs w:val="20"/>
    </w:rPr>
  </w:style>
  <w:style w:type="character" w:customStyle="1" w:styleId="SluttnotetekstTegn">
    <w:name w:val="Sluttnotetekst Tegn"/>
    <w:basedOn w:val="Standardskriftforavsnitt"/>
    <w:link w:val="Sluttnotetekst"/>
    <w:uiPriority w:val="99"/>
    <w:semiHidden/>
    <w:rsid w:val="00A02DCB"/>
    <w:rPr>
      <w:sz w:val="20"/>
      <w:szCs w:val="20"/>
      <w:lang w:val="en-GB"/>
    </w:rPr>
  </w:style>
  <w:style w:type="character" w:styleId="Sluttnotereferanse">
    <w:name w:val="endnote reference"/>
    <w:basedOn w:val="Standardskriftforavsnitt"/>
    <w:uiPriority w:val="99"/>
    <w:semiHidden/>
    <w:unhideWhenUsed/>
    <w:rsid w:val="00A02DCB"/>
    <w:rPr>
      <w:vertAlign w:val="superscript"/>
    </w:rPr>
  </w:style>
  <w:style w:type="paragraph" w:styleId="Tittel">
    <w:name w:val="Title"/>
    <w:basedOn w:val="Normal"/>
    <w:next w:val="Normal"/>
    <w:link w:val="TittelTegn"/>
    <w:uiPriority w:val="10"/>
    <w:qFormat/>
    <w:rsid w:val="002052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telTegn">
    <w:name w:val="Tittel Tegn"/>
    <w:basedOn w:val="Standardskriftforavsnitt"/>
    <w:link w:val="Tittel"/>
    <w:uiPriority w:val="10"/>
    <w:rsid w:val="002052E3"/>
    <w:rPr>
      <w:rFonts w:asciiTheme="majorHAnsi" w:eastAsiaTheme="majorEastAsia" w:hAnsiTheme="majorHAnsi" w:cstheme="majorBidi"/>
      <w:spacing w:val="-10"/>
      <w:kern w:val="28"/>
      <w:sz w:val="56"/>
      <w:szCs w:val="56"/>
      <w:lang w:val="en-GB"/>
    </w:rPr>
  </w:style>
  <w:style w:type="paragraph" w:styleId="Topptekst">
    <w:name w:val="header"/>
    <w:basedOn w:val="Normal"/>
    <w:link w:val="TopptekstTegn"/>
    <w:uiPriority w:val="99"/>
    <w:unhideWhenUsed/>
    <w:rsid w:val="002052E3"/>
    <w:pPr>
      <w:tabs>
        <w:tab w:val="center" w:pos="4536"/>
        <w:tab w:val="right" w:pos="9072"/>
      </w:tabs>
      <w:spacing w:after="0" w:line="240" w:lineRule="auto"/>
    </w:pPr>
  </w:style>
  <w:style w:type="character" w:customStyle="1" w:styleId="TopptekstTegn">
    <w:name w:val="Topptekst Tegn"/>
    <w:basedOn w:val="Standardskriftforavsnitt"/>
    <w:link w:val="Topptekst"/>
    <w:uiPriority w:val="99"/>
    <w:rsid w:val="002052E3"/>
    <w:rPr>
      <w:rFonts w:ascii="Times New Roman" w:hAnsi="Times New Roman"/>
      <w:sz w:val="24"/>
      <w:lang w:val="en-GB"/>
    </w:rPr>
  </w:style>
  <w:style w:type="paragraph" w:styleId="Bunntekst">
    <w:name w:val="footer"/>
    <w:basedOn w:val="Normal"/>
    <w:link w:val="BunntekstTegn"/>
    <w:uiPriority w:val="99"/>
    <w:unhideWhenUsed/>
    <w:rsid w:val="002052E3"/>
    <w:pPr>
      <w:tabs>
        <w:tab w:val="center" w:pos="4536"/>
        <w:tab w:val="right" w:pos="9072"/>
      </w:tabs>
      <w:spacing w:after="0" w:line="240" w:lineRule="auto"/>
    </w:pPr>
  </w:style>
  <w:style w:type="character" w:customStyle="1" w:styleId="BunntekstTegn">
    <w:name w:val="Bunntekst Tegn"/>
    <w:basedOn w:val="Standardskriftforavsnitt"/>
    <w:link w:val="Bunntekst"/>
    <w:uiPriority w:val="99"/>
    <w:rsid w:val="002052E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15532">
      <w:bodyDiv w:val="1"/>
      <w:marLeft w:val="0"/>
      <w:marRight w:val="0"/>
      <w:marTop w:val="0"/>
      <w:marBottom w:val="0"/>
      <w:divBdr>
        <w:top w:val="none" w:sz="0" w:space="0" w:color="auto"/>
        <w:left w:val="none" w:sz="0" w:space="0" w:color="auto"/>
        <w:bottom w:val="none" w:sz="0" w:space="0" w:color="auto"/>
        <w:right w:val="none" w:sz="0" w:space="0" w:color="auto"/>
      </w:divBdr>
      <w:divsChild>
        <w:div w:id="1711371146">
          <w:marLeft w:val="0"/>
          <w:marRight w:val="0"/>
          <w:marTop w:val="0"/>
          <w:marBottom w:val="0"/>
          <w:divBdr>
            <w:top w:val="none" w:sz="0" w:space="0" w:color="auto"/>
            <w:left w:val="none" w:sz="0" w:space="0" w:color="auto"/>
            <w:bottom w:val="none" w:sz="0" w:space="0" w:color="auto"/>
            <w:right w:val="none" w:sz="0" w:space="0" w:color="auto"/>
          </w:divBdr>
        </w:div>
      </w:divsChild>
    </w:div>
    <w:div w:id="2070152872">
      <w:bodyDiv w:val="1"/>
      <w:marLeft w:val="0"/>
      <w:marRight w:val="0"/>
      <w:marTop w:val="0"/>
      <w:marBottom w:val="0"/>
      <w:divBdr>
        <w:top w:val="none" w:sz="0" w:space="0" w:color="auto"/>
        <w:left w:val="none" w:sz="0" w:space="0" w:color="auto"/>
        <w:bottom w:val="none" w:sz="0" w:space="0" w:color="auto"/>
        <w:right w:val="none" w:sz="0" w:space="0" w:color="auto"/>
      </w:divBdr>
      <w:divsChild>
        <w:div w:id="1760247348">
          <w:marLeft w:val="0"/>
          <w:marRight w:val="0"/>
          <w:marTop w:val="0"/>
          <w:marBottom w:val="0"/>
          <w:divBdr>
            <w:top w:val="none" w:sz="0" w:space="0" w:color="auto"/>
            <w:left w:val="none" w:sz="0" w:space="0" w:color="auto"/>
            <w:bottom w:val="none" w:sz="0" w:space="0" w:color="auto"/>
            <w:right w:val="none" w:sz="0" w:space="0" w:color="auto"/>
          </w:divBdr>
          <w:divsChild>
            <w:div w:id="1980190018">
              <w:marLeft w:val="0"/>
              <w:marRight w:val="0"/>
              <w:marTop w:val="0"/>
              <w:marBottom w:val="0"/>
              <w:divBdr>
                <w:top w:val="none" w:sz="0" w:space="0" w:color="auto"/>
                <w:left w:val="none" w:sz="0" w:space="0" w:color="auto"/>
                <w:bottom w:val="none" w:sz="0" w:space="0" w:color="auto"/>
                <w:right w:val="none" w:sz="0" w:space="0" w:color="auto"/>
              </w:divBdr>
              <w:divsChild>
                <w:div w:id="40534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no/search?tbo=p&amp;tbm=bks&amp;q=inauthor:%22Bruce+McGowan%2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no/search?tbo=p&amp;tbm=bks&amp;q=inauthor:%22Sevket+Pamuk%22" TargetMode="External"/><Relationship Id="rId5" Type="http://schemas.openxmlformats.org/officeDocument/2006/relationships/webSettings" Target="webSettings.xml"/><Relationship Id="rId10" Type="http://schemas.openxmlformats.org/officeDocument/2006/relationships/hyperlink" Target="https://www.google.no/search?tbo=p&amp;tbm=bks&amp;q=inauthor:%22Bruce+McGowan%22" TargetMode="External"/><Relationship Id="rId4" Type="http://schemas.openxmlformats.org/officeDocument/2006/relationships/settings" Target="settings.xml"/><Relationship Id="rId9" Type="http://schemas.openxmlformats.org/officeDocument/2006/relationships/hyperlink" Target="https://www.google.no/search?tbo=p&amp;tbm=bks&amp;q=inauthor:%22Sevket+Pamuk%22" TargetMode="External"/><Relationship Id="rId14" Type="http://schemas.openxmlformats.org/officeDocument/2006/relationships/theme" Target="theme/theme1.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9BFC2-199F-4195-920D-EA21C8033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5110</Words>
  <Characters>27085</Characters>
  <Application>Microsoft Office Word</Application>
  <DocSecurity>0</DocSecurity>
  <Lines>225</Lines>
  <Paragraphs>64</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32131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Havro, Lars Ivar N</dc:creator>
  <cp:keywords/>
  <dc:description/>
  <cp:lastModifiedBy>Havro, Lars Ivar N</cp:lastModifiedBy>
  <cp:revision>2</cp:revision>
  <dcterms:created xsi:type="dcterms:W3CDTF">2018-12-31T22:05:00Z</dcterms:created>
  <dcterms:modified xsi:type="dcterms:W3CDTF">2018-12-31T22:05:00Z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313edb9d-e2ec-38c9-a121-3e3e58e1d13b</vt:lpwstr>
  </property>
  <property fmtid="{D5CDD505-2E9C-101B-9397-08002B2CF9AE}" pid="4" name="Mendeley Citation Style_1">
    <vt:lpwstr>http://www.zotero.org/styles/harvard1</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6th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http://www.zotero.org/styles/harvard1</vt:lpwstr>
  </property>
  <property fmtid="{D5CDD505-2E9C-101B-9397-08002B2CF9AE}" pid="14" name="Mendeley Recent Style Name 4_1">
    <vt:lpwstr>Harvard reference format 1 (deprecated)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http://www.zotero.org/styles/harvard-university-of-the-west-of-england</vt:lpwstr>
  </property>
  <property fmtid="{D5CDD505-2E9C-101B-9397-08002B2CF9AE}" pid="24" name="Mendeley Recent Style Name 9_1">
    <vt:lpwstr>University of the West of England (Bristol) - Harvard</vt:lpwstr>
  </property>
</Properties>
</file>