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F986B" w14:textId="77777777" w:rsidR="00277297" w:rsidRDefault="00277297" w:rsidP="00847D41">
      <w:pPr>
        <w:spacing w:line="360" w:lineRule="auto"/>
        <w:jc w:val="center"/>
        <w:rPr>
          <w:rFonts w:ascii="Times New Roman" w:hAnsi="Times New Roman" w:cs="Times New Roman"/>
          <w:b/>
          <w:sz w:val="48"/>
          <w:szCs w:val="48"/>
        </w:rPr>
      </w:pPr>
      <w:r>
        <w:rPr>
          <w:rFonts w:ascii="Times New Roman" w:hAnsi="Times New Roman" w:cs="Times New Roman"/>
          <w:b/>
          <w:noProof/>
          <w:sz w:val="48"/>
          <w:szCs w:val="48"/>
        </w:rPr>
        <w:drawing>
          <wp:anchor distT="0" distB="0" distL="114300" distR="114300" simplePos="0" relativeHeight="251658240" behindDoc="0" locked="0" layoutInCell="1" allowOverlap="1" wp14:anchorId="6FC41CA3" wp14:editId="518B8B2E">
            <wp:simplePos x="0" y="0"/>
            <wp:positionH relativeFrom="column">
              <wp:posOffset>1676400</wp:posOffset>
            </wp:positionH>
            <wp:positionV relativeFrom="paragraph">
              <wp:posOffset>0</wp:posOffset>
            </wp:positionV>
            <wp:extent cx="2457450" cy="941705"/>
            <wp:effectExtent l="0" t="0" r="0" b="0"/>
            <wp:wrapThrough wrapText="bothSides">
              <wp:wrapPolygon edited="0">
                <wp:start x="0" y="0"/>
                <wp:lineTo x="0" y="20974"/>
                <wp:lineTo x="21433" y="20974"/>
                <wp:lineTo x="2143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 Logo.JPG"/>
                    <pic:cNvPicPr/>
                  </pic:nvPicPr>
                  <pic:blipFill>
                    <a:blip r:embed="rId6">
                      <a:extLst>
                        <a:ext uri="{28A0092B-C50C-407E-A947-70E740481C1C}">
                          <a14:useLocalDpi xmlns:a14="http://schemas.microsoft.com/office/drawing/2010/main" val="0"/>
                        </a:ext>
                      </a:extLst>
                    </a:blip>
                    <a:stretch>
                      <a:fillRect/>
                    </a:stretch>
                  </pic:blipFill>
                  <pic:spPr>
                    <a:xfrm>
                      <a:off x="0" y="0"/>
                      <a:ext cx="2457450" cy="941705"/>
                    </a:xfrm>
                    <a:prstGeom prst="rect">
                      <a:avLst/>
                    </a:prstGeom>
                  </pic:spPr>
                </pic:pic>
              </a:graphicData>
            </a:graphic>
            <wp14:sizeRelH relativeFrom="page">
              <wp14:pctWidth>0</wp14:pctWidth>
            </wp14:sizeRelH>
            <wp14:sizeRelV relativeFrom="page">
              <wp14:pctHeight>0</wp14:pctHeight>
            </wp14:sizeRelV>
          </wp:anchor>
        </w:drawing>
      </w:r>
    </w:p>
    <w:p w14:paraId="6F7733E2" w14:textId="77777777" w:rsidR="00277297" w:rsidRDefault="00277297" w:rsidP="00847D41">
      <w:pPr>
        <w:spacing w:line="360" w:lineRule="auto"/>
        <w:jc w:val="center"/>
        <w:rPr>
          <w:rFonts w:ascii="Times New Roman" w:hAnsi="Times New Roman" w:cs="Times New Roman"/>
          <w:b/>
          <w:sz w:val="48"/>
          <w:szCs w:val="48"/>
        </w:rPr>
      </w:pPr>
    </w:p>
    <w:p w14:paraId="4B0E5E56" w14:textId="77777777" w:rsidR="00277297" w:rsidRDefault="00277297" w:rsidP="00847D41">
      <w:pPr>
        <w:spacing w:line="360" w:lineRule="auto"/>
        <w:jc w:val="center"/>
        <w:rPr>
          <w:rFonts w:ascii="Times New Roman" w:hAnsi="Times New Roman" w:cs="Times New Roman"/>
          <w:b/>
          <w:sz w:val="48"/>
          <w:szCs w:val="48"/>
        </w:rPr>
      </w:pPr>
    </w:p>
    <w:p w14:paraId="0145DF30" w14:textId="4E78D1FB" w:rsidR="00277297" w:rsidRPr="00277297" w:rsidRDefault="00277297" w:rsidP="00847D41">
      <w:pPr>
        <w:spacing w:after="0" w:line="240" w:lineRule="auto"/>
        <w:jc w:val="center"/>
        <w:rPr>
          <w:rFonts w:ascii="Times New Roman" w:hAnsi="Times New Roman" w:cs="Times New Roman"/>
          <w:b/>
          <w:sz w:val="48"/>
          <w:szCs w:val="48"/>
        </w:rPr>
      </w:pPr>
      <w:r w:rsidRPr="00277297">
        <w:rPr>
          <w:rFonts w:ascii="Times New Roman" w:hAnsi="Times New Roman" w:cs="Times New Roman"/>
          <w:b/>
          <w:sz w:val="48"/>
          <w:szCs w:val="48"/>
        </w:rPr>
        <w:t xml:space="preserve">Program: Law </w:t>
      </w:r>
      <w:r w:rsidR="00FB3DA1">
        <w:rPr>
          <w:rFonts w:ascii="Times New Roman" w:hAnsi="Times New Roman" w:cs="Times New Roman"/>
          <w:b/>
          <w:sz w:val="48"/>
          <w:szCs w:val="48"/>
        </w:rPr>
        <w:t>P</w:t>
      </w:r>
      <w:r w:rsidRPr="00277297">
        <w:rPr>
          <w:rFonts w:ascii="Times New Roman" w:hAnsi="Times New Roman" w:cs="Times New Roman"/>
          <w:b/>
          <w:sz w:val="48"/>
          <w:szCs w:val="48"/>
        </w:rPr>
        <w:t>ortfolio</w:t>
      </w:r>
    </w:p>
    <w:p w14:paraId="708FF506" w14:textId="3B1E8A5B" w:rsidR="00277297" w:rsidRPr="00277297" w:rsidRDefault="00277297" w:rsidP="00847D41">
      <w:pPr>
        <w:spacing w:after="0" w:line="240" w:lineRule="auto"/>
        <w:jc w:val="center"/>
        <w:rPr>
          <w:rFonts w:ascii="Times New Roman" w:hAnsi="Times New Roman" w:cs="Times New Roman"/>
          <w:b/>
          <w:sz w:val="32"/>
          <w:szCs w:val="24"/>
        </w:rPr>
      </w:pPr>
      <w:r w:rsidRPr="00277297">
        <w:rPr>
          <w:rFonts w:ascii="Times New Roman" w:hAnsi="Times New Roman" w:cs="Times New Roman"/>
          <w:b/>
          <w:sz w:val="32"/>
          <w:szCs w:val="24"/>
        </w:rPr>
        <w:t xml:space="preserve">Module: Criminal </w:t>
      </w:r>
      <w:r w:rsidR="00FB3DA1">
        <w:rPr>
          <w:rFonts w:ascii="Times New Roman" w:hAnsi="Times New Roman" w:cs="Times New Roman"/>
          <w:b/>
          <w:sz w:val="32"/>
          <w:szCs w:val="24"/>
        </w:rPr>
        <w:t>L</w:t>
      </w:r>
      <w:r w:rsidRPr="00277297">
        <w:rPr>
          <w:rFonts w:ascii="Times New Roman" w:hAnsi="Times New Roman" w:cs="Times New Roman"/>
          <w:b/>
          <w:sz w:val="32"/>
          <w:szCs w:val="24"/>
        </w:rPr>
        <w:t>aw</w:t>
      </w:r>
    </w:p>
    <w:p w14:paraId="5DB7D70C" w14:textId="5007043C" w:rsidR="00277297" w:rsidRPr="00277297" w:rsidRDefault="00277297" w:rsidP="00847D41">
      <w:pPr>
        <w:spacing w:after="0" w:line="240" w:lineRule="auto"/>
        <w:jc w:val="center"/>
        <w:rPr>
          <w:rFonts w:ascii="Times New Roman" w:hAnsi="Times New Roman" w:cs="Times New Roman"/>
          <w:b/>
          <w:sz w:val="32"/>
          <w:szCs w:val="24"/>
        </w:rPr>
      </w:pPr>
      <w:r w:rsidRPr="00277297">
        <w:rPr>
          <w:rFonts w:ascii="Times New Roman" w:hAnsi="Times New Roman" w:cs="Times New Roman"/>
          <w:b/>
          <w:sz w:val="32"/>
          <w:szCs w:val="24"/>
        </w:rPr>
        <w:t xml:space="preserve">Module </w:t>
      </w:r>
      <w:r w:rsidR="00FB3DA1">
        <w:rPr>
          <w:rFonts w:ascii="Times New Roman" w:hAnsi="Times New Roman" w:cs="Times New Roman"/>
          <w:b/>
          <w:sz w:val="32"/>
          <w:szCs w:val="24"/>
        </w:rPr>
        <w:t>C</w:t>
      </w:r>
      <w:r w:rsidRPr="00277297">
        <w:rPr>
          <w:rFonts w:ascii="Times New Roman" w:hAnsi="Times New Roman" w:cs="Times New Roman"/>
          <w:b/>
          <w:sz w:val="32"/>
          <w:szCs w:val="24"/>
        </w:rPr>
        <w:t>ode: BMLW4005/BMPL4009</w:t>
      </w:r>
    </w:p>
    <w:p w14:paraId="70C1D414" w14:textId="5C6E641C" w:rsidR="00277297" w:rsidRDefault="00277297" w:rsidP="00847D41">
      <w:pPr>
        <w:spacing w:after="0" w:line="240" w:lineRule="auto"/>
        <w:rPr>
          <w:rFonts w:ascii="Times New Roman" w:hAnsi="Times New Roman" w:cs="Times New Roman"/>
          <w:b/>
          <w:sz w:val="24"/>
          <w:szCs w:val="24"/>
        </w:rPr>
      </w:pPr>
    </w:p>
    <w:p w14:paraId="12038029" w14:textId="2B584D48" w:rsidR="00FB3DA1" w:rsidRDefault="00FB3DA1" w:rsidP="00847D41">
      <w:pPr>
        <w:spacing w:after="0" w:line="240" w:lineRule="auto"/>
        <w:rPr>
          <w:rFonts w:ascii="Times New Roman" w:hAnsi="Times New Roman" w:cs="Times New Roman"/>
          <w:b/>
          <w:sz w:val="24"/>
          <w:szCs w:val="24"/>
        </w:rPr>
      </w:pPr>
    </w:p>
    <w:p w14:paraId="75999952" w14:textId="209BDAA6" w:rsidR="00FB3DA1" w:rsidRDefault="00FB3DA1" w:rsidP="00847D41">
      <w:pPr>
        <w:spacing w:after="0" w:line="240" w:lineRule="auto"/>
        <w:rPr>
          <w:rFonts w:ascii="Times New Roman" w:hAnsi="Times New Roman" w:cs="Times New Roman"/>
          <w:b/>
          <w:sz w:val="24"/>
          <w:szCs w:val="24"/>
        </w:rPr>
      </w:pPr>
    </w:p>
    <w:p w14:paraId="161FCF86" w14:textId="5D690A84" w:rsidR="00FB3DA1" w:rsidRDefault="00FB3DA1" w:rsidP="00847D41">
      <w:pPr>
        <w:spacing w:after="0" w:line="240" w:lineRule="auto"/>
        <w:rPr>
          <w:rFonts w:ascii="Times New Roman" w:hAnsi="Times New Roman" w:cs="Times New Roman"/>
          <w:b/>
          <w:sz w:val="24"/>
          <w:szCs w:val="24"/>
        </w:rPr>
      </w:pPr>
    </w:p>
    <w:p w14:paraId="21C544B2" w14:textId="27E912DE" w:rsidR="00FB3DA1" w:rsidRDefault="00FB3DA1" w:rsidP="00847D41">
      <w:pPr>
        <w:spacing w:after="0" w:line="240" w:lineRule="auto"/>
        <w:rPr>
          <w:rFonts w:ascii="Times New Roman" w:hAnsi="Times New Roman" w:cs="Times New Roman"/>
          <w:b/>
          <w:sz w:val="24"/>
          <w:szCs w:val="24"/>
        </w:rPr>
      </w:pPr>
    </w:p>
    <w:p w14:paraId="33859CF3" w14:textId="27E2E900" w:rsidR="00FB3DA1" w:rsidRDefault="00FB3DA1" w:rsidP="00847D41">
      <w:pPr>
        <w:spacing w:after="0" w:line="240" w:lineRule="auto"/>
        <w:rPr>
          <w:rFonts w:ascii="Times New Roman" w:hAnsi="Times New Roman" w:cs="Times New Roman"/>
          <w:b/>
          <w:sz w:val="24"/>
          <w:szCs w:val="24"/>
        </w:rPr>
      </w:pPr>
    </w:p>
    <w:p w14:paraId="47116CDB" w14:textId="0289EED2" w:rsidR="00FB3DA1" w:rsidRDefault="00FB3DA1" w:rsidP="00847D41">
      <w:pPr>
        <w:spacing w:after="0" w:line="240" w:lineRule="auto"/>
        <w:rPr>
          <w:rFonts w:ascii="Times New Roman" w:hAnsi="Times New Roman" w:cs="Times New Roman"/>
          <w:b/>
          <w:sz w:val="24"/>
          <w:szCs w:val="24"/>
        </w:rPr>
      </w:pPr>
    </w:p>
    <w:p w14:paraId="009B98ED" w14:textId="6C467D23" w:rsidR="00FB3DA1" w:rsidRDefault="00FB3DA1" w:rsidP="00847D41">
      <w:pPr>
        <w:spacing w:after="0" w:line="240" w:lineRule="auto"/>
        <w:rPr>
          <w:rFonts w:ascii="Times New Roman" w:hAnsi="Times New Roman" w:cs="Times New Roman"/>
          <w:b/>
          <w:sz w:val="24"/>
          <w:szCs w:val="24"/>
        </w:rPr>
      </w:pPr>
    </w:p>
    <w:p w14:paraId="673B8BA9" w14:textId="7269CB67" w:rsidR="00FB3DA1" w:rsidRDefault="00FB3DA1" w:rsidP="00847D41">
      <w:pPr>
        <w:spacing w:after="0" w:line="240" w:lineRule="auto"/>
        <w:rPr>
          <w:rFonts w:ascii="Times New Roman" w:hAnsi="Times New Roman" w:cs="Times New Roman"/>
          <w:b/>
          <w:sz w:val="24"/>
          <w:szCs w:val="24"/>
        </w:rPr>
      </w:pPr>
    </w:p>
    <w:p w14:paraId="5FAD15AB" w14:textId="12488121" w:rsidR="00FB3DA1" w:rsidRDefault="00FB3DA1" w:rsidP="00847D41">
      <w:pPr>
        <w:spacing w:after="0" w:line="240" w:lineRule="auto"/>
        <w:rPr>
          <w:rFonts w:ascii="Times New Roman" w:hAnsi="Times New Roman" w:cs="Times New Roman"/>
          <w:b/>
          <w:sz w:val="24"/>
          <w:szCs w:val="24"/>
        </w:rPr>
      </w:pPr>
    </w:p>
    <w:p w14:paraId="028E7A27" w14:textId="2EF0CF42" w:rsidR="00FB3DA1" w:rsidRDefault="00FB3DA1" w:rsidP="00847D41">
      <w:pPr>
        <w:spacing w:after="0" w:line="240" w:lineRule="auto"/>
        <w:rPr>
          <w:rFonts w:ascii="Times New Roman" w:hAnsi="Times New Roman" w:cs="Times New Roman"/>
          <w:b/>
          <w:sz w:val="24"/>
          <w:szCs w:val="24"/>
        </w:rPr>
      </w:pPr>
    </w:p>
    <w:p w14:paraId="674BED72" w14:textId="66E1106B" w:rsidR="00FB3DA1" w:rsidRDefault="00FB3DA1" w:rsidP="00847D41">
      <w:pPr>
        <w:spacing w:after="0" w:line="240" w:lineRule="auto"/>
        <w:rPr>
          <w:rFonts w:ascii="Times New Roman" w:hAnsi="Times New Roman" w:cs="Times New Roman"/>
          <w:b/>
          <w:sz w:val="24"/>
          <w:szCs w:val="24"/>
        </w:rPr>
      </w:pPr>
    </w:p>
    <w:p w14:paraId="633FC930" w14:textId="21161AFE" w:rsidR="00FB3DA1" w:rsidRDefault="00FB3DA1" w:rsidP="00847D41">
      <w:pPr>
        <w:spacing w:after="0" w:line="240" w:lineRule="auto"/>
        <w:rPr>
          <w:rFonts w:ascii="Times New Roman" w:hAnsi="Times New Roman" w:cs="Times New Roman"/>
          <w:b/>
          <w:sz w:val="24"/>
          <w:szCs w:val="24"/>
        </w:rPr>
      </w:pPr>
    </w:p>
    <w:p w14:paraId="681652F8" w14:textId="77777777" w:rsidR="00FB3DA1" w:rsidRPr="00277297" w:rsidRDefault="00FB3DA1" w:rsidP="00847D41">
      <w:pPr>
        <w:spacing w:after="0" w:line="240" w:lineRule="auto"/>
        <w:rPr>
          <w:rFonts w:ascii="Times New Roman" w:hAnsi="Times New Roman" w:cs="Times New Roman"/>
          <w:b/>
          <w:sz w:val="24"/>
          <w:szCs w:val="24"/>
        </w:rPr>
      </w:pPr>
    </w:p>
    <w:p w14:paraId="56F1F29C" w14:textId="77777777" w:rsidR="00277297" w:rsidRPr="00277297" w:rsidRDefault="00277297" w:rsidP="00847D41">
      <w:pPr>
        <w:spacing w:line="360" w:lineRule="auto"/>
        <w:rPr>
          <w:rFonts w:ascii="Times New Roman" w:hAnsi="Times New Roman" w:cs="Times New Roman"/>
          <w:sz w:val="24"/>
          <w:szCs w:val="24"/>
        </w:rPr>
      </w:pPr>
    </w:p>
    <w:p w14:paraId="67DA8715" w14:textId="6C7FA74D" w:rsidR="00FB3DA1" w:rsidRPr="00FB3DA1" w:rsidRDefault="00FB3DA1" w:rsidP="00FB3DA1">
      <w:pPr>
        <w:pStyle w:val="NoSpacing"/>
        <w:jc w:val="center"/>
        <w:rPr>
          <w:rFonts w:ascii="Times New Roman" w:hAnsi="Times New Roman" w:cs="Times New Roman"/>
          <w:b/>
          <w:bCs/>
          <w:sz w:val="28"/>
          <w:szCs w:val="28"/>
        </w:rPr>
      </w:pPr>
      <w:r w:rsidRPr="00FB3DA1">
        <w:rPr>
          <w:rFonts w:ascii="Times New Roman" w:hAnsi="Times New Roman" w:cs="Times New Roman"/>
          <w:b/>
          <w:bCs/>
          <w:sz w:val="28"/>
          <w:szCs w:val="28"/>
        </w:rPr>
        <w:t>By</w:t>
      </w:r>
    </w:p>
    <w:p w14:paraId="1AF52184" w14:textId="575EB88B" w:rsidR="00277297" w:rsidRPr="00FB3DA1" w:rsidRDefault="00FB3DA1" w:rsidP="00FB3DA1">
      <w:pPr>
        <w:pStyle w:val="NoSpacing"/>
        <w:jc w:val="center"/>
        <w:rPr>
          <w:rFonts w:ascii="Times New Roman" w:hAnsi="Times New Roman" w:cs="Times New Roman"/>
          <w:b/>
          <w:bCs/>
          <w:sz w:val="28"/>
          <w:szCs w:val="28"/>
        </w:rPr>
      </w:pPr>
      <w:r w:rsidRPr="00FB3DA1">
        <w:rPr>
          <w:rFonts w:ascii="Times New Roman" w:hAnsi="Times New Roman" w:cs="Times New Roman"/>
          <w:b/>
          <w:bCs/>
          <w:sz w:val="28"/>
          <w:szCs w:val="28"/>
        </w:rPr>
        <w:t>Mushtak Ahmed Ali</w:t>
      </w:r>
    </w:p>
    <w:p w14:paraId="271FA4AB" w14:textId="08D0179C" w:rsidR="00FB3DA1" w:rsidRPr="00FB3DA1" w:rsidRDefault="00277297" w:rsidP="00FB3DA1">
      <w:pPr>
        <w:pStyle w:val="NoSpacing"/>
        <w:jc w:val="center"/>
        <w:rPr>
          <w:rFonts w:ascii="Times New Roman" w:hAnsi="Times New Roman" w:cs="Times New Roman"/>
          <w:b/>
          <w:bCs/>
          <w:sz w:val="28"/>
          <w:szCs w:val="28"/>
        </w:rPr>
      </w:pPr>
      <w:r w:rsidRPr="00FB3DA1">
        <w:rPr>
          <w:rFonts w:ascii="Times New Roman" w:hAnsi="Times New Roman" w:cs="Times New Roman"/>
          <w:b/>
          <w:bCs/>
          <w:sz w:val="28"/>
          <w:szCs w:val="28"/>
        </w:rPr>
        <w:t>Student ID</w:t>
      </w:r>
      <w:r w:rsidR="00FB3DA1" w:rsidRPr="00FB3DA1">
        <w:rPr>
          <w:rFonts w:ascii="Times New Roman" w:hAnsi="Times New Roman" w:cs="Times New Roman"/>
          <w:b/>
          <w:bCs/>
          <w:sz w:val="28"/>
          <w:szCs w:val="28"/>
        </w:rPr>
        <w:t>: 2131653</w:t>
      </w:r>
    </w:p>
    <w:p w14:paraId="1989C20D" w14:textId="20D16DB3" w:rsidR="00277297" w:rsidRPr="00277297" w:rsidRDefault="00277297" w:rsidP="00FB3DA1">
      <w:pPr>
        <w:spacing w:line="360" w:lineRule="auto"/>
        <w:jc w:val="both"/>
        <w:rPr>
          <w:rFonts w:ascii="Times New Roman" w:hAnsi="Times New Roman" w:cs="Times New Roman"/>
          <w:b/>
          <w:sz w:val="28"/>
          <w:szCs w:val="28"/>
        </w:rPr>
      </w:pPr>
      <w:r w:rsidRPr="00277297">
        <w:rPr>
          <w:rFonts w:ascii="Times New Roman" w:hAnsi="Times New Roman" w:cs="Times New Roman"/>
          <w:b/>
          <w:sz w:val="28"/>
          <w:szCs w:val="28"/>
        </w:rPr>
        <w:br w:type="page"/>
      </w:r>
    </w:p>
    <w:sdt>
      <w:sdtPr>
        <w:rPr>
          <w:rFonts w:asciiTheme="minorHAnsi" w:eastAsiaTheme="minorHAnsi" w:hAnsiTheme="minorHAnsi" w:cstheme="minorBidi"/>
          <w:b w:val="0"/>
          <w:color w:val="auto"/>
          <w:sz w:val="22"/>
          <w:szCs w:val="22"/>
        </w:rPr>
        <w:id w:val="-1722903108"/>
        <w:docPartObj>
          <w:docPartGallery w:val="Table of Contents"/>
          <w:docPartUnique/>
        </w:docPartObj>
      </w:sdtPr>
      <w:sdtEndPr>
        <w:rPr>
          <w:rFonts w:cs="Times New Roman"/>
          <w:bCs/>
          <w:noProof/>
          <w:sz w:val="24"/>
          <w:szCs w:val="24"/>
        </w:rPr>
      </w:sdtEndPr>
      <w:sdtContent>
        <w:p w14:paraId="54E62BE3" w14:textId="77777777" w:rsidR="004E5E6A" w:rsidRDefault="004E5E6A" w:rsidP="00847D41">
          <w:pPr>
            <w:pStyle w:val="TOCHeading"/>
            <w:spacing w:line="360" w:lineRule="auto"/>
          </w:pPr>
          <w:r>
            <w:t>Table of Contents</w:t>
          </w:r>
        </w:p>
        <w:p w14:paraId="1D2E8207" w14:textId="77777777" w:rsidR="00377C44" w:rsidRDefault="004E5E6A" w:rsidP="00847D41">
          <w:pPr>
            <w:pStyle w:val="TOC1"/>
            <w:tabs>
              <w:tab w:val="right" w:leader="dot" w:pos="9350"/>
            </w:tabs>
            <w:spacing w:line="360" w:lineRule="auto"/>
            <w:rPr>
              <w:rFonts w:eastAsiaTheme="minorEastAsia"/>
              <w:noProof/>
            </w:rPr>
          </w:pPr>
          <w:r w:rsidRPr="00D22515">
            <w:rPr>
              <w:rFonts w:ascii="Times New Roman" w:hAnsi="Times New Roman" w:cs="Times New Roman"/>
              <w:b/>
              <w:sz w:val="24"/>
              <w:szCs w:val="24"/>
            </w:rPr>
            <w:fldChar w:fldCharType="begin"/>
          </w:r>
          <w:r w:rsidRPr="00D22515">
            <w:rPr>
              <w:rFonts w:ascii="Times New Roman" w:hAnsi="Times New Roman" w:cs="Times New Roman"/>
              <w:b/>
              <w:sz w:val="24"/>
              <w:szCs w:val="24"/>
            </w:rPr>
            <w:instrText xml:space="preserve"> TOC \o "1-3" \h \z \u </w:instrText>
          </w:r>
          <w:r w:rsidRPr="00D22515">
            <w:rPr>
              <w:rFonts w:ascii="Times New Roman" w:hAnsi="Times New Roman" w:cs="Times New Roman"/>
              <w:b/>
              <w:sz w:val="24"/>
              <w:szCs w:val="24"/>
            </w:rPr>
            <w:fldChar w:fldCharType="separate"/>
          </w:r>
          <w:hyperlink w:anchor="_Toc116941210" w:history="1">
            <w:r w:rsidR="00377C44" w:rsidRPr="00081D3E">
              <w:rPr>
                <w:rStyle w:val="Hyperlink"/>
                <w:noProof/>
              </w:rPr>
              <w:t>Introduction</w:t>
            </w:r>
            <w:r w:rsidR="00377C44">
              <w:rPr>
                <w:noProof/>
                <w:webHidden/>
              </w:rPr>
              <w:tab/>
            </w:r>
            <w:r w:rsidR="00377C44">
              <w:rPr>
                <w:noProof/>
                <w:webHidden/>
              </w:rPr>
              <w:fldChar w:fldCharType="begin"/>
            </w:r>
            <w:r w:rsidR="00377C44">
              <w:rPr>
                <w:noProof/>
                <w:webHidden/>
              </w:rPr>
              <w:instrText xml:space="preserve"> PAGEREF _Toc116941210 \h </w:instrText>
            </w:r>
            <w:r w:rsidR="00377C44">
              <w:rPr>
                <w:noProof/>
                <w:webHidden/>
              </w:rPr>
            </w:r>
            <w:r w:rsidR="00377C44">
              <w:rPr>
                <w:noProof/>
                <w:webHidden/>
              </w:rPr>
              <w:fldChar w:fldCharType="separate"/>
            </w:r>
            <w:r w:rsidR="00377C44">
              <w:rPr>
                <w:noProof/>
                <w:webHidden/>
              </w:rPr>
              <w:t>3</w:t>
            </w:r>
            <w:r w:rsidR="00377C44">
              <w:rPr>
                <w:noProof/>
                <w:webHidden/>
              </w:rPr>
              <w:fldChar w:fldCharType="end"/>
            </w:r>
          </w:hyperlink>
        </w:p>
        <w:p w14:paraId="1C3F02DD" w14:textId="77777777" w:rsidR="00377C44" w:rsidRPr="00FB3DA1" w:rsidRDefault="00000000" w:rsidP="00847D41">
          <w:pPr>
            <w:pStyle w:val="TOC1"/>
            <w:tabs>
              <w:tab w:val="right" w:leader="dot" w:pos="9350"/>
            </w:tabs>
            <w:spacing w:line="360" w:lineRule="auto"/>
            <w:rPr>
              <w:rFonts w:ascii="Times New Roman" w:eastAsiaTheme="minorEastAsia" w:hAnsi="Times New Roman" w:cs="Times New Roman"/>
              <w:noProof/>
              <w:sz w:val="24"/>
              <w:szCs w:val="24"/>
            </w:rPr>
          </w:pPr>
          <w:hyperlink w:anchor="_Toc116941211" w:history="1">
            <w:r w:rsidR="00377C44" w:rsidRPr="00FB3DA1">
              <w:rPr>
                <w:rStyle w:val="Hyperlink"/>
                <w:rFonts w:ascii="Times New Roman" w:hAnsi="Times New Roman" w:cs="Times New Roman"/>
                <w:noProof/>
                <w:sz w:val="24"/>
                <w:szCs w:val="24"/>
              </w:rPr>
              <w:t>Part A</w:t>
            </w:r>
            <w:r w:rsidR="00377C44" w:rsidRPr="00FB3DA1">
              <w:rPr>
                <w:rFonts w:ascii="Times New Roman" w:hAnsi="Times New Roman" w:cs="Times New Roman"/>
                <w:noProof/>
                <w:webHidden/>
                <w:sz w:val="24"/>
                <w:szCs w:val="24"/>
              </w:rPr>
              <w:tab/>
            </w:r>
            <w:r w:rsidR="00377C44" w:rsidRPr="00FB3DA1">
              <w:rPr>
                <w:rFonts w:ascii="Times New Roman" w:hAnsi="Times New Roman" w:cs="Times New Roman"/>
                <w:noProof/>
                <w:webHidden/>
                <w:sz w:val="24"/>
                <w:szCs w:val="24"/>
              </w:rPr>
              <w:fldChar w:fldCharType="begin"/>
            </w:r>
            <w:r w:rsidR="00377C44" w:rsidRPr="00FB3DA1">
              <w:rPr>
                <w:rFonts w:ascii="Times New Roman" w:hAnsi="Times New Roman" w:cs="Times New Roman"/>
                <w:noProof/>
                <w:webHidden/>
                <w:sz w:val="24"/>
                <w:szCs w:val="24"/>
              </w:rPr>
              <w:instrText xml:space="preserve"> PAGEREF _Toc116941211 \h </w:instrText>
            </w:r>
            <w:r w:rsidR="00377C44" w:rsidRPr="00FB3DA1">
              <w:rPr>
                <w:rFonts w:ascii="Times New Roman" w:hAnsi="Times New Roman" w:cs="Times New Roman"/>
                <w:noProof/>
                <w:webHidden/>
                <w:sz w:val="24"/>
                <w:szCs w:val="24"/>
              </w:rPr>
            </w:r>
            <w:r w:rsidR="00377C44" w:rsidRPr="00FB3DA1">
              <w:rPr>
                <w:rFonts w:ascii="Times New Roman" w:hAnsi="Times New Roman" w:cs="Times New Roman"/>
                <w:noProof/>
                <w:webHidden/>
                <w:sz w:val="24"/>
                <w:szCs w:val="24"/>
              </w:rPr>
              <w:fldChar w:fldCharType="separate"/>
            </w:r>
            <w:r w:rsidR="00377C44" w:rsidRPr="00FB3DA1">
              <w:rPr>
                <w:rFonts w:ascii="Times New Roman" w:hAnsi="Times New Roman" w:cs="Times New Roman"/>
                <w:noProof/>
                <w:webHidden/>
                <w:sz w:val="24"/>
                <w:szCs w:val="24"/>
              </w:rPr>
              <w:t>3</w:t>
            </w:r>
            <w:r w:rsidR="00377C44" w:rsidRPr="00FB3DA1">
              <w:rPr>
                <w:rFonts w:ascii="Times New Roman" w:hAnsi="Times New Roman" w:cs="Times New Roman"/>
                <w:noProof/>
                <w:webHidden/>
                <w:sz w:val="24"/>
                <w:szCs w:val="24"/>
              </w:rPr>
              <w:fldChar w:fldCharType="end"/>
            </w:r>
          </w:hyperlink>
        </w:p>
        <w:p w14:paraId="385D943B" w14:textId="77777777" w:rsidR="00377C44" w:rsidRPr="00FB3DA1" w:rsidRDefault="00000000" w:rsidP="00FB3DA1">
          <w:pPr>
            <w:pStyle w:val="TOC2"/>
            <w:tabs>
              <w:tab w:val="right" w:leader="dot" w:pos="9350"/>
            </w:tabs>
            <w:spacing w:line="360" w:lineRule="auto"/>
            <w:ind w:left="0"/>
            <w:rPr>
              <w:rFonts w:ascii="Times New Roman" w:hAnsi="Times New Roman" w:cs="Times New Roman"/>
              <w:noProof/>
              <w:sz w:val="24"/>
              <w:szCs w:val="24"/>
            </w:rPr>
          </w:pPr>
          <w:hyperlink w:anchor="_Toc116941212" w:history="1">
            <w:r w:rsidR="00377C44" w:rsidRPr="00FB3DA1">
              <w:rPr>
                <w:rStyle w:val="Hyperlink"/>
                <w:rFonts w:ascii="Times New Roman" w:hAnsi="Times New Roman" w:cs="Times New Roman"/>
                <w:noProof/>
                <w:sz w:val="24"/>
                <w:szCs w:val="24"/>
              </w:rPr>
              <w:t>Sources of Criminal Law</w:t>
            </w:r>
            <w:r w:rsidR="00377C44" w:rsidRPr="00FB3DA1">
              <w:rPr>
                <w:rFonts w:ascii="Times New Roman" w:hAnsi="Times New Roman" w:cs="Times New Roman"/>
                <w:noProof/>
                <w:webHidden/>
                <w:sz w:val="24"/>
                <w:szCs w:val="24"/>
              </w:rPr>
              <w:tab/>
            </w:r>
            <w:r w:rsidR="00377C44" w:rsidRPr="00FB3DA1">
              <w:rPr>
                <w:rFonts w:ascii="Times New Roman" w:hAnsi="Times New Roman" w:cs="Times New Roman"/>
                <w:noProof/>
                <w:webHidden/>
                <w:sz w:val="24"/>
                <w:szCs w:val="24"/>
              </w:rPr>
              <w:fldChar w:fldCharType="begin"/>
            </w:r>
            <w:r w:rsidR="00377C44" w:rsidRPr="00FB3DA1">
              <w:rPr>
                <w:rFonts w:ascii="Times New Roman" w:hAnsi="Times New Roman" w:cs="Times New Roman"/>
                <w:noProof/>
                <w:webHidden/>
                <w:sz w:val="24"/>
                <w:szCs w:val="24"/>
              </w:rPr>
              <w:instrText xml:space="preserve"> PAGEREF _Toc116941212 \h </w:instrText>
            </w:r>
            <w:r w:rsidR="00377C44" w:rsidRPr="00FB3DA1">
              <w:rPr>
                <w:rFonts w:ascii="Times New Roman" w:hAnsi="Times New Roman" w:cs="Times New Roman"/>
                <w:noProof/>
                <w:webHidden/>
                <w:sz w:val="24"/>
                <w:szCs w:val="24"/>
              </w:rPr>
            </w:r>
            <w:r w:rsidR="00377C44" w:rsidRPr="00FB3DA1">
              <w:rPr>
                <w:rFonts w:ascii="Times New Roman" w:hAnsi="Times New Roman" w:cs="Times New Roman"/>
                <w:noProof/>
                <w:webHidden/>
                <w:sz w:val="24"/>
                <w:szCs w:val="24"/>
              </w:rPr>
              <w:fldChar w:fldCharType="separate"/>
            </w:r>
            <w:r w:rsidR="00377C44" w:rsidRPr="00FB3DA1">
              <w:rPr>
                <w:rFonts w:ascii="Times New Roman" w:hAnsi="Times New Roman" w:cs="Times New Roman"/>
                <w:noProof/>
                <w:webHidden/>
                <w:sz w:val="24"/>
                <w:szCs w:val="24"/>
              </w:rPr>
              <w:t>3</w:t>
            </w:r>
            <w:r w:rsidR="00377C44" w:rsidRPr="00FB3DA1">
              <w:rPr>
                <w:rFonts w:ascii="Times New Roman" w:hAnsi="Times New Roman" w:cs="Times New Roman"/>
                <w:noProof/>
                <w:webHidden/>
                <w:sz w:val="24"/>
                <w:szCs w:val="24"/>
              </w:rPr>
              <w:fldChar w:fldCharType="end"/>
            </w:r>
          </w:hyperlink>
        </w:p>
        <w:p w14:paraId="790C5AE5" w14:textId="77777777" w:rsidR="00377C44" w:rsidRPr="00FB3DA1" w:rsidRDefault="00000000" w:rsidP="00FB3DA1">
          <w:pPr>
            <w:pStyle w:val="TOC2"/>
            <w:tabs>
              <w:tab w:val="right" w:leader="dot" w:pos="9350"/>
            </w:tabs>
            <w:spacing w:line="360" w:lineRule="auto"/>
            <w:ind w:left="0"/>
            <w:rPr>
              <w:rFonts w:ascii="Times New Roman" w:hAnsi="Times New Roman" w:cs="Times New Roman"/>
              <w:noProof/>
              <w:sz w:val="24"/>
              <w:szCs w:val="24"/>
            </w:rPr>
          </w:pPr>
          <w:hyperlink w:anchor="_Toc116941213" w:history="1">
            <w:r w:rsidR="00377C44" w:rsidRPr="00FB3DA1">
              <w:rPr>
                <w:rStyle w:val="Hyperlink"/>
                <w:rFonts w:ascii="Times New Roman" w:hAnsi="Times New Roman" w:cs="Times New Roman"/>
                <w:noProof/>
                <w:sz w:val="24"/>
                <w:szCs w:val="24"/>
              </w:rPr>
              <w:t>Advising Hadley for which offences he could be criminal.</w:t>
            </w:r>
            <w:r w:rsidR="00377C44" w:rsidRPr="00FB3DA1">
              <w:rPr>
                <w:rFonts w:ascii="Times New Roman" w:hAnsi="Times New Roman" w:cs="Times New Roman"/>
                <w:noProof/>
                <w:webHidden/>
                <w:sz w:val="24"/>
                <w:szCs w:val="24"/>
              </w:rPr>
              <w:tab/>
            </w:r>
            <w:r w:rsidR="00377C44" w:rsidRPr="00FB3DA1">
              <w:rPr>
                <w:rFonts w:ascii="Times New Roman" w:hAnsi="Times New Roman" w:cs="Times New Roman"/>
                <w:noProof/>
                <w:webHidden/>
                <w:sz w:val="24"/>
                <w:szCs w:val="24"/>
              </w:rPr>
              <w:fldChar w:fldCharType="begin"/>
            </w:r>
            <w:r w:rsidR="00377C44" w:rsidRPr="00FB3DA1">
              <w:rPr>
                <w:rFonts w:ascii="Times New Roman" w:hAnsi="Times New Roman" w:cs="Times New Roman"/>
                <w:noProof/>
                <w:webHidden/>
                <w:sz w:val="24"/>
                <w:szCs w:val="24"/>
              </w:rPr>
              <w:instrText xml:space="preserve"> PAGEREF _Toc116941213 \h </w:instrText>
            </w:r>
            <w:r w:rsidR="00377C44" w:rsidRPr="00FB3DA1">
              <w:rPr>
                <w:rFonts w:ascii="Times New Roman" w:hAnsi="Times New Roman" w:cs="Times New Roman"/>
                <w:noProof/>
                <w:webHidden/>
                <w:sz w:val="24"/>
                <w:szCs w:val="24"/>
              </w:rPr>
            </w:r>
            <w:r w:rsidR="00377C44" w:rsidRPr="00FB3DA1">
              <w:rPr>
                <w:rFonts w:ascii="Times New Roman" w:hAnsi="Times New Roman" w:cs="Times New Roman"/>
                <w:noProof/>
                <w:webHidden/>
                <w:sz w:val="24"/>
                <w:szCs w:val="24"/>
              </w:rPr>
              <w:fldChar w:fldCharType="separate"/>
            </w:r>
            <w:r w:rsidR="00377C44" w:rsidRPr="00FB3DA1">
              <w:rPr>
                <w:rFonts w:ascii="Times New Roman" w:hAnsi="Times New Roman" w:cs="Times New Roman"/>
                <w:noProof/>
                <w:webHidden/>
                <w:sz w:val="24"/>
                <w:szCs w:val="24"/>
              </w:rPr>
              <w:t>3</w:t>
            </w:r>
            <w:r w:rsidR="00377C44" w:rsidRPr="00FB3DA1">
              <w:rPr>
                <w:rFonts w:ascii="Times New Roman" w:hAnsi="Times New Roman" w:cs="Times New Roman"/>
                <w:noProof/>
                <w:webHidden/>
                <w:sz w:val="24"/>
                <w:szCs w:val="24"/>
              </w:rPr>
              <w:fldChar w:fldCharType="end"/>
            </w:r>
          </w:hyperlink>
        </w:p>
        <w:p w14:paraId="6A07FD9F" w14:textId="77777777" w:rsidR="00377C44" w:rsidRPr="00FB3DA1" w:rsidRDefault="00000000" w:rsidP="00847D41">
          <w:pPr>
            <w:pStyle w:val="TOC1"/>
            <w:tabs>
              <w:tab w:val="right" w:leader="dot" w:pos="9350"/>
            </w:tabs>
            <w:spacing w:line="360" w:lineRule="auto"/>
            <w:rPr>
              <w:rFonts w:ascii="Times New Roman" w:eastAsiaTheme="minorEastAsia" w:hAnsi="Times New Roman" w:cs="Times New Roman"/>
              <w:noProof/>
              <w:sz w:val="24"/>
              <w:szCs w:val="24"/>
            </w:rPr>
          </w:pPr>
          <w:hyperlink w:anchor="_Toc116941214" w:history="1">
            <w:r w:rsidR="00377C44" w:rsidRPr="00FB3DA1">
              <w:rPr>
                <w:rStyle w:val="Hyperlink"/>
                <w:rFonts w:ascii="Times New Roman" w:hAnsi="Times New Roman" w:cs="Times New Roman"/>
                <w:noProof/>
                <w:sz w:val="24"/>
                <w:szCs w:val="24"/>
              </w:rPr>
              <w:t>Part B</w:t>
            </w:r>
            <w:r w:rsidR="00377C44" w:rsidRPr="00FB3DA1">
              <w:rPr>
                <w:rFonts w:ascii="Times New Roman" w:hAnsi="Times New Roman" w:cs="Times New Roman"/>
                <w:noProof/>
                <w:webHidden/>
                <w:sz w:val="24"/>
                <w:szCs w:val="24"/>
              </w:rPr>
              <w:tab/>
            </w:r>
            <w:r w:rsidR="00377C44" w:rsidRPr="00FB3DA1">
              <w:rPr>
                <w:rFonts w:ascii="Times New Roman" w:hAnsi="Times New Roman" w:cs="Times New Roman"/>
                <w:noProof/>
                <w:webHidden/>
                <w:sz w:val="24"/>
                <w:szCs w:val="24"/>
              </w:rPr>
              <w:fldChar w:fldCharType="begin"/>
            </w:r>
            <w:r w:rsidR="00377C44" w:rsidRPr="00FB3DA1">
              <w:rPr>
                <w:rFonts w:ascii="Times New Roman" w:hAnsi="Times New Roman" w:cs="Times New Roman"/>
                <w:noProof/>
                <w:webHidden/>
                <w:sz w:val="24"/>
                <w:szCs w:val="24"/>
              </w:rPr>
              <w:instrText xml:space="preserve"> PAGEREF _Toc116941214 \h </w:instrText>
            </w:r>
            <w:r w:rsidR="00377C44" w:rsidRPr="00FB3DA1">
              <w:rPr>
                <w:rFonts w:ascii="Times New Roman" w:hAnsi="Times New Roman" w:cs="Times New Roman"/>
                <w:noProof/>
                <w:webHidden/>
                <w:sz w:val="24"/>
                <w:szCs w:val="24"/>
              </w:rPr>
            </w:r>
            <w:r w:rsidR="00377C44" w:rsidRPr="00FB3DA1">
              <w:rPr>
                <w:rFonts w:ascii="Times New Roman" w:hAnsi="Times New Roman" w:cs="Times New Roman"/>
                <w:noProof/>
                <w:webHidden/>
                <w:sz w:val="24"/>
                <w:szCs w:val="24"/>
              </w:rPr>
              <w:fldChar w:fldCharType="separate"/>
            </w:r>
            <w:r w:rsidR="00377C44" w:rsidRPr="00FB3DA1">
              <w:rPr>
                <w:rFonts w:ascii="Times New Roman" w:hAnsi="Times New Roman" w:cs="Times New Roman"/>
                <w:noProof/>
                <w:webHidden/>
                <w:sz w:val="24"/>
                <w:szCs w:val="24"/>
              </w:rPr>
              <w:t>4</w:t>
            </w:r>
            <w:r w:rsidR="00377C44" w:rsidRPr="00FB3DA1">
              <w:rPr>
                <w:rFonts w:ascii="Times New Roman" w:hAnsi="Times New Roman" w:cs="Times New Roman"/>
                <w:noProof/>
                <w:webHidden/>
                <w:sz w:val="24"/>
                <w:szCs w:val="24"/>
              </w:rPr>
              <w:fldChar w:fldCharType="end"/>
            </w:r>
          </w:hyperlink>
        </w:p>
        <w:p w14:paraId="4F99B578" w14:textId="77777777" w:rsidR="00377C44" w:rsidRPr="00FB3DA1" w:rsidRDefault="00000000" w:rsidP="00FB3DA1">
          <w:pPr>
            <w:pStyle w:val="TOC2"/>
            <w:tabs>
              <w:tab w:val="right" w:leader="dot" w:pos="9350"/>
            </w:tabs>
            <w:spacing w:line="360" w:lineRule="auto"/>
            <w:ind w:left="0"/>
            <w:rPr>
              <w:rFonts w:ascii="Times New Roman" w:hAnsi="Times New Roman" w:cs="Times New Roman"/>
              <w:noProof/>
              <w:sz w:val="24"/>
              <w:szCs w:val="24"/>
            </w:rPr>
          </w:pPr>
          <w:hyperlink w:anchor="_Toc116941215" w:history="1">
            <w:r w:rsidR="00377C44" w:rsidRPr="00FB3DA1">
              <w:rPr>
                <w:rStyle w:val="Hyperlink"/>
                <w:rFonts w:ascii="Times New Roman" w:hAnsi="Times New Roman" w:cs="Times New Roman"/>
                <w:noProof/>
                <w:sz w:val="24"/>
                <w:szCs w:val="24"/>
              </w:rPr>
              <w:t>Sources of the Offenses against the Person Act 1861</w:t>
            </w:r>
            <w:r w:rsidR="00377C44" w:rsidRPr="00FB3DA1">
              <w:rPr>
                <w:rFonts w:ascii="Times New Roman" w:hAnsi="Times New Roman" w:cs="Times New Roman"/>
                <w:noProof/>
                <w:webHidden/>
                <w:sz w:val="24"/>
                <w:szCs w:val="24"/>
              </w:rPr>
              <w:tab/>
            </w:r>
            <w:r w:rsidR="00377C44" w:rsidRPr="00FB3DA1">
              <w:rPr>
                <w:rFonts w:ascii="Times New Roman" w:hAnsi="Times New Roman" w:cs="Times New Roman"/>
                <w:noProof/>
                <w:webHidden/>
                <w:sz w:val="24"/>
                <w:szCs w:val="24"/>
              </w:rPr>
              <w:fldChar w:fldCharType="begin"/>
            </w:r>
            <w:r w:rsidR="00377C44" w:rsidRPr="00FB3DA1">
              <w:rPr>
                <w:rFonts w:ascii="Times New Roman" w:hAnsi="Times New Roman" w:cs="Times New Roman"/>
                <w:noProof/>
                <w:webHidden/>
                <w:sz w:val="24"/>
                <w:szCs w:val="24"/>
              </w:rPr>
              <w:instrText xml:space="preserve"> PAGEREF _Toc116941215 \h </w:instrText>
            </w:r>
            <w:r w:rsidR="00377C44" w:rsidRPr="00FB3DA1">
              <w:rPr>
                <w:rFonts w:ascii="Times New Roman" w:hAnsi="Times New Roman" w:cs="Times New Roman"/>
                <w:noProof/>
                <w:webHidden/>
                <w:sz w:val="24"/>
                <w:szCs w:val="24"/>
              </w:rPr>
            </w:r>
            <w:r w:rsidR="00377C44" w:rsidRPr="00FB3DA1">
              <w:rPr>
                <w:rFonts w:ascii="Times New Roman" w:hAnsi="Times New Roman" w:cs="Times New Roman"/>
                <w:noProof/>
                <w:webHidden/>
                <w:sz w:val="24"/>
                <w:szCs w:val="24"/>
              </w:rPr>
              <w:fldChar w:fldCharType="separate"/>
            </w:r>
            <w:r w:rsidR="00377C44" w:rsidRPr="00FB3DA1">
              <w:rPr>
                <w:rFonts w:ascii="Times New Roman" w:hAnsi="Times New Roman" w:cs="Times New Roman"/>
                <w:noProof/>
                <w:webHidden/>
                <w:sz w:val="24"/>
                <w:szCs w:val="24"/>
              </w:rPr>
              <w:t>4</w:t>
            </w:r>
            <w:r w:rsidR="00377C44" w:rsidRPr="00FB3DA1">
              <w:rPr>
                <w:rFonts w:ascii="Times New Roman" w:hAnsi="Times New Roman" w:cs="Times New Roman"/>
                <w:noProof/>
                <w:webHidden/>
                <w:sz w:val="24"/>
                <w:szCs w:val="24"/>
              </w:rPr>
              <w:fldChar w:fldCharType="end"/>
            </w:r>
          </w:hyperlink>
        </w:p>
        <w:p w14:paraId="56D3AE55" w14:textId="77777777" w:rsidR="00377C44" w:rsidRPr="00FB3DA1" w:rsidRDefault="00000000" w:rsidP="00FB3DA1">
          <w:pPr>
            <w:pStyle w:val="TOC2"/>
            <w:tabs>
              <w:tab w:val="right" w:leader="dot" w:pos="9350"/>
            </w:tabs>
            <w:spacing w:line="360" w:lineRule="auto"/>
            <w:ind w:left="0"/>
            <w:rPr>
              <w:rFonts w:ascii="Times New Roman" w:hAnsi="Times New Roman" w:cs="Times New Roman"/>
              <w:noProof/>
              <w:sz w:val="24"/>
              <w:szCs w:val="24"/>
            </w:rPr>
          </w:pPr>
          <w:hyperlink w:anchor="_Toc116941216" w:history="1">
            <w:r w:rsidR="00377C44" w:rsidRPr="00FB3DA1">
              <w:rPr>
                <w:rStyle w:val="Hyperlink"/>
                <w:rFonts w:ascii="Times New Roman" w:hAnsi="Times New Roman" w:cs="Times New Roman"/>
                <w:noProof/>
                <w:sz w:val="24"/>
                <w:szCs w:val="24"/>
              </w:rPr>
              <w:t>Advising Freya for under s.47 Offences against the Person Act 1861, whether she would be able to rely on the defenses of intoxication and automatism.</w:t>
            </w:r>
            <w:r w:rsidR="00377C44" w:rsidRPr="00FB3DA1">
              <w:rPr>
                <w:rFonts w:ascii="Times New Roman" w:hAnsi="Times New Roman" w:cs="Times New Roman"/>
                <w:noProof/>
                <w:webHidden/>
                <w:sz w:val="24"/>
                <w:szCs w:val="24"/>
              </w:rPr>
              <w:tab/>
            </w:r>
            <w:r w:rsidR="00377C44" w:rsidRPr="00FB3DA1">
              <w:rPr>
                <w:rFonts w:ascii="Times New Roman" w:hAnsi="Times New Roman" w:cs="Times New Roman"/>
                <w:noProof/>
                <w:webHidden/>
                <w:sz w:val="24"/>
                <w:szCs w:val="24"/>
              </w:rPr>
              <w:fldChar w:fldCharType="begin"/>
            </w:r>
            <w:r w:rsidR="00377C44" w:rsidRPr="00FB3DA1">
              <w:rPr>
                <w:rFonts w:ascii="Times New Roman" w:hAnsi="Times New Roman" w:cs="Times New Roman"/>
                <w:noProof/>
                <w:webHidden/>
                <w:sz w:val="24"/>
                <w:szCs w:val="24"/>
              </w:rPr>
              <w:instrText xml:space="preserve"> PAGEREF _Toc116941216 \h </w:instrText>
            </w:r>
            <w:r w:rsidR="00377C44" w:rsidRPr="00FB3DA1">
              <w:rPr>
                <w:rFonts w:ascii="Times New Roman" w:hAnsi="Times New Roman" w:cs="Times New Roman"/>
                <w:noProof/>
                <w:webHidden/>
                <w:sz w:val="24"/>
                <w:szCs w:val="24"/>
              </w:rPr>
            </w:r>
            <w:r w:rsidR="00377C44" w:rsidRPr="00FB3DA1">
              <w:rPr>
                <w:rFonts w:ascii="Times New Roman" w:hAnsi="Times New Roman" w:cs="Times New Roman"/>
                <w:noProof/>
                <w:webHidden/>
                <w:sz w:val="24"/>
                <w:szCs w:val="24"/>
              </w:rPr>
              <w:fldChar w:fldCharType="separate"/>
            </w:r>
            <w:r w:rsidR="00377C44" w:rsidRPr="00FB3DA1">
              <w:rPr>
                <w:rFonts w:ascii="Times New Roman" w:hAnsi="Times New Roman" w:cs="Times New Roman"/>
                <w:noProof/>
                <w:webHidden/>
                <w:sz w:val="24"/>
                <w:szCs w:val="24"/>
              </w:rPr>
              <w:t>4</w:t>
            </w:r>
            <w:r w:rsidR="00377C44" w:rsidRPr="00FB3DA1">
              <w:rPr>
                <w:rFonts w:ascii="Times New Roman" w:hAnsi="Times New Roman" w:cs="Times New Roman"/>
                <w:noProof/>
                <w:webHidden/>
                <w:sz w:val="24"/>
                <w:szCs w:val="24"/>
              </w:rPr>
              <w:fldChar w:fldCharType="end"/>
            </w:r>
          </w:hyperlink>
        </w:p>
        <w:p w14:paraId="11D3E8BF" w14:textId="77777777" w:rsidR="004E5E6A" w:rsidRPr="00D22515" w:rsidRDefault="004E5E6A" w:rsidP="00847D41">
          <w:pPr>
            <w:spacing w:line="360" w:lineRule="auto"/>
            <w:rPr>
              <w:rFonts w:ascii="Times New Roman" w:hAnsi="Times New Roman" w:cs="Times New Roman"/>
              <w:b/>
              <w:sz w:val="24"/>
              <w:szCs w:val="24"/>
            </w:rPr>
          </w:pPr>
          <w:r w:rsidRPr="00D22515">
            <w:rPr>
              <w:rFonts w:ascii="Times New Roman" w:hAnsi="Times New Roman" w:cs="Times New Roman"/>
              <w:b/>
              <w:bCs/>
              <w:noProof/>
              <w:sz w:val="24"/>
              <w:szCs w:val="24"/>
            </w:rPr>
            <w:fldChar w:fldCharType="end"/>
          </w:r>
        </w:p>
      </w:sdtContent>
    </w:sdt>
    <w:p w14:paraId="09949027" w14:textId="77777777" w:rsidR="004E5E6A" w:rsidRDefault="004E5E6A" w:rsidP="00847D41">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236AD474" w14:textId="77777777" w:rsidR="00AF13BD" w:rsidRDefault="004E5E6A" w:rsidP="00847D41">
      <w:pPr>
        <w:pStyle w:val="Heading1"/>
        <w:spacing w:line="360" w:lineRule="auto"/>
      </w:pPr>
      <w:bookmarkStart w:id="0" w:name="_Toc116941210"/>
      <w:r>
        <w:lastRenderedPageBreak/>
        <w:t>Introduction</w:t>
      </w:r>
      <w:bookmarkEnd w:id="0"/>
    </w:p>
    <w:p w14:paraId="54652707" w14:textId="77777777" w:rsidR="001F02D2" w:rsidRDefault="00F5279A" w:rsidP="00847D41">
      <w:pPr>
        <w:spacing w:line="360" w:lineRule="auto"/>
        <w:jc w:val="both"/>
        <w:rPr>
          <w:rFonts w:ascii="Times New Roman" w:hAnsi="Times New Roman" w:cs="Times New Roman"/>
        </w:rPr>
      </w:pPr>
      <w:r w:rsidRPr="00F5279A">
        <w:rPr>
          <w:rFonts w:ascii="Times New Roman" w:hAnsi="Times New Roman" w:cs="Times New Roman"/>
        </w:rPr>
        <w:t>The given report is a case study analysis based on a criminal law report on a law portfolio. This report is mainly divided into two parts where two separate cases will be discussed</w:t>
      </w:r>
      <w:r w:rsidR="003B4DC0">
        <w:rPr>
          <w:rFonts w:ascii="Times New Roman" w:hAnsi="Times New Roman" w:cs="Times New Roman"/>
        </w:rPr>
        <w:t xml:space="preserve"> (</w:t>
      </w:r>
      <w:r w:rsidR="003B4DC0" w:rsidRPr="006F6D55">
        <w:rPr>
          <w:rFonts w:ascii="Times New Roman" w:hAnsi="Times New Roman" w:cs="Times New Roman"/>
          <w:color w:val="222222"/>
          <w:sz w:val="24"/>
          <w:szCs w:val="24"/>
          <w:shd w:val="clear" w:color="auto" w:fill="FFFFFF"/>
        </w:rPr>
        <w:t>Teguia</w:t>
      </w:r>
      <w:r w:rsidR="003B4DC0">
        <w:rPr>
          <w:rFonts w:ascii="Times New Roman" w:hAnsi="Times New Roman" w:cs="Times New Roman"/>
          <w:color w:val="222222"/>
          <w:sz w:val="24"/>
          <w:szCs w:val="24"/>
          <w:shd w:val="clear" w:color="auto" w:fill="FFFFFF"/>
        </w:rPr>
        <w:t>, 2017</w:t>
      </w:r>
      <w:r w:rsidR="003B4DC0">
        <w:rPr>
          <w:rFonts w:ascii="Times New Roman" w:hAnsi="Times New Roman" w:cs="Times New Roman"/>
        </w:rPr>
        <w:t>)</w:t>
      </w:r>
      <w:r w:rsidRPr="00F5279A">
        <w:rPr>
          <w:rFonts w:ascii="Times New Roman" w:hAnsi="Times New Roman" w:cs="Times New Roman"/>
        </w:rPr>
        <w:t>. First, in this part, accused Hadley destroyed property by the fire while committing a burglary offense. This part will outline Hadley's statement of counsel under the Criminal Law Act. In Part B, Freya and her friend Nicky drink too much gin and party. Freya is then accused of unintentionally hitting her friend Mike after suffering from what was previously thought to be epilepsy. In this part, Shreya will be presented with a suggestive statement about his crime</w:t>
      </w:r>
      <w:r w:rsidR="00AE3CCE">
        <w:rPr>
          <w:rFonts w:ascii="Times New Roman" w:hAnsi="Times New Roman" w:cs="Times New Roman"/>
        </w:rPr>
        <w:t xml:space="preserve"> (</w:t>
      </w:r>
      <w:r w:rsidR="00AE3CCE" w:rsidRPr="006F6D55">
        <w:rPr>
          <w:rFonts w:ascii="Times New Roman" w:hAnsi="Times New Roman" w:cs="Times New Roman"/>
          <w:color w:val="222222"/>
          <w:sz w:val="24"/>
          <w:szCs w:val="24"/>
          <w:shd w:val="clear" w:color="auto" w:fill="FFFFFF"/>
        </w:rPr>
        <w:t>Hall,</w:t>
      </w:r>
      <w:r w:rsidR="00AE3CCE">
        <w:rPr>
          <w:rFonts w:ascii="Times New Roman" w:hAnsi="Times New Roman" w:cs="Times New Roman"/>
          <w:color w:val="222222"/>
          <w:sz w:val="24"/>
          <w:szCs w:val="24"/>
          <w:shd w:val="clear" w:color="auto" w:fill="FFFFFF"/>
        </w:rPr>
        <w:t xml:space="preserve"> 2022</w:t>
      </w:r>
      <w:r w:rsidR="00AE3CCE">
        <w:rPr>
          <w:rFonts w:ascii="Times New Roman" w:hAnsi="Times New Roman" w:cs="Times New Roman"/>
        </w:rPr>
        <w:t>)</w:t>
      </w:r>
      <w:r w:rsidRPr="00F5279A">
        <w:rPr>
          <w:rFonts w:ascii="Times New Roman" w:hAnsi="Times New Roman" w:cs="Times New Roman"/>
        </w:rPr>
        <w:t>. This report will help the students to understand, learn, apply and evaluate some important topics of criminal law. The content of the module guide will play a supporting role in students' acquisition of ideas and knowledge about criminal law.</w:t>
      </w:r>
    </w:p>
    <w:p w14:paraId="47971CEC" w14:textId="77777777" w:rsidR="0035327C" w:rsidRDefault="0035327C" w:rsidP="00847D41">
      <w:pPr>
        <w:pStyle w:val="Heading1"/>
        <w:spacing w:line="360" w:lineRule="auto"/>
        <w:jc w:val="both"/>
      </w:pPr>
      <w:bookmarkStart w:id="1" w:name="_Toc116941211"/>
      <w:r>
        <w:t>Part A</w:t>
      </w:r>
      <w:bookmarkEnd w:id="1"/>
    </w:p>
    <w:p w14:paraId="0B3D5A5C" w14:textId="77777777" w:rsidR="00377C44" w:rsidRPr="00362C74" w:rsidRDefault="00377C44" w:rsidP="00847D41">
      <w:pPr>
        <w:pStyle w:val="Heading2"/>
        <w:spacing w:line="360" w:lineRule="auto"/>
      </w:pPr>
      <w:bookmarkStart w:id="2" w:name="_Toc116941212"/>
      <w:r w:rsidRPr="008F66FB">
        <w:t>Sources of Criminal Law</w:t>
      </w:r>
      <w:bookmarkEnd w:id="2"/>
      <w:r w:rsidRPr="00362C74">
        <w:t xml:space="preserve"> </w:t>
      </w:r>
    </w:p>
    <w:p w14:paraId="4BC03FFB" w14:textId="77777777" w:rsidR="00377C44" w:rsidRPr="008F66FB" w:rsidRDefault="00377C44" w:rsidP="00847D41">
      <w:pPr>
        <w:spacing w:line="360" w:lineRule="auto"/>
        <w:jc w:val="both"/>
        <w:rPr>
          <w:rFonts w:ascii="Times New Roman" w:hAnsi="Times New Roman" w:cs="Times New Roman"/>
        </w:rPr>
      </w:pPr>
      <w:r w:rsidRPr="008F66FB">
        <w:rPr>
          <w:rFonts w:ascii="Times New Roman" w:hAnsi="Times New Roman" w:cs="Times New Roman"/>
        </w:rPr>
        <w:t>Criminal law is a type of common law that is made by judges. Common law includes some significant crimes like murder and manslaughter. Most criminal offenses are now dealt with by statute. These types of offenses may be statutory or included under common law statutes such as theft and other related violent offences. But in the latter cases such offenses will not be cognizable as common law</w:t>
      </w:r>
      <w:r w:rsidR="00640AE9">
        <w:rPr>
          <w:rFonts w:ascii="Times New Roman" w:hAnsi="Times New Roman" w:cs="Times New Roman"/>
        </w:rPr>
        <w:t xml:space="preserve"> (</w:t>
      </w:r>
      <w:proofErr w:type="spellStart"/>
      <w:r w:rsidR="00640AE9" w:rsidRPr="006F6D55">
        <w:rPr>
          <w:rFonts w:ascii="Times New Roman" w:hAnsi="Times New Roman" w:cs="Times New Roman"/>
          <w:color w:val="222222"/>
          <w:sz w:val="24"/>
          <w:szCs w:val="24"/>
          <w:shd w:val="clear" w:color="auto" w:fill="FFFFFF"/>
        </w:rPr>
        <w:t>Rusanov</w:t>
      </w:r>
      <w:proofErr w:type="spellEnd"/>
      <w:r w:rsidR="00640AE9">
        <w:rPr>
          <w:rFonts w:ascii="Times New Roman" w:hAnsi="Times New Roman" w:cs="Times New Roman"/>
          <w:color w:val="222222"/>
          <w:sz w:val="24"/>
          <w:szCs w:val="24"/>
          <w:shd w:val="clear" w:color="auto" w:fill="FFFFFF"/>
        </w:rPr>
        <w:t>, 2019</w:t>
      </w:r>
      <w:r w:rsidR="00640AE9">
        <w:rPr>
          <w:rFonts w:ascii="Times New Roman" w:hAnsi="Times New Roman" w:cs="Times New Roman"/>
        </w:rPr>
        <w:t>)</w:t>
      </w:r>
      <w:r w:rsidRPr="008F66FB">
        <w:rPr>
          <w:rFonts w:ascii="Times New Roman" w:hAnsi="Times New Roman" w:cs="Times New Roman"/>
        </w:rPr>
        <w:t>. This would open up the common law to play an important role. For example in England an indictable offense is a statutory offense but the full scope of the offense is a matter for the discretion of the judge.</w:t>
      </w:r>
    </w:p>
    <w:p w14:paraId="296361BE" w14:textId="77777777" w:rsidR="00377C44" w:rsidRDefault="00377C44" w:rsidP="00847D41">
      <w:pPr>
        <w:spacing w:line="360" w:lineRule="auto"/>
        <w:jc w:val="both"/>
        <w:rPr>
          <w:rFonts w:ascii="Times New Roman" w:hAnsi="Times New Roman" w:cs="Times New Roman"/>
        </w:rPr>
      </w:pPr>
      <w:r w:rsidRPr="008F66FB">
        <w:rPr>
          <w:rFonts w:ascii="Times New Roman" w:hAnsi="Times New Roman" w:cs="Times New Roman"/>
        </w:rPr>
        <w:t>European law and the European Convention on Human Rights are other key sources of criminal law. As inconsistent with the Convention, some aspects of domestic law are left untouched. The UK courts are the current important source of criminal law.</w:t>
      </w:r>
    </w:p>
    <w:p w14:paraId="64A97C87" w14:textId="77777777" w:rsidR="0035327C" w:rsidRDefault="007575C8" w:rsidP="00847D41">
      <w:pPr>
        <w:pStyle w:val="Heading2"/>
        <w:spacing w:line="360" w:lineRule="auto"/>
      </w:pPr>
      <w:bookmarkStart w:id="3" w:name="_Toc116941213"/>
      <w:r w:rsidRPr="007575C8">
        <w:t>Advising Hadley for which offences he could be criminal.</w:t>
      </w:r>
      <w:bookmarkEnd w:id="3"/>
    </w:p>
    <w:p w14:paraId="551B4452" w14:textId="77777777" w:rsidR="00B33C2A" w:rsidRPr="00B33C2A" w:rsidRDefault="00B33C2A" w:rsidP="00847D41">
      <w:pPr>
        <w:spacing w:line="360" w:lineRule="auto"/>
        <w:jc w:val="both"/>
        <w:rPr>
          <w:rFonts w:ascii="Times New Roman" w:hAnsi="Times New Roman" w:cs="Times New Roman"/>
          <w:sz w:val="24"/>
          <w:szCs w:val="24"/>
        </w:rPr>
      </w:pPr>
      <w:r w:rsidRPr="00B33C2A">
        <w:rPr>
          <w:rFonts w:ascii="Times New Roman" w:hAnsi="Times New Roman" w:cs="Times New Roman"/>
          <w:sz w:val="24"/>
          <w:szCs w:val="24"/>
        </w:rPr>
        <w:t xml:space="preserve">Handley is the accused criminal in the given case study. He went to Ronan's house intending to steal </w:t>
      </w:r>
      <w:r w:rsidR="009A38D8" w:rsidRPr="00B33C2A">
        <w:rPr>
          <w:rFonts w:ascii="Times New Roman" w:hAnsi="Times New Roman" w:cs="Times New Roman"/>
          <w:sz w:val="24"/>
          <w:szCs w:val="24"/>
        </w:rPr>
        <w:t>''</w:t>
      </w:r>
      <w:r w:rsidRPr="00B33C2A">
        <w:rPr>
          <w:rFonts w:ascii="Times New Roman" w:hAnsi="Times New Roman" w:cs="Times New Roman"/>
          <w:sz w:val="24"/>
          <w:szCs w:val="24"/>
        </w:rPr>
        <w:t xml:space="preserve">Bucci'' but failed to find ``Bucci'' but stole a </w:t>
      </w:r>
      <w:r w:rsidR="009A38D8" w:rsidRPr="00B33C2A">
        <w:rPr>
          <w:rFonts w:ascii="Times New Roman" w:hAnsi="Times New Roman" w:cs="Times New Roman"/>
          <w:sz w:val="24"/>
          <w:szCs w:val="24"/>
        </w:rPr>
        <w:t>''</w:t>
      </w:r>
      <w:r w:rsidRPr="00B33C2A">
        <w:rPr>
          <w:rFonts w:ascii="Times New Roman" w:hAnsi="Times New Roman" w:cs="Times New Roman"/>
          <w:sz w:val="24"/>
          <w:szCs w:val="24"/>
        </w:rPr>
        <w:t>Kolex'' watch and at the same time destroyed property by pouring aftershave into a dressing room bin and setting fire to it to destroy evidence, which is regulated by the Criminal Code of Wales, England.</w:t>
      </w:r>
    </w:p>
    <w:p w14:paraId="1218F29B" w14:textId="77777777" w:rsidR="00B33C2A" w:rsidRPr="00B33C2A" w:rsidRDefault="00B33C2A" w:rsidP="00847D41">
      <w:pPr>
        <w:spacing w:line="360" w:lineRule="auto"/>
        <w:jc w:val="both"/>
        <w:rPr>
          <w:rFonts w:ascii="Times New Roman" w:hAnsi="Times New Roman" w:cs="Times New Roman"/>
          <w:sz w:val="24"/>
          <w:szCs w:val="24"/>
        </w:rPr>
      </w:pPr>
      <w:r w:rsidRPr="00B33C2A">
        <w:rPr>
          <w:rFonts w:ascii="Times New Roman" w:hAnsi="Times New Roman" w:cs="Times New Roman"/>
          <w:sz w:val="24"/>
          <w:szCs w:val="24"/>
        </w:rPr>
        <w:t>Theft is defined in English law by section 1 TA 1968. The law states that the taking of someone's property by dishonest means or with intent to permanently deprive the owner is theft. Section 2 TA 1968 deals with theft in more detail</w:t>
      </w:r>
      <w:r w:rsidR="00D950CE">
        <w:rPr>
          <w:rFonts w:ascii="Times New Roman" w:hAnsi="Times New Roman" w:cs="Times New Roman"/>
          <w:sz w:val="24"/>
          <w:szCs w:val="24"/>
        </w:rPr>
        <w:t xml:space="preserve"> (</w:t>
      </w:r>
      <w:r w:rsidR="00D950CE" w:rsidRPr="006F6D55">
        <w:rPr>
          <w:rFonts w:ascii="Times New Roman" w:hAnsi="Times New Roman" w:cs="Times New Roman"/>
          <w:color w:val="222222"/>
          <w:sz w:val="24"/>
          <w:szCs w:val="24"/>
          <w:shd w:val="clear" w:color="auto" w:fill="FFFFFF"/>
        </w:rPr>
        <w:t>Monaghan</w:t>
      </w:r>
      <w:r w:rsidR="00D950CE">
        <w:rPr>
          <w:rFonts w:ascii="Times New Roman" w:hAnsi="Times New Roman" w:cs="Times New Roman"/>
          <w:color w:val="222222"/>
          <w:sz w:val="24"/>
          <w:szCs w:val="24"/>
          <w:shd w:val="clear" w:color="auto" w:fill="FFFFFF"/>
        </w:rPr>
        <w:t xml:space="preserve">, </w:t>
      </w:r>
      <w:r w:rsidR="00CC5DE2">
        <w:rPr>
          <w:rFonts w:ascii="Times New Roman" w:hAnsi="Times New Roman" w:cs="Times New Roman"/>
          <w:color w:val="222222"/>
          <w:sz w:val="24"/>
          <w:szCs w:val="24"/>
          <w:shd w:val="clear" w:color="auto" w:fill="FFFFFF"/>
        </w:rPr>
        <w:t>2022</w:t>
      </w:r>
      <w:r w:rsidR="00D950CE">
        <w:rPr>
          <w:rFonts w:ascii="Times New Roman" w:hAnsi="Times New Roman" w:cs="Times New Roman"/>
          <w:sz w:val="24"/>
          <w:szCs w:val="24"/>
        </w:rPr>
        <w:t>)</w:t>
      </w:r>
      <w:r w:rsidRPr="00B33C2A">
        <w:rPr>
          <w:rFonts w:ascii="Times New Roman" w:hAnsi="Times New Roman" w:cs="Times New Roman"/>
          <w:sz w:val="24"/>
          <w:szCs w:val="24"/>
        </w:rPr>
        <w:t xml:space="preserve">. It has been said that obtaining property by dishonest means and intending to obtain property by breach of trust also fall under the crime of </w:t>
      </w:r>
      <w:r w:rsidRPr="00B33C2A">
        <w:rPr>
          <w:rFonts w:ascii="Times New Roman" w:hAnsi="Times New Roman" w:cs="Times New Roman"/>
          <w:sz w:val="24"/>
          <w:szCs w:val="24"/>
        </w:rPr>
        <w:lastRenderedPageBreak/>
        <w:t>theft. Clause (A) elaborates on the various aspects of criminal theft. Accordingly, the crime of the offender is determined and considered based on the motive of the theft.</w:t>
      </w:r>
    </w:p>
    <w:p w14:paraId="621FDE9A" w14:textId="77777777" w:rsidR="00B33C2A" w:rsidRPr="00B33C2A" w:rsidRDefault="00B33C2A" w:rsidP="00847D41">
      <w:pPr>
        <w:spacing w:line="360" w:lineRule="auto"/>
        <w:jc w:val="both"/>
        <w:rPr>
          <w:rFonts w:ascii="Times New Roman" w:hAnsi="Times New Roman" w:cs="Times New Roman"/>
          <w:sz w:val="24"/>
          <w:szCs w:val="24"/>
        </w:rPr>
      </w:pPr>
      <w:r w:rsidRPr="00B33C2A">
        <w:rPr>
          <w:rFonts w:ascii="Times New Roman" w:hAnsi="Times New Roman" w:cs="Times New Roman"/>
          <w:sz w:val="24"/>
          <w:szCs w:val="24"/>
        </w:rPr>
        <w:t>The TA assists prosecutors in selecting the correct charge under the Crown Prosecutors' Code in reviewing cases of theft and other offenses under the Theft Act 1978.</w:t>
      </w:r>
    </w:p>
    <w:p w14:paraId="7BAB9FEB" w14:textId="77777777" w:rsidR="00B33C2A" w:rsidRPr="00B33C2A" w:rsidRDefault="00B33C2A" w:rsidP="00847D41">
      <w:pPr>
        <w:spacing w:line="360" w:lineRule="auto"/>
        <w:jc w:val="both"/>
        <w:rPr>
          <w:rFonts w:ascii="Times New Roman" w:hAnsi="Times New Roman" w:cs="Times New Roman"/>
          <w:sz w:val="24"/>
          <w:szCs w:val="24"/>
        </w:rPr>
      </w:pPr>
      <w:r w:rsidRPr="00B33C2A">
        <w:rPr>
          <w:rFonts w:ascii="Times New Roman" w:hAnsi="Times New Roman" w:cs="Times New Roman"/>
          <w:sz w:val="24"/>
          <w:szCs w:val="24"/>
        </w:rPr>
        <w:t>It also has jurisdiction over certain offenses under TA 1968 under the Criminal Justice Act 1993 Part I. In England and Wales, every act is not within the jurisdiction if it takes place within the jurisdiction. But Handley's work contradicts every law that section 14 TA 1968 specifically states that he can be charged with theft and that Wales has jurisdiction to try him.</w:t>
      </w:r>
    </w:p>
    <w:p w14:paraId="022302BF" w14:textId="77777777" w:rsidR="00B33C2A" w:rsidRPr="00B33C2A" w:rsidRDefault="00B33C2A" w:rsidP="00847D41">
      <w:pPr>
        <w:spacing w:line="360" w:lineRule="auto"/>
        <w:jc w:val="both"/>
        <w:rPr>
          <w:rFonts w:ascii="Times New Roman" w:hAnsi="Times New Roman" w:cs="Times New Roman"/>
          <w:sz w:val="24"/>
          <w:szCs w:val="24"/>
        </w:rPr>
      </w:pPr>
      <w:r w:rsidRPr="00B33C2A">
        <w:rPr>
          <w:rFonts w:ascii="Times New Roman" w:hAnsi="Times New Roman" w:cs="Times New Roman"/>
          <w:sz w:val="24"/>
          <w:szCs w:val="24"/>
        </w:rPr>
        <w:t>On the other hand, Sections ss 195-198 of the Common Law Crimes and Amendment Act 1987 of arson outline the offense of arson. The crime of arson can be considered in different situations. It has been declared a very serious and dangerous crime</w:t>
      </w:r>
      <w:r w:rsidR="00735B13">
        <w:rPr>
          <w:rFonts w:ascii="Times New Roman" w:hAnsi="Times New Roman" w:cs="Times New Roman"/>
          <w:sz w:val="24"/>
          <w:szCs w:val="24"/>
        </w:rPr>
        <w:t xml:space="preserve"> (</w:t>
      </w:r>
      <w:r w:rsidR="00942AD6">
        <w:rPr>
          <w:rFonts w:ascii="Times New Roman" w:hAnsi="Times New Roman" w:cs="Times New Roman"/>
          <w:color w:val="222222"/>
          <w:sz w:val="24"/>
          <w:szCs w:val="24"/>
          <w:shd w:val="clear" w:color="auto" w:fill="FFFFFF"/>
        </w:rPr>
        <w:t>Draper et al.</w:t>
      </w:r>
      <w:r w:rsidR="00735B13">
        <w:rPr>
          <w:rFonts w:ascii="Times New Roman" w:hAnsi="Times New Roman" w:cs="Times New Roman"/>
          <w:color w:val="222222"/>
          <w:sz w:val="24"/>
          <w:szCs w:val="24"/>
          <w:shd w:val="clear" w:color="auto" w:fill="FFFFFF"/>
        </w:rPr>
        <w:t xml:space="preserve"> 2017</w:t>
      </w:r>
      <w:r w:rsidR="00735B13">
        <w:rPr>
          <w:rFonts w:ascii="Times New Roman" w:hAnsi="Times New Roman" w:cs="Times New Roman"/>
          <w:sz w:val="24"/>
          <w:szCs w:val="24"/>
        </w:rPr>
        <w:t>)</w:t>
      </w:r>
      <w:r w:rsidRPr="00B33C2A">
        <w:rPr>
          <w:rFonts w:ascii="Times New Roman" w:hAnsi="Times New Roman" w:cs="Times New Roman"/>
          <w:sz w:val="24"/>
          <w:szCs w:val="24"/>
        </w:rPr>
        <w:t xml:space="preserve">. These sections determine the type and nature of the crime by considering the motive of the fire connection, the extent of the damage, the plan of killing, and the property's insurance. Section 1 of 197 states that a person can be imprisoned for 7 years for dishonestly destroying or damaging another </w:t>
      </w:r>
      <w:r w:rsidR="00BC68C5">
        <w:rPr>
          <w:rFonts w:ascii="Times New Roman" w:hAnsi="Times New Roman" w:cs="Times New Roman"/>
          <w:sz w:val="24"/>
          <w:szCs w:val="24"/>
        </w:rPr>
        <w:t>person's property. Section 1 (B</w:t>
      </w:r>
      <w:r w:rsidRPr="00B33C2A">
        <w:rPr>
          <w:rFonts w:ascii="Times New Roman" w:hAnsi="Times New Roman" w:cs="Times New Roman"/>
          <w:sz w:val="24"/>
          <w:szCs w:val="24"/>
        </w:rPr>
        <w:t>) of 197 states that a person can be imprisoned for a maximum of 14 years for dishonestly obtaining financial gain.</w:t>
      </w:r>
    </w:p>
    <w:p w14:paraId="142CFCFB" w14:textId="77777777" w:rsidR="007575C8" w:rsidRPr="00B33C2A" w:rsidRDefault="00B33C2A" w:rsidP="00847D41">
      <w:pPr>
        <w:spacing w:line="360" w:lineRule="auto"/>
        <w:jc w:val="both"/>
        <w:rPr>
          <w:rFonts w:ascii="Times New Roman" w:hAnsi="Times New Roman" w:cs="Times New Roman"/>
          <w:sz w:val="24"/>
          <w:szCs w:val="24"/>
        </w:rPr>
      </w:pPr>
      <w:r w:rsidRPr="00B33C2A">
        <w:rPr>
          <w:rFonts w:ascii="Times New Roman" w:hAnsi="Times New Roman" w:cs="Times New Roman"/>
          <w:sz w:val="24"/>
          <w:szCs w:val="24"/>
        </w:rPr>
        <w:t>So it can be easily said that according to the information mentioned above, Handley can be charged with two crimes: theft of property and dishonestly setting fire to another's property.</w:t>
      </w:r>
    </w:p>
    <w:p w14:paraId="1CF1E761" w14:textId="77777777" w:rsidR="0035327C" w:rsidRDefault="0035327C" w:rsidP="00847D41">
      <w:pPr>
        <w:pStyle w:val="Heading1"/>
        <w:spacing w:line="360" w:lineRule="auto"/>
        <w:jc w:val="both"/>
      </w:pPr>
      <w:bookmarkStart w:id="4" w:name="_Toc116941214"/>
      <w:r>
        <w:t>Part B</w:t>
      </w:r>
      <w:bookmarkEnd w:id="4"/>
    </w:p>
    <w:p w14:paraId="07463594" w14:textId="77777777" w:rsidR="00956201" w:rsidRDefault="00956201" w:rsidP="00847D41">
      <w:pPr>
        <w:pStyle w:val="Heading2"/>
        <w:spacing w:line="360" w:lineRule="auto"/>
      </w:pPr>
      <w:bookmarkStart w:id="5" w:name="_Toc116941215"/>
      <w:r>
        <w:t>Sources of the Offenses against the Person Act 1861</w:t>
      </w:r>
      <w:bookmarkEnd w:id="5"/>
    </w:p>
    <w:p w14:paraId="2B82313B" w14:textId="77777777" w:rsidR="00956201" w:rsidRPr="00956201" w:rsidRDefault="00956201" w:rsidP="00847D41">
      <w:pPr>
        <w:spacing w:line="360" w:lineRule="auto"/>
        <w:jc w:val="both"/>
        <w:rPr>
          <w:rFonts w:ascii="Times New Roman" w:hAnsi="Times New Roman" w:cs="Times New Roman"/>
          <w:sz w:val="24"/>
          <w:szCs w:val="24"/>
        </w:rPr>
      </w:pPr>
      <w:r w:rsidRPr="00956201">
        <w:rPr>
          <w:rFonts w:ascii="Times New Roman" w:hAnsi="Times New Roman" w:cs="Times New Roman"/>
          <w:sz w:val="24"/>
          <w:szCs w:val="24"/>
        </w:rPr>
        <w:t>The Offenses against the Person Act 1861 is an Act of the Parliament of Ireland and Great Britain. It codifies provisions relating to violent offenses against a person. It is a separate and singular Act which is a consolidation of several earlier Acts. Most of the earlier Acts were drafts of this Act, which have been incorporated without minor changes</w:t>
      </w:r>
      <w:r w:rsidR="001B54F3">
        <w:rPr>
          <w:rFonts w:ascii="Times New Roman" w:hAnsi="Times New Roman" w:cs="Times New Roman"/>
          <w:sz w:val="24"/>
          <w:szCs w:val="24"/>
        </w:rPr>
        <w:t xml:space="preserve"> (</w:t>
      </w:r>
      <w:r w:rsidR="001B54F3">
        <w:rPr>
          <w:rFonts w:ascii="Times New Roman" w:hAnsi="Times New Roman" w:cs="Times New Roman"/>
          <w:color w:val="222222"/>
          <w:sz w:val="24"/>
          <w:szCs w:val="20"/>
          <w:shd w:val="clear" w:color="auto" w:fill="FFFFFF"/>
        </w:rPr>
        <w:t>Aiken et al. 2019</w:t>
      </w:r>
      <w:r w:rsidR="001B54F3">
        <w:rPr>
          <w:rFonts w:ascii="Times New Roman" w:hAnsi="Times New Roman" w:cs="Times New Roman"/>
          <w:sz w:val="24"/>
          <w:szCs w:val="24"/>
        </w:rPr>
        <w:t>)</w:t>
      </w:r>
      <w:r w:rsidRPr="00956201">
        <w:rPr>
          <w:rFonts w:ascii="Times New Roman" w:hAnsi="Times New Roman" w:cs="Times New Roman"/>
          <w:sz w:val="24"/>
          <w:szCs w:val="24"/>
        </w:rPr>
        <w:t>. It is a group of laws which is referred to as a consolidation of the Criminal Code 1861. The Act was essentially a revision of the earlier Consolidation Act, which included the subsequent Offenses against the Person Act 1828</w:t>
      </w:r>
      <w:r w:rsidR="000C2964">
        <w:rPr>
          <w:rFonts w:ascii="Times New Roman" w:hAnsi="Times New Roman" w:cs="Times New Roman"/>
          <w:sz w:val="24"/>
          <w:szCs w:val="24"/>
        </w:rPr>
        <w:t xml:space="preserve"> (</w:t>
      </w:r>
      <w:r w:rsidR="000C2964" w:rsidRPr="00697A80">
        <w:rPr>
          <w:rFonts w:ascii="Times New Roman" w:hAnsi="Times New Roman" w:cs="Times New Roman"/>
          <w:color w:val="222222"/>
          <w:sz w:val="24"/>
          <w:szCs w:val="24"/>
          <w:shd w:val="clear" w:color="auto" w:fill="FFFFFF"/>
        </w:rPr>
        <w:t>Faragher</w:t>
      </w:r>
      <w:r w:rsidR="000C2964">
        <w:rPr>
          <w:rFonts w:ascii="Times New Roman" w:hAnsi="Times New Roman" w:cs="Times New Roman"/>
          <w:color w:val="222222"/>
          <w:sz w:val="24"/>
          <w:szCs w:val="24"/>
          <w:shd w:val="clear" w:color="auto" w:fill="FFFFFF"/>
        </w:rPr>
        <w:t>, 2016</w:t>
      </w:r>
      <w:r w:rsidR="000C2964">
        <w:rPr>
          <w:rFonts w:ascii="Times New Roman" w:hAnsi="Times New Roman" w:cs="Times New Roman"/>
          <w:sz w:val="24"/>
          <w:szCs w:val="24"/>
        </w:rPr>
        <w:t>)</w:t>
      </w:r>
      <w:r w:rsidRPr="00956201">
        <w:rPr>
          <w:rFonts w:ascii="Times New Roman" w:hAnsi="Times New Roman" w:cs="Times New Roman"/>
          <w:sz w:val="24"/>
          <w:szCs w:val="24"/>
        </w:rPr>
        <w:t>. Although the Act has been amended by Act of Parliament, it is still used as the basis for personal murder and personal injury trials in the courts and tribunals of England and Wales. Originally this law was adopted by the British.</w:t>
      </w:r>
    </w:p>
    <w:p w14:paraId="3CA75C55" w14:textId="77777777" w:rsidR="00956201" w:rsidRPr="00956201" w:rsidRDefault="00956201" w:rsidP="00847D41">
      <w:pPr>
        <w:spacing w:line="360" w:lineRule="auto"/>
        <w:jc w:val="both"/>
        <w:rPr>
          <w:rFonts w:ascii="Times New Roman" w:hAnsi="Times New Roman" w:cs="Times New Roman"/>
          <w:sz w:val="24"/>
          <w:szCs w:val="24"/>
        </w:rPr>
      </w:pPr>
      <w:r w:rsidRPr="00956201">
        <w:rPr>
          <w:rFonts w:ascii="Times New Roman" w:hAnsi="Times New Roman" w:cs="Times New Roman"/>
          <w:sz w:val="24"/>
          <w:szCs w:val="24"/>
        </w:rPr>
        <w:lastRenderedPageBreak/>
        <w:t>In England, Wales and Northern Ireland, the sex offenses used under the Act are exempted. Although it was included in the Act, it was divided by the Sexual Offenses Act 2003 and the Sexual Offenses Order 2008.</w:t>
      </w:r>
    </w:p>
    <w:p w14:paraId="7B8DEFAF" w14:textId="77777777" w:rsidR="0010766E" w:rsidRDefault="00362C74" w:rsidP="00847D41">
      <w:pPr>
        <w:pStyle w:val="Heading2"/>
        <w:spacing w:line="360" w:lineRule="auto"/>
      </w:pPr>
      <w:bookmarkStart w:id="6" w:name="_Toc116941216"/>
      <w:r w:rsidRPr="00362C74">
        <w:t>Advising Freya for under s.47 Offences against the Person Act 1861, whether she would be able to rely on the defenses of intoxication and automatism.</w:t>
      </w:r>
      <w:bookmarkEnd w:id="6"/>
    </w:p>
    <w:p w14:paraId="0F30FF5E" w14:textId="77777777" w:rsidR="00CE3EBD" w:rsidRPr="00CE3EBD" w:rsidRDefault="00CE3EBD" w:rsidP="00847D41">
      <w:pPr>
        <w:spacing w:line="360" w:lineRule="auto"/>
        <w:rPr>
          <w:sz w:val="2"/>
        </w:rPr>
      </w:pPr>
    </w:p>
    <w:p w14:paraId="65C1771D" w14:textId="77777777" w:rsidR="00534A8F" w:rsidRPr="00534A8F" w:rsidRDefault="00534A8F" w:rsidP="00847D41">
      <w:pPr>
        <w:spacing w:line="360" w:lineRule="auto"/>
        <w:jc w:val="both"/>
        <w:rPr>
          <w:rFonts w:ascii="Times New Roman" w:hAnsi="Times New Roman" w:cs="Times New Roman"/>
          <w:sz w:val="24"/>
          <w:szCs w:val="24"/>
        </w:rPr>
      </w:pPr>
      <w:r w:rsidRPr="00534A8F">
        <w:rPr>
          <w:rFonts w:ascii="Times New Roman" w:hAnsi="Times New Roman" w:cs="Times New Roman"/>
          <w:sz w:val="24"/>
          <w:szCs w:val="24"/>
        </w:rPr>
        <w:t>In the Queen's printer's copies of the Personal Act 1861, the marginal notes to this section are written as bodily harm on the occasion of assault and common assault</w:t>
      </w:r>
      <w:r w:rsidR="00BB5105">
        <w:rPr>
          <w:rFonts w:ascii="Times New Roman" w:hAnsi="Times New Roman" w:cs="Times New Roman"/>
          <w:sz w:val="24"/>
          <w:szCs w:val="24"/>
        </w:rPr>
        <w:t xml:space="preserve"> (</w:t>
      </w:r>
      <w:r w:rsidR="00BB5105" w:rsidRPr="00697A80">
        <w:rPr>
          <w:rFonts w:ascii="Times New Roman" w:hAnsi="Times New Roman" w:cs="Times New Roman"/>
          <w:color w:val="222222"/>
          <w:sz w:val="24"/>
          <w:szCs w:val="20"/>
          <w:shd w:val="clear" w:color="auto" w:fill="FFFFFF"/>
        </w:rPr>
        <w:t>McDermaid</w:t>
      </w:r>
      <w:r w:rsidR="00BB5105">
        <w:rPr>
          <w:rFonts w:ascii="Times New Roman" w:hAnsi="Times New Roman" w:cs="Times New Roman"/>
          <w:color w:val="222222"/>
          <w:sz w:val="24"/>
          <w:szCs w:val="20"/>
          <w:shd w:val="clear" w:color="auto" w:fill="FFFFFF"/>
        </w:rPr>
        <w:t>, 2020</w:t>
      </w:r>
      <w:r w:rsidR="00BB5105">
        <w:rPr>
          <w:rFonts w:ascii="Times New Roman" w:hAnsi="Times New Roman" w:cs="Times New Roman"/>
          <w:sz w:val="24"/>
          <w:szCs w:val="24"/>
        </w:rPr>
        <w:t>)</w:t>
      </w:r>
      <w:r w:rsidRPr="00534A8F">
        <w:rPr>
          <w:rFonts w:ascii="Times New Roman" w:hAnsi="Times New Roman" w:cs="Times New Roman"/>
          <w:sz w:val="24"/>
          <w:szCs w:val="24"/>
        </w:rPr>
        <w:t>. This section is repealed by the Non-Fatal Offenses against Persons Act 1997 and a Schedule to the Republic of Ireland Act 1997.</w:t>
      </w:r>
    </w:p>
    <w:p w14:paraId="4A0375B1" w14:textId="472E3BA4" w:rsidR="00534A8F" w:rsidRPr="00534A8F" w:rsidRDefault="00534A8F" w:rsidP="00847D41">
      <w:pPr>
        <w:spacing w:line="360" w:lineRule="auto"/>
        <w:jc w:val="both"/>
        <w:rPr>
          <w:rFonts w:ascii="Times New Roman" w:hAnsi="Times New Roman" w:cs="Times New Roman"/>
          <w:sz w:val="24"/>
          <w:szCs w:val="24"/>
        </w:rPr>
      </w:pPr>
      <w:r w:rsidRPr="00847D41">
        <w:rPr>
          <w:rFonts w:ascii="Times New Roman" w:hAnsi="Times New Roman" w:cs="Times New Roman"/>
          <w:b/>
          <w:sz w:val="24"/>
          <w:szCs w:val="24"/>
        </w:rPr>
        <w:t xml:space="preserve">Actual </w:t>
      </w:r>
      <w:r w:rsidR="00FB3DA1">
        <w:rPr>
          <w:rFonts w:ascii="Times New Roman" w:hAnsi="Times New Roman" w:cs="Times New Roman"/>
          <w:b/>
          <w:sz w:val="24"/>
          <w:szCs w:val="24"/>
        </w:rPr>
        <w:t>P</w:t>
      </w:r>
      <w:r w:rsidRPr="00847D41">
        <w:rPr>
          <w:rFonts w:ascii="Times New Roman" w:hAnsi="Times New Roman" w:cs="Times New Roman"/>
          <w:b/>
          <w:sz w:val="24"/>
          <w:szCs w:val="24"/>
        </w:rPr>
        <w:t xml:space="preserve">hysical </w:t>
      </w:r>
      <w:r w:rsidR="00FB3DA1">
        <w:rPr>
          <w:rFonts w:ascii="Times New Roman" w:hAnsi="Times New Roman" w:cs="Times New Roman"/>
          <w:b/>
          <w:sz w:val="24"/>
          <w:szCs w:val="24"/>
        </w:rPr>
        <w:t>A</w:t>
      </w:r>
      <w:r w:rsidR="00847D41" w:rsidRPr="00847D41">
        <w:rPr>
          <w:rFonts w:ascii="Times New Roman" w:hAnsi="Times New Roman" w:cs="Times New Roman"/>
          <w:b/>
          <w:sz w:val="24"/>
          <w:szCs w:val="24"/>
        </w:rPr>
        <w:t>ssault</w:t>
      </w:r>
      <w:r w:rsidR="00847D41">
        <w:rPr>
          <w:rFonts w:ascii="Times New Roman" w:hAnsi="Times New Roman" w:cs="Times New Roman"/>
          <w:b/>
          <w:sz w:val="24"/>
          <w:szCs w:val="24"/>
        </w:rPr>
        <w:t xml:space="preserve">: </w:t>
      </w:r>
      <w:r w:rsidRPr="00534A8F">
        <w:rPr>
          <w:rFonts w:ascii="Times New Roman" w:hAnsi="Times New Roman" w:cs="Times New Roman"/>
          <w:sz w:val="24"/>
          <w:szCs w:val="24"/>
        </w:rPr>
        <w:t>In England, Wales and Northern Ireland the clause criminalizes assault occasioning actual bodily harm, and Freya may face a sentence if convicted of that offense. On the other hand, in England, Wales, and Northern Ireland, the clause relating to common assault has been declared null and void. Bodily harm in any form is declared an offense</w:t>
      </w:r>
      <w:r w:rsidR="000B130E">
        <w:rPr>
          <w:rFonts w:ascii="Times New Roman" w:hAnsi="Times New Roman" w:cs="Times New Roman"/>
          <w:sz w:val="24"/>
          <w:szCs w:val="24"/>
        </w:rPr>
        <w:t xml:space="preserve"> (</w:t>
      </w:r>
      <w:r w:rsidR="000B130E" w:rsidRPr="00436CB3">
        <w:rPr>
          <w:rFonts w:ascii="Times New Roman" w:hAnsi="Times New Roman" w:cs="Times New Roman"/>
          <w:color w:val="222222"/>
          <w:sz w:val="24"/>
          <w:szCs w:val="20"/>
          <w:shd w:val="clear" w:color="auto" w:fill="FFFFFF"/>
        </w:rPr>
        <w:t>Renwick</w:t>
      </w:r>
      <w:r w:rsidR="000B130E">
        <w:rPr>
          <w:rFonts w:ascii="Times New Roman" w:hAnsi="Times New Roman" w:cs="Times New Roman"/>
          <w:color w:val="222222"/>
          <w:sz w:val="24"/>
          <w:szCs w:val="20"/>
          <w:shd w:val="clear" w:color="auto" w:fill="FFFFFF"/>
        </w:rPr>
        <w:t xml:space="preserve"> et al. 2016</w:t>
      </w:r>
      <w:r w:rsidR="000B130E">
        <w:rPr>
          <w:rFonts w:ascii="Times New Roman" w:hAnsi="Times New Roman" w:cs="Times New Roman"/>
          <w:sz w:val="24"/>
          <w:szCs w:val="24"/>
        </w:rPr>
        <w:t>)</w:t>
      </w:r>
      <w:r w:rsidRPr="00534A8F">
        <w:rPr>
          <w:rFonts w:ascii="Times New Roman" w:hAnsi="Times New Roman" w:cs="Times New Roman"/>
          <w:sz w:val="24"/>
          <w:szCs w:val="24"/>
        </w:rPr>
        <w:t>. However, there is a provision to award punishment considering the amount and circumstances of the damage. According to Justice No. 2 of the Northern Ireland Act of 2004, section (2</w:t>
      </w:r>
      <w:r w:rsidR="00847D41" w:rsidRPr="00534A8F">
        <w:rPr>
          <w:rFonts w:ascii="Times New Roman" w:hAnsi="Times New Roman" w:cs="Times New Roman"/>
          <w:sz w:val="24"/>
          <w:szCs w:val="24"/>
        </w:rPr>
        <w:t>) (</w:t>
      </w:r>
      <w:r w:rsidRPr="00534A8F">
        <w:rPr>
          <w:rFonts w:ascii="Times New Roman" w:hAnsi="Times New Roman" w:cs="Times New Roman"/>
          <w:sz w:val="24"/>
          <w:szCs w:val="24"/>
        </w:rPr>
        <w:t>b), girls can be sentenced to less than two years for ordinary offenses.</w:t>
      </w:r>
    </w:p>
    <w:p w14:paraId="01C6DF32" w14:textId="77777777" w:rsidR="005D2081" w:rsidRPr="00534A8F" w:rsidRDefault="00534A8F" w:rsidP="00847D41">
      <w:pPr>
        <w:spacing w:line="360" w:lineRule="auto"/>
        <w:jc w:val="both"/>
        <w:rPr>
          <w:rFonts w:ascii="Times New Roman" w:hAnsi="Times New Roman" w:cs="Times New Roman"/>
          <w:sz w:val="24"/>
          <w:szCs w:val="24"/>
        </w:rPr>
      </w:pPr>
      <w:r w:rsidRPr="00534A8F">
        <w:rPr>
          <w:rFonts w:ascii="Times New Roman" w:hAnsi="Times New Roman" w:cs="Times New Roman"/>
          <w:sz w:val="24"/>
          <w:szCs w:val="24"/>
        </w:rPr>
        <w:t xml:space="preserve">So it can be said that actual bodily harm is caused to the offender under S.47 Against the Person Act 1861, it is considered as </w:t>
      </w:r>
      <w:r w:rsidR="00847D41" w:rsidRPr="00534A8F">
        <w:rPr>
          <w:rFonts w:ascii="Times New Roman" w:hAnsi="Times New Roman" w:cs="Times New Roman"/>
          <w:sz w:val="24"/>
          <w:szCs w:val="24"/>
        </w:rPr>
        <w:t>and</w:t>
      </w:r>
      <w:r w:rsidRPr="00534A8F">
        <w:rPr>
          <w:rFonts w:ascii="Times New Roman" w:hAnsi="Times New Roman" w:cs="Times New Roman"/>
          <w:sz w:val="24"/>
          <w:szCs w:val="24"/>
        </w:rPr>
        <w:t xml:space="preserve"> offense even in ordinary cases. Therefore, Freya cannot rely on the defense of intoxication or volition for this offense. However, the judge can consider the amount and provision of punishment considering the circumstances.</w:t>
      </w:r>
    </w:p>
    <w:p w14:paraId="456D371D" w14:textId="77777777" w:rsidR="00522172" w:rsidRDefault="001A1F73" w:rsidP="001A1F73">
      <w:pPr>
        <w:pStyle w:val="Heading1"/>
      </w:pPr>
      <w:r>
        <w:t>Conclusion</w:t>
      </w:r>
    </w:p>
    <w:p w14:paraId="09E824FD" w14:textId="77777777" w:rsidR="00C07B90" w:rsidRDefault="00C07B90" w:rsidP="00C07B90">
      <w:pPr>
        <w:spacing w:line="360" w:lineRule="auto"/>
        <w:jc w:val="both"/>
        <w:rPr>
          <w:rFonts w:ascii="Times New Roman" w:hAnsi="Times New Roman" w:cs="Times New Roman"/>
          <w:sz w:val="24"/>
          <w:szCs w:val="24"/>
        </w:rPr>
      </w:pPr>
      <w:r w:rsidRPr="00C07B90">
        <w:rPr>
          <w:rFonts w:ascii="Times New Roman" w:hAnsi="Times New Roman" w:cs="Times New Roman"/>
          <w:sz w:val="24"/>
          <w:szCs w:val="24"/>
        </w:rPr>
        <w:t>Finally this report is published as a comprehensive report with two case studies. Two separate cases are discussed and analyzed in two separate parts A and B of the report. Part A of the report deals with a criminal law related to theft and highlights sources of criminal law that will help students learn about criminal law. The second part B of the report highlights the Sources of the Offenses against the Person Act 1861 and advises the accused based on a case study analysis under the said Act. So it is a complete legal report which will help the students to acquire knowledge related to law.</w:t>
      </w:r>
    </w:p>
    <w:p w14:paraId="29DFB309" w14:textId="77777777" w:rsidR="003B4DC0" w:rsidRDefault="003B4DC0" w:rsidP="003B4DC0">
      <w:pPr>
        <w:pStyle w:val="Heading1"/>
      </w:pPr>
      <w:r>
        <w:lastRenderedPageBreak/>
        <w:t>Reference</w:t>
      </w:r>
    </w:p>
    <w:p w14:paraId="05E431CC" w14:textId="77777777" w:rsidR="00593198" w:rsidRPr="00FB3DA1" w:rsidRDefault="00593198" w:rsidP="00FB3DA1">
      <w:pPr>
        <w:pStyle w:val="ListParagraph"/>
        <w:numPr>
          <w:ilvl w:val="0"/>
          <w:numId w:val="1"/>
        </w:numPr>
        <w:spacing w:line="360" w:lineRule="auto"/>
        <w:jc w:val="both"/>
        <w:rPr>
          <w:rFonts w:ascii="Times New Roman" w:hAnsi="Times New Roman" w:cs="Times New Roman"/>
          <w:color w:val="222222"/>
          <w:sz w:val="24"/>
          <w:szCs w:val="20"/>
          <w:shd w:val="clear" w:color="auto" w:fill="FFFFFF"/>
        </w:rPr>
      </w:pPr>
      <w:r w:rsidRPr="00FB3DA1">
        <w:rPr>
          <w:rFonts w:ascii="Times New Roman" w:hAnsi="Times New Roman" w:cs="Times New Roman"/>
          <w:color w:val="222222"/>
          <w:sz w:val="24"/>
          <w:szCs w:val="20"/>
          <w:shd w:val="clear" w:color="auto" w:fill="FFFFFF"/>
        </w:rPr>
        <w:t xml:space="preserve">Aiken, A.R. and Bloomer, F., (2019). Abortion </w:t>
      </w:r>
      <w:proofErr w:type="spellStart"/>
      <w:r w:rsidRPr="00FB3DA1">
        <w:rPr>
          <w:rFonts w:ascii="Times New Roman" w:hAnsi="Times New Roman" w:cs="Times New Roman"/>
          <w:color w:val="222222"/>
          <w:sz w:val="24"/>
          <w:szCs w:val="20"/>
          <w:shd w:val="clear" w:color="auto" w:fill="FFFFFF"/>
        </w:rPr>
        <w:t>decriminalised</w:t>
      </w:r>
      <w:proofErr w:type="spellEnd"/>
      <w:r w:rsidRPr="00FB3DA1">
        <w:rPr>
          <w:rFonts w:ascii="Times New Roman" w:hAnsi="Times New Roman" w:cs="Times New Roman"/>
          <w:color w:val="222222"/>
          <w:sz w:val="24"/>
          <w:szCs w:val="20"/>
          <w:shd w:val="clear" w:color="auto" w:fill="FFFFFF"/>
        </w:rPr>
        <w:t xml:space="preserve"> in Northern Ireland. </w:t>
      </w:r>
      <w:proofErr w:type="spellStart"/>
      <w:r w:rsidRPr="00FB3DA1">
        <w:rPr>
          <w:rFonts w:ascii="Times New Roman" w:hAnsi="Times New Roman" w:cs="Times New Roman"/>
          <w:i/>
          <w:iCs/>
          <w:color w:val="222222"/>
          <w:sz w:val="24"/>
          <w:szCs w:val="20"/>
          <w:shd w:val="clear" w:color="auto" w:fill="FFFFFF"/>
        </w:rPr>
        <w:t>bmj</w:t>
      </w:r>
      <w:proofErr w:type="spellEnd"/>
      <w:r w:rsidRPr="00FB3DA1">
        <w:rPr>
          <w:rFonts w:ascii="Times New Roman" w:hAnsi="Times New Roman" w:cs="Times New Roman"/>
          <w:color w:val="222222"/>
          <w:sz w:val="24"/>
          <w:szCs w:val="20"/>
          <w:shd w:val="clear" w:color="auto" w:fill="FFFFFF"/>
        </w:rPr>
        <w:t>, </w:t>
      </w:r>
      <w:r w:rsidRPr="00FB3DA1">
        <w:rPr>
          <w:rFonts w:ascii="Times New Roman" w:hAnsi="Times New Roman" w:cs="Times New Roman"/>
          <w:i/>
          <w:iCs/>
          <w:color w:val="222222"/>
          <w:sz w:val="24"/>
          <w:szCs w:val="20"/>
          <w:shd w:val="clear" w:color="auto" w:fill="FFFFFF"/>
        </w:rPr>
        <w:t>367</w:t>
      </w:r>
      <w:r w:rsidRPr="00FB3DA1">
        <w:rPr>
          <w:rFonts w:ascii="Times New Roman" w:hAnsi="Times New Roman" w:cs="Times New Roman"/>
          <w:color w:val="222222"/>
          <w:sz w:val="24"/>
          <w:szCs w:val="20"/>
          <w:shd w:val="clear" w:color="auto" w:fill="FFFFFF"/>
        </w:rPr>
        <w:t>.</w:t>
      </w:r>
    </w:p>
    <w:p w14:paraId="1E570434" w14:textId="77777777" w:rsidR="00593198" w:rsidRPr="00FB3DA1" w:rsidRDefault="00593198" w:rsidP="00FB3DA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FB3DA1">
        <w:rPr>
          <w:rFonts w:ascii="Times New Roman" w:hAnsi="Times New Roman" w:cs="Times New Roman"/>
          <w:color w:val="222222"/>
          <w:sz w:val="24"/>
          <w:szCs w:val="24"/>
          <w:shd w:val="clear" w:color="auto" w:fill="FFFFFF"/>
        </w:rPr>
        <w:t xml:space="preserve">Draper, M.J., </w:t>
      </w:r>
      <w:proofErr w:type="spellStart"/>
      <w:r w:rsidRPr="00FB3DA1">
        <w:rPr>
          <w:rFonts w:ascii="Times New Roman" w:hAnsi="Times New Roman" w:cs="Times New Roman"/>
          <w:color w:val="222222"/>
          <w:sz w:val="24"/>
          <w:szCs w:val="24"/>
          <w:shd w:val="clear" w:color="auto" w:fill="FFFFFF"/>
        </w:rPr>
        <w:t>Ibezim</w:t>
      </w:r>
      <w:proofErr w:type="spellEnd"/>
      <w:r w:rsidRPr="00FB3DA1">
        <w:rPr>
          <w:rFonts w:ascii="Times New Roman" w:hAnsi="Times New Roman" w:cs="Times New Roman"/>
          <w:color w:val="222222"/>
          <w:sz w:val="24"/>
          <w:szCs w:val="24"/>
          <w:shd w:val="clear" w:color="auto" w:fill="FFFFFF"/>
        </w:rPr>
        <w:t xml:space="preserve">, V. and Newton, P.M., (2017). Are Essay Mills committing fraud? An analysis of their </w:t>
      </w:r>
      <w:proofErr w:type="spellStart"/>
      <w:r w:rsidRPr="00FB3DA1">
        <w:rPr>
          <w:rFonts w:ascii="Times New Roman" w:hAnsi="Times New Roman" w:cs="Times New Roman"/>
          <w:color w:val="222222"/>
          <w:sz w:val="24"/>
          <w:szCs w:val="24"/>
          <w:shd w:val="clear" w:color="auto" w:fill="FFFFFF"/>
        </w:rPr>
        <w:t>behaviours</w:t>
      </w:r>
      <w:proofErr w:type="spellEnd"/>
      <w:r w:rsidRPr="00FB3DA1">
        <w:rPr>
          <w:rFonts w:ascii="Times New Roman" w:hAnsi="Times New Roman" w:cs="Times New Roman"/>
          <w:color w:val="222222"/>
          <w:sz w:val="24"/>
          <w:szCs w:val="24"/>
          <w:shd w:val="clear" w:color="auto" w:fill="FFFFFF"/>
        </w:rPr>
        <w:t xml:space="preserve"> vs the 2006 Fraud Act (UK). </w:t>
      </w:r>
      <w:r w:rsidRPr="00FB3DA1">
        <w:rPr>
          <w:rFonts w:ascii="Times New Roman" w:hAnsi="Times New Roman" w:cs="Times New Roman"/>
          <w:i/>
          <w:iCs/>
          <w:color w:val="222222"/>
          <w:sz w:val="24"/>
          <w:szCs w:val="24"/>
          <w:shd w:val="clear" w:color="auto" w:fill="FFFFFF"/>
        </w:rPr>
        <w:t>International Journal for Educational Integrity</w:t>
      </w:r>
      <w:r w:rsidRPr="00FB3DA1">
        <w:rPr>
          <w:rFonts w:ascii="Times New Roman" w:hAnsi="Times New Roman" w:cs="Times New Roman"/>
          <w:color w:val="222222"/>
          <w:sz w:val="24"/>
          <w:szCs w:val="24"/>
          <w:shd w:val="clear" w:color="auto" w:fill="FFFFFF"/>
        </w:rPr>
        <w:t>, </w:t>
      </w:r>
      <w:r w:rsidRPr="00FB3DA1">
        <w:rPr>
          <w:rFonts w:ascii="Times New Roman" w:hAnsi="Times New Roman" w:cs="Times New Roman"/>
          <w:i/>
          <w:iCs/>
          <w:color w:val="222222"/>
          <w:sz w:val="24"/>
          <w:szCs w:val="24"/>
          <w:shd w:val="clear" w:color="auto" w:fill="FFFFFF"/>
        </w:rPr>
        <w:t>13</w:t>
      </w:r>
      <w:r w:rsidRPr="00FB3DA1">
        <w:rPr>
          <w:rFonts w:ascii="Times New Roman" w:hAnsi="Times New Roman" w:cs="Times New Roman"/>
          <w:color w:val="222222"/>
          <w:sz w:val="24"/>
          <w:szCs w:val="24"/>
          <w:shd w:val="clear" w:color="auto" w:fill="FFFFFF"/>
        </w:rPr>
        <w:t>(1), pp.1-14.</w:t>
      </w:r>
    </w:p>
    <w:p w14:paraId="0B48EF00" w14:textId="77777777" w:rsidR="00593198" w:rsidRPr="00FB3DA1" w:rsidRDefault="00593198" w:rsidP="00FB3DA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FB3DA1">
        <w:rPr>
          <w:rFonts w:ascii="Times New Roman" w:hAnsi="Times New Roman" w:cs="Times New Roman"/>
          <w:color w:val="222222"/>
          <w:sz w:val="24"/>
          <w:szCs w:val="24"/>
          <w:shd w:val="clear" w:color="auto" w:fill="FFFFFF"/>
        </w:rPr>
        <w:t>Faragher, T., (2016). The police response to violence against women in the home. In </w:t>
      </w:r>
      <w:r w:rsidRPr="00FB3DA1">
        <w:rPr>
          <w:rFonts w:ascii="Times New Roman" w:hAnsi="Times New Roman" w:cs="Times New Roman"/>
          <w:i/>
          <w:iCs/>
          <w:color w:val="222222"/>
          <w:sz w:val="24"/>
          <w:szCs w:val="24"/>
          <w:shd w:val="clear" w:color="auto" w:fill="FFFFFF"/>
        </w:rPr>
        <w:t>Private violence and public policy</w:t>
      </w:r>
      <w:r w:rsidRPr="00FB3DA1">
        <w:rPr>
          <w:rFonts w:ascii="Times New Roman" w:hAnsi="Times New Roman" w:cs="Times New Roman"/>
          <w:color w:val="222222"/>
          <w:sz w:val="24"/>
          <w:szCs w:val="24"/>
          <w:shd w:val="clear" w:color="auto" w:fill="FFFFFF"/>
        </w:rPr>
        <w:t> (pp. 110-124). Routledge.</w:t>
      </w:r>
    </w:p>
    <w:p w14:paraId="080577A5" w14:textId="77777777" w:rsidR="00593198" w:rsidRPr="00FB3DA1" w:rsidRDefault="00593198" w:rsidP="00FB3DA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FB3DA1">
        <w:rPr>
          <w:rFonts w:ascii="Times New Roman" w:hAnsi="Times New Roman" w:cs="Times New Roman"/>
          <w:color w:val="222222"/>
          <w:sz w:val="24"/>
          <w:szCs w:val="24"/>
          <w:shd w:val="clear" w:color="auto" w:fill="FFFFFF"/>
        </w:rPr>
        <w:t>Hall, D.E., 2022. </w:t>
      </w:r>
      <w:r w:rsidRPr="00FB3DA1">
        <w:rPr>
          <w:rFonts w:ascii="Times New Roman" w:hAnsi="Times New Roman" w:cs="Times New Roman"/>
          <w:i/>
          <w:iCs/>
          <w:color w:val="222222"/>
          <w:sz w:val="24"/>
          <w:szCs w:val="24"/>
          <w:shd w:val="clear" w:color="auto" w:fill="FFFFFF"/>
        </w:rPr>
        <w:t>Criminal law and procedure</w:t>
      </w:r>
      <w:r w:rsidRPr="00FB3DA1">
        <w:rPr>
          <w:rFonts w:ascii="Times New Roman" w:hAnsi="Times New Roman" w:cs="Times New Roman"/>
          <w:color w:val="222222"/>
          <w:sz w:val="24"/>
          <w:szCs w:val="24"/>
          <w:shd w:val="clear" w:color="auto" w:fill="FFFFFF"/>
        </w:rPr>
        <w:t>. Cengage Learning.</w:t>
      </w:r>
    </w:p>
    <w:p w14:paraId="54CBA199" w14:textId="77777777" w:rsidR="00593198" w:rsidRPr="00FB3DA1" w:rsidRDefault="00593198" w:rsidP="00FB3DA1">
      <w:pPr>
        <w:pStyle w:val="ListParagraph"/>
        <w:numPr>
          <w:ilvl w:val="0"/>
          <w:numId w:val="1"/>
        </w:numPr>
        <w:spacing w:line="360" w:lineRule="auto"/>
        <w:jc w:val="both"/>
        <w:rPr>
          <w:rFonts w:ascii="Times New Roman" w:hAnsi="Times New Roman" w:cs="Times New Roman"/>
          <w:color w:val="222222"/>
          <w:sz w:val="24"/>
          <w:szCs w:val="20"/>
          <w:shd w:val="clear" w:color="auto" w:fill="FFFFFF"/>
        </w:rPr>
      </w:pPr>
      <w:r w:rsidRPr="00FB3DA1">
        <w:rPr>
          <w:rFonts w:ascii="Times New Roman" w:hAnsi="Times New Roman" w:cs="Times New Roman"/>
          <w:color w:val="222222"/>
          <w:sz w:val="24"/>
          <w:szCs w:val="20"/>
          <w:shd w:val="clear" w:color="auto" w:fill="FFFFFF"/>
        </w:rPr>
        <w:t xml:space="preserve">McDermaid, L., (2020). </w:t>
      </w:r>
      <w:proofErr w:type="spellStart"/>
      <w:r w:rsidRPr="00FB3DA1">
        <w:rPr>
          <w:rFonts w:ascii="Times New Roman" w:hAnsi="Times New Roman" w:cs="Times New Roman"/>
          <w:color w:val="222222"/>
          <w:sz w:val="24"/>
          <w:szCs w:val="20"/>
          <w:shd w:val="clear" w:color="auto" w:fill="FFFFFF"/>
        </w:rPr>
        <w:t>Homophobia,'Increasing</w:t>
      </w:r>
      <w:proofErr w:type="spellEnd"/>
      <w:r w:rsidRPr="00FB3DA1">
        <w:rPr>
          <w:rFonts w:ascii="Times New Roman" w:hAnsi="Times New Roman" w:cs="Times New Roman"/>
          <w:color w:val="222222"/>
          <w:sz w:val="24"/>
          <w:szCs w:val="20"/>
          <w:shd w:val="clear" w:color="auto" w:fill="FFFFFF"/>
        </w:rPr>
        <w:t xml:space="preserve"> </w:t>
      </w:r>
      <w:proofErr w:type="spellStart"/>
      <w:r w:rsidRPr="00FB3DA1">
        <w:rPr>
          <w:rFonts w:ascii="Times New Roman" w:hAnsi="Times New Roman" w:cs="Times New Roman"/>
          <w:color w:val="222222"/>
          <w:sz w:val="24"/>
          <w:szCs w:val="20"/>
          <w:shd w:val="clear" w:color="auto" w:fill="FFFFFF"/>
        </w:rPr>
        <w:t>Barbarity'and'Perverted</w:t>
      </w:r>
      <w:proofErr w:type="spellEnd"/>
      <w:r w:rsidRPr="00FB3DA1">
        <w:rPr>
          <w:rFonts w:ascii="Times New Roman" w:hAnsi="Times New Roman" w:cs="Times New Roman"/>
          <w:color w:val="222222"/>
          <w:sz w:val="24"/>
          <w:szCs w:val="20"/>
          <w:shd w:val="clear" w:color="auto" w:fill="FFFFFF"/>
        </w:rPr>
        <w:t xml:space="preserve"> Desires: Why Brown Has No Place in Governing Consent to Non-Fatal Offences against the Person. </w:t>
      </w:r>
      <w:r w:rsidRPr="00FB3DA1">
        <w:rPr>
          <w:rFonts w:ascii="Times New Roman" w:hAnsi="Times New Roman" w:cs="Times New Roman"/>
          <w:i/>
          <w:iCs/>
          <w:color w:val="222222"/>
          <w:sz w:val="24"/>
          <w:szCs w:val="20"/>
          <w:shd w:val="clear" w:color="auto" w:fill="FFFFFF"/>
        </w:rPr>
        <w:t>Southampton Student L. Rev.</w:t>
      </w:r>
      <w:r w:rsidRPr="00FB3DA1">
        <w:rPr>
          <w:rFonts w:ascii="Times New Roman" w:hAnsi="Times New Roman" w:cs="Times New Roman"/>
          <w:color w:val="222222"/>
          <w:sz w:val="24"/>
          <w:szCs w:val="20"/>
          <w:shd w:val="clear" w:color="auto" w:fill="FFFFFF"/>
        </w:rPr>
        <w:t>, </w:t>
      </w:r>
      <w:r w:rsidRPr="00FB3DA1">
        <w:rPr>
          <w:rFonts w:ascii="Times New Roman" w:hAnsi="Times New Roman" w:cs="Times New Roman"/>
          <w:i/>
          <w:iCs/>
          <w:color w:val="222222"/>
          <w:sz w:val="24"/>
          <w:szCs w:val="20"/>
          <w:shd w:val="clear" w:color="auto" w:fill="FFFFFF"/>
        </w:rPr>
        <w:t>10</w:t>
      </w:r>
      <w:r w:rsidRPr="00FB3DA1">
        <w:rPr>
          <w:rFonts w:ascii="Times New Roman" w:hAnsi="Times New Roman" w:cs="Times New Roman"/>
          <w:color w:val="222222"/>
          <w:sz w:val="24"/>
          <w:szCs w:val="20"/>
          <w:shd w:val="clear" w:color="auto" w:fill="FFFFFF"/>
        </w:rPr>
        <w:t>, p.58.</w:t>
      </w:r>
    </w:p>
    <w:p w14:paraId="23034E50" w14:textId="77777777" w:rsidR="00593198" w:rsidRPr="00FB3DA1" w:rsidRDefault="00593198" w:rsidP="00FB3DA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FB3DA1">
        <w:rPr>
          <w:rFonts w:ascii="Times New Roman" w:hAnsi="Times New Roman" w:cs="Times New Roman"/>
          <w:color w:val="222222"/>
          <w:sz w:val="24"/>
          <w:szCs w:val="24"/>
          <w:shd w:val="clear" w:color="auto" w:fill="FFFFFF"/>
        </w:rPr>
        <w:t>Monaghan, N., (2022). </w:t>
      </w:r>
      <w:r w:rsidRPr="00FB3DA1">
        <w:rPr>
          <w:rFonts w:ascii="Times New Roman" w:hAnsi="Times New Roman" w:cs="Times New Roman"/>
          <w:i/>
          <w:iCs/>
          <w:color w:val="222222"/>
          <w:sz w:val="24"/>
          <w:szCs w:val="24"/>
          <w:shd w:val="clear" w:color="auto" w:fill="FFFFFF"/>
        </w:rPr>
        <w:t>Criminal law directions</w:t>
      </w:r>
      <w:r w:rsidRPr="00FB3DA1">
        <w:rPr>
          <w:rFonts w:ascii="Times New Roman" w:hAnsi="Times New Roman" w:cs="Times New Roman"/>
          <w:color w:val="222222"/>
          <w:sz w:val="24"/>
          <w:szCs w:val="24"/>
          <w:shd w:val="clear" w:color="auto" w:fill="FFFFFF"/>
        </w:rPr>
        <w:t>. Oxford University Press.</w:t>
      </w:r>
    </w:p>
    <w:p w14:paraId="50E023D6" w14:textId="77777777" w:rsidR="00593198" w:rsidRPr="00FB3DA1" w:rsidRDefault="00593198" w:rsidP="00FB3DA1">
      <w:pPr>
        <w:pStyle w:val="ListParagraph"/>
        <w:numPr>
          <w:ilvl w:val="0"/>
          <w:numId w:val="1"/>
        </w:numPr>
        <w:spacing w:line="360" w:lineRule="auto"/>
        <w:jc w:val="both"/>
        <w:rPr>
          <w:rFonts w:ascii="Times New Roman" w:hAnsi="Times New Roman" w:cs="Times New Roman"/>
          <w:color w:val="222222"/>
          <w:sz w:val="40"/>
          <w:szCs w:val="24"/>
          <w:shd w:val="clear" w:color="auto" w:fill="FFFFFF"/>
        </w:rPr>
      </w:pPr>
      <w:r w:rsidRPr="00FB3DA1">
        <w:rPr>
          <w:rFonts w:ascii="Times New Roman" w:hAnsi="Times New Roman" w:cs="Times New Roman"/>
          <w:color w:val="222222"/>
          <w:sz w:val="24"/>
          <w:szCs w:val="20"/>
          <w:shd w:val="clear" w:color="auto" w:fill="FFFFFF"/>
        </w:rPr>
        <w:t>Renwick, L., Lavelle, M., Brennan, G., Stewart, D., James, K., Richardson, M., Williams, H., Price, O. and Bowers, L., (2016). Physical injury and workplace assault in UK mental health trusts: An analysis of formal reports. </w:t>
      </w:r>
      <w:r w:rsidRPr="00FB3DA1">
        <w:rPr>
          <w:rFonts w:ascii="Times New Roman" w:hAnsi="Times New Roman" w:cs="Times New Roman"/>
          <w:i/>
          <w:iCs/>
          <w:color w:val="222222"/>
          <w:sz w:val="24"/>
          <w:szCs w:val="20"/>
          <w:shd w:val="clear" w:color="auto" w:fill="FFFFFF"/>
        </w:rPr>
        <w:t>International journal of mental health nursing</w:t>
      </w:r>
      <w:r w:rsidRPr="00FB3DA1">
        <w:rPr>
          <w:rFonts w:ascii="Times New Roman" w:hAnsi="Times New Roman" w:cs="Times New Roman"/>
          <w:color w:val="222222"/>
          <w:sz w:val="24"/>
          <w:szCs w:val="20"/>
          <w:shd w:val="clear" w:color="auto" w:fill="FFFFFF"/>
        </w:rPr>
        <w:t>, </w:t>
      </w:r>
      <w:r w:rsidRPr="00FB3DA1">
        <w:rPr>
          <w:rFonts w:ascii="Times New Roman" w:hAnsi="Times New Roman" w:cs="Times New Roman"/>
          <w:i/>
          <w:iCs/>
          <w:color w:val="222222"/>
          <w:sz w:val="24"/>
          <w:szCs w:val="20"/>
          <w:shd w:val="clear" w:color="auto" w:fill="FFFFFF"/>
        </w:rPr>
        <w:t>25</w:t>
      </w:r>
      <w:r w:rsidRPr="00FB3DA1">
        <w:rPr>
          <w:rFonts w:ascii="Times New Roman" w:hAnsi="Times New Roman" w:cs="Times New Roman"/>
          <w:color w:val="222222"/>
          <w:sz w:val="24"/>
          <w:szCs w:val="20"/>
          <w:shd w:val="clear" w:color="auto" w:fill="FFFFFF"/>
        </w:rPr>
        <w:t>(4), pp.355-366.</w:t>
      </w:r>
    </w:p>
    <w:p w14:paraId="41CB9B3D" w14:textId="77777777" w:rsidR="00593198" w:rsidRPr="00FB3DA1" w:rsidRDefault="00593198" w:rsidP="00FB3DA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FB3DA1">
        <w:rPr>
          <w:rFonts w:ascii="Times New Roman" w:hAnsi="Times New Roman" w:cs="Times New Roman"/>
          <w:color w:val="222222"/>
          <w:sz w:val="24"/>
          <w:szCs w:val="24"/>
          <w:shd w:val="clear" w:color="auto" w:fill="FFFFFF"/>
        </w:rPr>
        <w:t>Rusanov</w:t>
      </w:r>
      <w:proofErr w:type="spellEnd"/>
      <w:r w:rsidRPr="00FB3DA1">
        <w:rPr>
          <w:rFonts w:ascii="Times New Roman" w:hAnsi="Times New Roman" w:cs="Times New Roman"/>
          <w:color w:val="222222"/>
          <w:sz w:val="24"/>
          <w:szCs w:val="24"/>
          <w:shd w:val="clear" w:color="auto" w:fill="FFFFFF"/>
        </w:rPr>
        <w:t>, G., (2019). Sources of criminal law in the area of responsibility for economic crimes in Russia and Italy. </w:t>
      </w:r>
      <w:r w:rsidRPr="00FB3DA1">
        <w:rPr>
          <w:rFonts w:ascii="Times New Roman" w:hAnsi="Times New Roman" w:cs="Times New Roman"/>
          <w:i/>
          <w:iCs/>
          <w:color w:val="222222"/>
          <w:sz w:val="24"/>
          <w:szCs w:val="24"/>
          <w:shd w:val="clear" w:color="auto" w:fill="FFFFFF"/>
        </w:rPr>
        <w:t>Journal of Financial Crime</w:t>
      </w:r>
      <w:r w:rsidRPr="00FB3DA1">
        <w:rPr>
          <w:rFonts w:ascii="Times New Roman" w:hAnsi="Times New Roman" w:cs="Times New Roman"/>
          <w:color w:val="222222"/>
          <w:sz w:val="24"/>
          <w:szCs w:val="24"/>
          <w:shd w:val="clear" w:color="auto" w:fill="FFFFFF"/>
        </w:rPr>
        <w:t>.</w:t>
      </w:r>
    </w:p>
    <w:p w14:paraId="3B0F4C7A" w14:textId="77777777" w:rsidR="00593198" w:rsidRPr="00FB3DA1" w:rsidRDefault="00593198" w:rsidP="00FB3DA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FB3DA1">
        <w:rPr>
          <w:rFonts w:ascii="Times New Roman" w:hAnsi="Times New Roman" w:cs="Times New Roman"/>
          <w:color w:val="222222"/>
          <w:sz w:val="24"/>
          <w:szCs w:val="24"/>
          <w:shd w:val="clear" w:color="auto" w:fill="FFFFFF"/>
        </w:rPr>
        <w:t>Teguia, A., (2017). </w:t>
      </w:r>
      <w:r w:rsidRPr="00FB3DA1">
        <w:rPr>
          <w:rFonts w:ascii="Times New Roman" w:hAnsi="Times New Roman" w:cs="Times New Roman"/>
          <w:i/>
          <w:iCs/>
          <w:color w:val="222222"/>
          <w:sz w:val="24"/>
          <w:szCs w:val="24"/>
          <w:shd w:val="clear" w:color="auto" w:fill="FFFFFF"/>
        </w:rPr>
        <w:t>Law of small numbers and hysteresis in asset prices and portfolio choices</w:t>
      </w:r>
      <w:r w:rsidRPr="00FB3DA1">
        <w:rPr>
          <w:rFonts w:ascii="Times New Roman" w:hAnsi="Times New Roman" w:cs="Times New Roman"/>
          <w:color w:val="222222"/>
          <w:sz w:val="24"/>
          <w:szCs w:val="24"/>
          <w:shd w:val="clear" w:color="auto" w:fill="FFFFFF"/>
        </w:rPr>
        <w:t>. Working Paper.</w:t>
      </w:r>
    </w:p>
    <w:p w14:paraId="54F5AB93" w14:textId="77777777" w:rsidR="003B4DC0" w:rsidRPr="003B4DC0" w:rsidRDefault="003B4DC0" w:rsidP="00FB3DA1">
      <w:pPr>
        <w:spacing w:line="360" w:lineRule="auto"/>
        <w:jc w:val="both"/>
      </w:pPr>
    </w:p>
    <w:sectPr w:rsidR="003B4DC0" w:rsidRPr="003B4D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542039"/>
    <w:multiLevelType w:val="hybridMultilevel"/>
    <w:tmpl w:val="B3426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7732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7542"/>
    <w:rsid w:val="000B130E"/>
    <w:rsid w:val="000C2964"/>
    <w:rsid w:val="000D11B2"/>
    <w:rsid w:val="0010766E"/>
    <w:rsid w:val="001A1F73"/>
    <w:rsid w:val="001B54F3"/>
    <w:rsid w:val="001F02D2"/>
    <w:rsid w:val="002022FE"/>
    <w:rsid w:val="00225AE2"/>
    <w:rsid w:val="002607B7"/>
    <w:rsid w:val="00277297"/>
    <w:rsid w:val="0035327C"/>
    <w:rsid w:val="00362C74"/>
    <w:rsid w:val="00377C44"/>
    <w:rsid w:val="003B4DC0"/>
    <w:rsid w:val="004E5E6A"/>
    <w:rsid w:val="005127BA"/>
    <w:rsid w:val="00522172"/>
    <w:rsid w:val="00534A8F"/>
    <w:rsid w:val="00593198"/>
    <w:rsid w:val="005D2081"/>
    <w:rsid w:val="00640AE9"/>
    <w:rsid w:val="00735B13"/>
    <w:rsid w:val="007575C8"/>
    <w:rsid w:val="00847D41"/>
    <w:rsid w:val="008F66FB"/>
    <w:rsid w:val="00934095"/>
    <w:rsid w:val="00942AD6"/>
    <w:rsid w:val="00956201"/>
    <w:rsid w:val="009A38D8"/>
    <w:rsid w:val="009E3913"/>
    <w:rsid w:val="00AE3CCE"/>
    <w:rsid w:val="00AF13BD"/>
    <w:rsid w:val="00B33C2A"/>
    <w:rsid w:val="00BA7542"/>
    <w:rsid w:val="00BB5105"/>
    <w:rsid w:val="00BC68C5"/>
    <w:rsid w:val="00C07B90"/>
    <w:rsid w:val="00C404BF"/>
    <w:rsid w:val="00C909AA"/>
    <w:rsid w:val="00CC5DE2"/>
    <w:rsid w:val="00CE3EBD"/>
    <w:rsid w:val="00D22515"/>
    <w:rsid w:val="00D47CA7"/>
    <w:rsid w:val="00D70B78"/>
    <w:rsid w:val="00D901D5"/>
    <w:rsid w:val="00D950CE"/>
    <w:rsid w:val="00DD698B"/>
    <w:rsid w:val="00E65E8B"/>
    <w:rsid w:val="00F5279A"/>
    <w:rsid w:val="00FB3D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94988"/>
  <w15:chartTrackingRefBased/>
  <w15:docId w15:val="{403A1F72-87D1-4083-9977-EEA65CF09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5E6A"/>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4E5E6A"/>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E6A"/>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4E5E6A"/>
    <w:pPr>
      <w:outlineLvl w:val="9"/>
    </w:pPr>
  </w:style>
  <w:style w:type="character" w:customStyle="1" w:styleId="Heading2Char">
    <w:name w:val="Heading 2 Char"/>
    <w:basedOn w:val="DefaultParagraphFont"/>
    <w:link w:val="Heading2"/>
    <w:uiPriority w:val="9"/>
    <w:rsid w:val="004E5E6A"/>
    <w:rPr>
      <w:rFonts w:ascii="Times New Roman" w:eastAsiaTheme="majorEastAsia" w:hAnsi="Times New Roman" w:cstheme="majorBidi"/>
      <w:b/>
      <w:color w:val="000000" w:themeColor="text1"/>
      <w:sz w:val="24"/>
      <w:szCs w:val="26"/>
    </w:rPr>
  </w:style>
  <w:style w:type="paragraph" w:styleId="TOC1">
    <w:name w:val="toc 1"/>
    <w:basedOn w:val="Normal"/>
    <w:next w:val="Normal"/>
    <w:autoRedefine/>
    <w:uiPriority w:val="39"/>
    <w:unhideWhenUsed/>
    <w:rsid w:val="00D22515"/>
    <w:pPr>
      <w:spacing w:after="100"/>
    </w:pPr>
  </w:style>
  <w:style w:type="character" w:styleId="Hyperlink">
    <w:name w:val="Hyperlink"/>
    <w:basedOn w:val="DefaultParagraphFont"/>
    <w:uiPriority w:val="99"/>
    <w:unhideWhenUsed/>
    <w:rsid w:val="00D22515"/>
    <w:rPr>
      <w:color w:val="0563C1" w:themeColor="hyperlink"/>
      <w:u w:val="single"/>
    </w:rPr>
  </w:style>
  <w:style w:type="paragraph" w:styleId="TOC2">
    <w:name w:val="toc 2"/>
    <w:basedOn w:val="Normal"/>
    <w:next w:val="Normal"/>
    <w:autoRedefine/>
    <w:uiPriority w:val="39"/>
    <w:unhideWhenUsed/>
    <w:rsid w:val="00377C44"/>
    <w:pPr>
      <w:spacing w:after="100"/>
      <w:ind w:left="220"/>
    </w:pPr>
  </w:style>
  <w:style w:type="paragraph" w:styleId="NoSpacing">
    <w:name w:val="No Spacing"/>
    <w:uiPriority w:val="1"/>
    <w:qFormat/>
    <w:rsid w:val="00FB3DA1"/>
    <w:pPr>
      <w:spacing w:after="0" w:line="240" w:lineRule="auto"/>
    </w:pPr>
  </w:style>
  <w:style w:type="paragraph" w:styleId="ListParagraph">
    <w:name w:val="List Paragraph"/>
    <w:basedOn w:val="Normal"/>
    <w:uiPriority w:val="34"/>
    <w:qFormat/>
    <w:rsid w:val="00FB3D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FA32FD-B8B1-4FEA-8477-F7E63AA72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1453</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HANIF</dc:creator>
  <cp:keywords/>
  <dc:description/>
  <cp:lastModifiedBy>Gm Sumon</cp:lastModifiedBy>
  <cp:revision>2</cp:revision>
  <dcterms:created xsi:type="dcterms:W3CDTF">2023-01-04T13:00:00Z</dcterms:created>
  <dcterms:modified xsi:type="dcterms:W3CDTF">2023-01-04T13:00:00Z</dcterms:modified>
</cp:coreProperties>
</file>