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8C6" w:rsidRDefault="00EB24C8" w:rsidP="00A473BD">
      <w:pPr>
        <w:spacing w:line="480" w:lineRule="auto"/>
        <w:rPr>
          <w:rFonts w:ascii="Arial" w:hAnsi="Arial" w:cs="Arial"/>
          <w:b/>
          <w:sz w:val="28"/>
        </w:rPr>
      </w:pPr>
      <w:r>
        <w:rPr>
          <w:rFonts w:ascii="Arial" w:hAnsi="Arial" w:cs="Arial"/>
          <w:b/>
          <w:sz w:val="28"/>
        </w:rPr>
        <w:t>Operational Policing Exam – 9</w:t>
      </w:r>
      <w:r w:rsidRPr="00EB24C8">
        <w:rPr>
          <w:rFonts w:ascii="Arial" w:hAnsi="Arial" w:cs="Arial"/>
          <w:b/>
          <w:sz w:val="28"/>
          <w:vertAlign w:val="superscript"/>
        </w:rPr>
        <w:t>th</w:t>
      </w:r>
      <w:r>
        <w:rPr>
          <w:rFonts w:ascii="Arial" w:hAnsi="Arial" w:cs="Arial"/>
          <w:b/>
          <w:sz w:val="28"/>
        </w:rPr>
        <w:t xml:space="preserve"> March 2021</w:t>
      </w:r>
    </w:p>
    <w:p w:rsidR="00EB24C8" w:rsidRDefault="00EB24C8" w:rsidP="00A473BD">
      <w:pPr>
        <w:spacing w:line="480" w:lineRule="auto"/>
        <w:rPr>
          <w:rFonts w:ascii="Arial" w:hAnsi="Arial" w:cs="Arial"/>
          <w:b/>
          <w:sz w:val="28"/>
        </w:rPr>
      </w:pPr>
    </w:p>
    <w:p w:rsidR="00EB24C8" w:rsidRDefault="00800AB4" w:rsidP="00A473BD">
      <w:pPr>
        <w:pStyle w:val="ListParagraph"/>
        <w:numPr>
          <w:ilvl w:val="0"/>
          <w:numId w:val="1"/>
        </w:numPr>
        <w:spacing w:line="480" w:lineRule="auto"/>
        <w:rPr>
          <w:rFonts w:ascii="Arial" w:hAnsi="Arial" w:cs="Arial"/>
          <w:sz w:val="24"/>
        </w:rPr>
      </w:pPr>
      <w:r>
        <w:rPr>
          <w:rFonts w:ascii="Arial" w:hAnsi="Arial" w:cs="Arial"/>
          <w:sz w:val="24"/>
        </w:rPr>
        <w:t>Under the Theft Act 1968, dishonesty is one of the five elements that must be proven. This m</w:t>
      </w:r>
      <w:bookmarkStart w:id="0" w:name="_GoBack"/>
      <w:bookmarkEnd w:id="0"/>
      <w:r>
        <w:rPr>
          <w:rFonts w:ascii="Arial" w:hAnsi="Arial" w:cs="Arial"/>
          <w:sz w:val="24"/>
        </w:rPr>
        <w:t xml:space="preserve">akes up part of the </w:t>
      </w:r>
      <w:proofErr w:type="spellStart"/>
      <w:r>
        <w:rPr>
          <w:rFonts w:ascii="Arial" w:hAnsi="Arial" w:cs="Arial"/>
          <w:sz w:val="24"/>
        </w:rPr>
        <w:t>mens</w:t>
      </w:r>
      <w:proofErr w:type="spellEnd"/>
      <w:r>
        <w:rPr>
          <w:rFonts w:ascii="Arial" w:hAnsi="Arial" w:cs="Arial"/>
          <w:sz w:val="24"/>
        </w:rPr>
        <w:t xml:space="preserve"> rea of the offence. </w:t>
      </w:r>
      <w:r w:rsidR="00E84840">
        <w:rPr>
          <w:rFonts w:ascii="Arial" w:hAnsi="Arial" w:cs="Arial"/>
          <w:sz w:val="24"/>
        </w:rPr>
        <w:t>There are some criteria which lays out what is not dishonest and these are; a person had a lawful right to take property, for example recovering property after it was taken, the person would have had the owner’s consent if they knew the circumstances so for example, if there was a fire and someone was trapped, taking a ladder from a garden would not be classed as dishonest. The final criteria is that if the owner cannot be discovered through reasonable steps, it is not classed as dishonest. Dishonesty was expanded on in the case of R v Ivey 201</w:t>
      </w:r>
      <w:r w:rsidR="00065035">
        <w:rPr>
          <w:rFonts w:ascii="Arial" w:hAnsi="Arial" w:cs="Arial"/>
          <w:sz w:val="24"/>
        </w:rPr>
        <w:t>7</w:t>
      </w:r>
      <w:r w:rsidR="00E84840">
        <w:rPr>
          <w:rFonts w:ascii="Arial" w:hAnsi="Arial" w:cs="Arial"/>
          <w:sz w:val="24"/>
        </w:rPr>
        <w:t>, where it was decided that the test for dishonesty which was first established in R v Ghosh 1982 was no longer sufficient. The original test set out in R v Ghosh 1982 included a two stage test which evaluated dishonesty from a subjective and objective viewpoint. However in R v Ivey 2017 it was decided that it should not be up to the defendant’s view to determine dishonesty as everyone has different standards and morals.</w:t>
      </w:r>
      <w:r w:rsidR="00065035">
        <w:rPr>
          <w:rFonts w:ascii="Arial" w:hAnsi="Arial" w:cs="Arial"/>
          <w:sz w:val="24"/>
        </w:rPr>
        <w:t xml:space="preserve"> The test for dishonesty is now laid out in R v Ivey 2017. </w:t>
      </w:r>
      <w:r w:rsidR="00E84840">
        <w:rPr>
          <w:rFonts w:ascii="Arial" w:hAnsi="Arial" w:cs="Arial"/>
          <w:sz w:val="24"/>
        </w:rPr>
        <w:t xml:space="preserve"> </w:t>
      </w:r>
    </w:p>
    <w:p w:rsidR="00193F3A" w:rsidRDefault="00E84840" w:rsidP="00A473BD">
      <w:pPr>
        <w:spacing w:line="480" w:lineRule="auto"/>
        <w:ind w:left="720"/>
        <w:rPr>
          <w:rFonts w:ascii="Arial" w:hAnsi="Arial" w:cs="Arial"/>
          <w:sz w:val="24"/>
        </w:rPr>
      </w:pPr>
      <w:r>
        <w:rPr>
          <w:rFonts w:ascii="Arial" w:hAnsi="Arial" w:cs="Arial"/>
          <w:sz w:val="24"/>
        </w:rPr>
        <w:t xml:space="preserve">’Belonging to another’ is also another element of the Theft Act 1968 which must be proven. This is established under Section 5(1) which explains that it belongs to another if the person has possession or control over it or has a proprietary </w:t>
      </w:r>
      <w:r w:rsidR="00193F3A">
        <w:rPr>
          <w:rFonts w:ascii="Arial" w:hAnsi="Arial" w:cs="Arial"/>
          <w:sz w:val="24"/>
        </w:rPr>
        <w:t xml:space="preserve">right or interest. This means that property does not have to be stolen from its legal owner as described in the case of R v Smith 2011 and further referenced in R v Turner where it was ruled that it is possible to steal </w:t>
      </w:r>
      <w:r w:rsidR="00193F3A">
        <w:rPr>
          <w:rFonts w:ascii="Arial" w:hAnsi="Arial" w:cs="Arial"/>
          <w:sz w:val="24"/>
        </w:rPr>
        <w:lastRenderedPageBreak/>
        <w:t xml:space="preserve">your own property. The possession does not have to be physical, for example it is possible to steal from a vending machine. To be in control of the property, a person just needs a right in the property and does not actually have to know of its existence or physically hold it in their possession as was established in the case of R v Woodman 1974. </w:t>
      </w:r>
    </w:p>
    <w:p w:rsidR="00193F3A" w:rsidRDefault="00193F3A" w:rsidP="00A473BD">
      <w:pPr>
        <w:pStyle w:val="ListParagraph"/>
        <w:numPr>
          <w:ilvl w:val="0"/>
          <w:numId w:val="1"/>
        </w:numPr>
        <w:spacing w:line="480" w:lineRule="auto"/>
        <w:rPr>
          <w:rFonts w:ascii="Arial" w:hAnsi="Arial" w:cs="Arial"/>
          <w:sz w:val="24"/>
        </w:rPr>
      </w:pPr>
      <w:r>
        <w:rPr>
          <w:rFonts w:ascii="Arial" w:hAnsi="Arial" w:cs="Arial"/>
          <w:sz w:val="24"/>
        </w:rPr>
        <w:t xml:space="preserve">A person must be proven to enter a building as one of the points to prove for burglary. The term ‘enters’ refers to the defendant entering the building or part of the building. The case of Ryan 1996 established that only entry needs to be effective and it is irrelevant if the defendant is able to steal any property. An object can be classed as an extension of a person body, but only if the object was used to steal. For example, inserting an object through a gap to unlatch a window is not burglary, but inserting a hook through the letter box to steal an item would be classed as burglary. </w:t>
      </w:r>
      <w:r w:rsidR="00065035">
        <w:rPr>
          <w:rFonts w:ascii="Arial" w:hAnsi="Arial" w:cs="Arial"/>
          <w:sz w:val="24"/>
        </w:rPr>
        <w:t xml:space="preserve">This means that a person using their arm to open a window would not be classed as burglary as they did not intend to commit the burglary, only open the window. </w:t>
      </w:r>
    </w:p>
    <w:p w:rsidR="00193F3A" w:rsidRDefault="00193F3A" w:rsidP="00A473BD">
      <w:pPr>
        <w:pStyle w:val="ListParagraph"/>
        <w:spacing w:line="480" w:lineRule="auto"/>
        <w:rPr>
          <w:rFonts w:ascii="Arial" w:hAnsi="Arial" w:cs="Arial"/>
          <w:sz w:val="24"/>
        </w:rPr>
      </w:pPr>
    </w:p>
    <w:p w:rsidR="00193F3A" w:rsidRDefault="00193F3A" w:rsidP="00A473BD">
      <w:pPr>
        <w:pStyle w:val="ListParagraph"/>
        <w:spacing w:line="480" w:lineRule="auto"/>
        <w:rPr>
          <w:rFonts w:ascii="Arial" w:hAnsi="Arial" w:cs="Arial"/>
          <w:sz w:val="24"/>
        </w:rPr>
      </w:pPr>
      <w:r>
        <w:rPr>
          <w:rFonts w:ascii="Arial" w:hAnsi="Arial" w:cs="Arial"/>
          <w:sz w:val="24"/>
        </w:rPr>
        <w:t xml:space="preserve">The term ‘building or part of a building’ would usually be decided by a jury although there is case law </w:t>
      </w:r>
      <w:r w:rsidR="00145827">
        <w:rPr>
          <w:rFonts w:ascii="Arial" w:hAnsi="Arial" w:cs="Arial"/>
          <w:sz w:val="24"/>
        </w:rPr>
        <w:t xml:space="preserve">and legislation </w:t>
      </w:r>
      <w:r>
        <w:rPr>
          <w:rFonts w:ascii="Arial" w:hAnsi="Arial" w:cs="Arial"/>
          <w:sz w:val="24"/>
        </w:rPr>
        <w:t xml:space="preserve">to </w:t>
      </w:r>
      <w:r w:rsidR="00730B27">
        <w:rPr>
          <w:rFonts w:ascii="Arial" w:hAnsi="Arial" w:cs="Arial"/>
          <w:sz w:val="24"/>
        </w:rPr>
        <w:t xml:space="preserve">determine what a building is. The Theft Act 1968 determines that a building does not need to be of stone or brickwork, but can also be wooden although the structure must have some degree of permanence. This means that it would be impossible to commit a burglary on someone who lived in a tent. The building does not have to be occupied. It is possible to commit burglary on inhabited vehicles although this depends on whether they would be classed as dwellings. </w:t>
      </w:r>
      <w:r w:rsidR="00145827">
        <w:rPr>
          <w:rFonts w:ascii="Arial" w:hAnsi="Arial" w:cs="Arial"/>
          <w:sz w:val="24"/>
        </w:rPr>
        <w:t xml:space="preserve">For example, if a person burgled a caravan where someone was living then that would be </w:t>
      </w:r>
      <w:r w:rsidR="00145827">
        <w:rPr>
          <w:rFonts w:ascii="Arial" w:hAnsi="Arial" w:cs="Arial"/>
          <w:sz w:val="24"/>
        </w:rPr>
        <w:lastRenderedPageBreak/>
        <w:t xml:space="preserve">burglary. If the caravan was empty and had been for some time as is often the case for holiday caravans then this would not be burglary. </w:t>
      </w:r>
      <w:r w:rsidR="00730B27">
        <w:rPr>
          <w:rFonts w:ascii="Arial" w:hAnsi="Arial" w:cs="Arial"/>
          <w:sz w:val="24"/>
        </w:rPr>
        <w:t xml:space="preserve">A building can be a structure with more than one part. For example, a shop may have a storeroom in the back of the building where it can be possible to commit burglary rather than theft. </w:t>
      </w:r>
    </w:p>
    <w:p w:rsidR="00730B27" w:rsidRDefault="00730B27" w:rsidP="00A473BD">
      <w:pPr>
        <w:pStyle w:val="ListParagraph"/>
        <w:spacing w:line="480" w:lineRule="auto"/>
        <w:rPr>
          <w:rFonts w:ascii="Arial" w:hAnsi="Arial" w:cs="Arial"/>
          <w:sz w:val="24"/>
        </w:rPr>
      </w:pPr>
    </w:p>
    <w:p w:rsidR="00C265AA" w:rsidRDefault="00730B27" w:rsidP="00A473BD">
      <w:pPr>
        <w:pStyle w:val="ListParagraph"/>
        <w:numPr>
          <w:ilvl w:val="0"/>
          <w:numId w:val="1"/>
        </w:numPr>
        <w:spacing w:line="480" w:lineRule="auto"/>
        <w:rPr>
          <w:rFonts w:ascii="Arial" w:hAnsi="Arial" w:cs="Arial"/>
          <w:sz w:val="24"/>
        </w:rPr>
      </w:pPr>
      <w:r>
        <w:rPr>
          <w:rFonts w:ascii="Arial" w:hAnsi="Arial" w:cs="Arial"/>
          <w:sz w:val="24"/>
        </w:rPr>
        <w:t xml:space="preserve">The offence committed would be wounding or inflicting grievous bodily harm under section 18 of the Offences against the Persons Act 1861 or s.18 GBH. S.18 GBH is described as unlawfully and maliciously wounding or inflicting GBH upon another person with or without </w:t>
      </w:r>
      <w:r w:rsidR="00C265AA">
        <w:rPr>
          <w:rFonts w:ascii="Arial" w:hAnsi="Arial" w:cs="Arial"/>
          <w:sz w:val="24"/>
        </w:rPr>
        <w:t xml:space="preserve">a weapon with intent to do GBH. In this case, person A has intended to hit and injure someone with the brick so they clearly have an intention to do GBH under s.18. The brick causes really serious bodily harm and GBH is described as being really serious harm. They have unlawfully and maliciously caused GBH or wounded the person with intent. A wound can constitute layers of skin being broken but a mere abrasion is not enough. A substantial injury is broken bones or substantial loss of blood which in this case, would be likely. </w:t>
      </w:r>
    </w:p>
    <w:p w:rsidR="00345CF8" w:rsidRPr="00345CF8" w:rsidRDefault="00345CF8" w:rsidP="00A473BD">
      <w:pPr>
        <w:spacing w:line="480" w:lineRule="auto"/>
        <w:ind w:left="720"/>
        <w:rPr>
          <w:rFonts w:ascii="Arial" w:hAnsi="Arial" w:cs="Arial"/>
          <w:sz w:val="24"/>
        </w:rPr>
      </w:pPr>
      <w:r>
        <w:rPr>
          <w:rFonts w:ascii="Arial" w:hAnsi="Arial" w:cs="Arial"/>
          <w:sz w:val="24"/>
        </w:rPr>
        <w:t xml:space="preserve">The offence could be s.20 GBH if the person did not intend to hit someone and was just throwing the bricks recklessly, although it is clearly stated that they intended to hit and injure someone. </w:t>
      </w:r>
    </w:p>
    <w:p w:rsidR="00C265AA" w:rsidRDefault="00C265AA" w:rsidP="00A473BD">
      <w:pPr>
        <w:spacing w:line="480" w:lineRule="auto"/>
        <w:rPr>
          <w:rFonts w:ascii="Arial" w:hAnsi="Arial" w:cs="Arial"/>
          <w:sz w:val="24"/>
        </w:rPr>
      </w:pPr>
    </w:p>
    <w:p w:rsidR="00730B27" w:rsidRDefault="00C265AA" w:rsidP="00A473BD">
      <w:pPr>
        <w:pStyle w:val="ListParagraph"/>
        <w:numPr>
          <w:ilvl w:val="0"/>
          <w:numId w:val="1"/>
        </w:numPr>
        <w:spacing w:line="480" w:lineRule="auto"/>
        <w:rPr>
          <w:rFonts w:ascii="Arial" w:hAnsi="Arial" w:cs="Arial"/>
          <w:sz w:val="24"/>
        </w:rPr>
      </w:pPr>
      <w:r>
        <w:rPr>
          <w:rFonts w:ascii="Arial" w:hAnsi="Arial" w:cs="Arial"/>
          <w:sz w:val="24"/>
        </w:rPr>
        <w:t xml:space="preserve">It is vital that the needs of victims be met to ensure they have faith in the criminal justice system and have the appropriate support when they are a victim of crime, no matter how small. This all begins with the first responding </w:t>
      </w:r>
      <w:r>
        <w:rPr>
          <w:rFonts w:ascii="Arial" w:hAnsi="Arial" w:cs="Arial"/>
          <w:sz w:val="24"/>
        </w:rPr>
        <w:lastRenderedPageBreak/>
        <w:t xml:space="preserve">officer who must establish a rapport with the victim and make sure they are treated as an individual, rather than just another victim. It is important that the officer must communicate and listen to the victim effectively and identify if they are vulnerable or intimidated and take appropriate steps to make sure their needs are met. The victim is most likely going to be effected by the crime, so any support needs must be identified. This can include any medical attention or </w:t>
      </w:r>
      <w:r w:rsidR="00584B5E">
        <w:rPr>
          <w:rFonts w:ascii="Arial" w:hAnsi="Arial" w:cs="Arial"/>
          <w:sz w:val="24"/>
        </w:rPr>
        <w:t xml:space="preserve">reassurance if they are scared or in shock. The officer must make a record if the victim is able to communicate so that any information can be gathered about the crime and the victim feels that they are being treated seriously. A Victim Personal Statement can be given at the time of the offence or at any time after that which enables the victim to describe the effects that the crime has had on them. This allows the victim to feel more involved in the case and can help identify if they are at risk of intimidation or are already intimidated.  If they are intimidated then it is possible that the quality of evidence might be diminished and can make them reluctant to go to court and give evidence. If the victim is vulnerable such as a suffering from mental or physical disorder then they can have an appropriate adult who can help them with the process. It is important when communicating with vulnerable or intimidated victims to be patient and to be less formal so as not to intimidate them. This includes dropping police jargon and asking open questions to get them talking. This can include using the 5W questioning tool which utilises </w:t>
      </w:r>
      <w:r w:rsidR="00145827">
        <w:rPr>
          <w:rFonts w:ascii="Arial" w:hAnsi="Arial" w:cs="Arial"/>
          <w:sz w:val="24"/>
        </w:rPr>
        <w:t>‘</w:t>
      </w:r>
      <w:r w:rsidR="00584B5E">
        <w:rPr>
          <w:rFonts w:ascii="Arial" w:hAnsi="Arial" w:cs="Arial"/>
          <w:sz w:val="24"/>
        </w:rPr>
        <w:t>who, what, when, where, why and how</w:t>
      </w:r>
      <w:r w:rsidR="00145827">
        <w:rPr>
          <w:rFonts w:ascii="Arial" w:hAnsi="Arial" w:cs="Arial"/>
          <w:sz w:val="24"/>
        </w:rPr>
        <w:t>’</w:t>
      </w:r>
      <w:r w:rsidR="00584B5E">
        <w:rPr>
          <w:rFonts w:ascii="Arial" w:hAnsi="Arial" w:cs="Arial"/>
          <w:sz w:val="24"/>
        </w:rPr>
        <w:t xml:space="preserve"> in order to get them talking. It’s vital that victims of crime are put into contact with appropriate support age</w:t>
      </w:r>
      <w:r w:rsidR="00980B7C">
        <w:rPr>
          <w:rFonts w:ascii="Arial" w:hAnsi="Arial" w:cs="Arial"/>
          <w:sz w:val="24"/>
        </w:rPr>
        <w:t>ncies so that they get the help they n</w:t>
      </w:r>
      <w:r w:rsidR="00584B5E">
        <w:rPr>
          <w:rFonts w:ascii="Arial" w:hAnsi="Arial" w:cs="Arial"/>
          <w:sz w:val="24"/>
        </w:rPr>
        <w:t xml:space="preserve">eed. </w:t>
      </w:r>
      <w:r w:rsidR="00980B7C">
        <w:rPr>
          <w:rFonts w:ascii="Arial" w:hAnsi="Arial" w:cs="Arial"/>
          <w:sz w:val="24"/>
        </w:rPr>
        <w:t xml:space="preserve">The victim should be updated about the case within 5 days of reporting a crime or arresting the suspect or if they are </w:t>
      </w:r>
      <w:r w:rsidR="00980B7C">
        <w:rPr>
          <w:rFonts w:ascii="Arial" w:hAnsi="Arial" w:cs="Arial"/>
          <w:sz w:val="24"/>
        </w:rPr>
        <w:lastRenderedPageBreak/>
        <w:t xml:space="preserve">interviews with caution, released without charge or released on bail. It is important that when the case goes to trial, special measures must be considered for the victim. This can include screening the victim from the accused in the case of traumatic crimes or the use of video recording for giving evidence. </w:t>
      </w:r>
      <w:r w:rsidR="00145827">
        <w:rPr>
          <w:rFonts w:ascii="Arial" w:hAnsi="Arial" w:cs="Arial"/>
          <w:sz w:val="24"/>
        </w:rPr>
        <w:t xml:space="preserve">This can also include the use of an interpreter.  </w:t>
      </w:r>
    </w:p>
    <w:p w:rsidR="00980B7C" w:rsidRDefault="00980B7C" w:rsidP="00A473BD">
      <w:pPr>
        <w:spacing w:line="480" w:lineRule="auto"/>
        <w:rPr>
          <w:rFonts w:ascii="Arial" w:hAnsi="Arial" w:cs="Arial"/>
          <w:sz w:val="24"/>
        </w:rPr>
      </w:pPr>
    </w:p>
    <w:p w:rsidR="00980B7C" w:rsidRDefault="00980B7C" w:rsidP="00A473BD">
      <w:pPr>
        <w:pStyle w:val="ListParagraph"/>
        <w:numPr>
          <w:ilvl w:val="0"/>
          <w:numId w:val="1"/>
        </w:numPr>
        <w:spacing w:line="480" w:lineRule="auto"/>
        <w:rPr>
          <w:rFonts w:ascii="Arial" w:hAnsi="Arial" w:cs="Arial"/>
          <w:sz w:val="24"/>
        </w:rPr>
      </w:pPr>
      <w:r>
        <w:rPr>
          <w:rFonts w:ascii="Arial" w:hAnsi="Arial" w:cs="Arial"/>
          <w:sz w:val="24"/>
        </w:rPr>
        <w:t>Police use the PEACE model when interviewing suspects and witnesses. This is an acronym which allows officers to construct an interview structure and conducting the interview to gather accurate and reliable information. The P in PEACE stands for ‘planning and preparation’. This involves developing a strategy and assembling all the facts. It is important to consider the suspect or witness’s role in the investigation and how they fit into the overall timeline of events. Each investigating officer is different so may have a different strategy for preparing. Some may write down all the questions they mean to ask and probe for more information and some may only writ</w:t>
      </w:r>
      <w:r w:rsidR="00B77002">
        <w:rPr>
          <w:rFonts w:ascii="Arial" w:hAnsi="Arial" w:cs="Arial"/>
          <w:sz w:val="24"/>
        </w:rPr>
        <w:t xml:space="preserve">e down a </w:t>
      </w:r>
      <w:r>
        <w:rPr>
          <w:rFonts w:ascii="Arial" w:hAnsi="Arial" w:cs="Arial"/>
          <w:sz w:val="24"/>
        </w:rPr>
        <w:t xml:space="preserve">few key points. </w:t>
      </w:r>
      <w:r w:rsidR="00B77002">
        <w:rPr>
          <w:rFonts w:ascii="Arial" w:hAnsi="Arial" w:cs="Arial"/>
          <w:sz w:val="24"/>
        </w:rPr>
        <w:t xml:space="preserve">It is important to consider if the suspect or witness needs any special measures or an appropriate adult. Resources such as exhibits or witness statements forms must be considered as well as the time, location and duration of the interview if the witness has other commitments such as children. The investigator must have a full knowledge of any offences that may have been committed and be able to apply that to the case. A second plan may be needed in case an officer is ill or there are external factors preventing the interview from occurring. The next part of the PEACE model is E, which stands for ‘Engage and Explain’. This involves setting out basic ground rules and establishing a rapport with the suspect or witness to try and get them </w:t>
      </w:r>
      <w:r w:rsidR="00B77002">
        <w:rPr>
          <w:rFonts w:ascii="Arial" w:hAnsi="Arial" w:cs="Arial"/>
          <w:sz w:val="24"/>
        </w:rPr>
        <w:lastRenderedPageBreak/>
        <w:t>talking. This can include talking about common interests to build a level of trust. This is when the officer would explain the interview process. The A in PEACE stands for account. This includes setting the scene and laying out all the facts. This part of the interview encourages the suspect or witness to tell the events from their perspective. It’s vital that the interviewer listens carefully and probes for information when required. It may be necessary to challenge them if the interviewer believes they are deliberately withholding information. There are 2 acronyms under this section which can help when gathering witness evidence, the first being SHACKS. This stands for seen, heard, actions, conversations, knowledge and smells. The other is ADVOKATE. This stands for amount of time under observation, distance, visibility, obstructions, known or seen before, any reason to remember, time lapse and error. This can help with the witness’s free recall of events. The next part of PEACE is C, which stands for ‘</w:t>
      </w:r>
      <w:r w:rsidR="00AB2981">
        <w:rPr>
          <w:rFonts w:ascii="Arial" w:hAnsi="Arial" w:cs="Arial"/>
          <w:sz w:val="24"/>
        </w:rPr>
        <w:t xml:space="preserve">Closure’. This is when the investigator closes the interview and explain the next steps in the process. This can include court appearances, victim support or compensation. The final part of PEACE is ‘Evaluation’. This is when the interviewer evaluates their performance and how well the interview went. </w:t>
      </w:r>
    </w:p>
    <w:p w:rsidR="00AB2981" w:rsidRPr="00AB2981" w:rsidRDefault="00AB2981" w:rsidP="00A473BD">
      <w:pPr>
        <w:spacing w:line="480" w:lineRule="auto"/>
        <w:ind w:left="720"/>
        <w:rPr>
          <w:rFonts w:ascii="Arial" w:hAnsi="Arial" w:cs="Arial"/>
          <w:sz w:val="24"/>
        </w:rPr>
      </w:pPr>
      <w:r>
        <w:rPr>
          <w:rFonts w:ascii="Arial" w:hAnsi="Arial" w:cs="Arial"/>
          <w:sz w:val="24"/>
        </w:rPr>
        <w:t xml:space="preserve">The effectiveness of the PEACE model relies partly on the investigator. If the investigator does not plan effectively and learn their role, the interview can be unsuccessful. The officer must have good investigation skills to be able to conduct the interview but also good listening skills so they know when to probe for further information and when to keep quiet and let them talk. The investigation also relies on the investigator building a rapport with the person being interviewed. If they don’t feel comfortable talking to the officer, they are </w:t>
      </w:r>
      <w:r>
        <w:rPr>
          <w:rFonts w:ascii="Arial" w:hAnsi="Arial" w:cs="Arial"/>
          <w:sz w:val="24"/>
        </w:rPr>
        <w:lastRenderedPageBreak/>
        <w:t xml:space="preserve">less likely to want to provide details and give statements. The evaluation part of the model relies entirely on the honesty of the officers. In order for them to improve their investigation skills, they must be completely honest about where they went wrong and where they can improve. </w:t>
      </w:r>
      <w:r w:rsidR="00333788">
        <w:rPr>
          <w:rFonts w:ascii="Arial" w:hAnsi="Arial" w:cs="Arial"/>
          <w:sz w:val="24"/>
        </w:rPr>
        <w:t xml:space="preserve">Overall the PEACE model provides a solid structure for investigators to obtain accurate and reliable information from interviews. </w:t>
      </w:r>
    </w:p>
    <w:p w:rsidR="00E84840" w:rsidRPr="00E84840" w:rsidRDefault="00E84840" w:rsidP="00E84840">
      <w:pPr>
        <w:rPr>
          <w:rFonts w:ascii="Arial" w:hAnsi="Arial" w:cs="Arial"/>
          <w:sz w:val="24"/>
        </w:rPr>
      </w:pPr>
    </w:p>
    <w:p w:rsidR="00800AB4" w:rsidRDefault="00800AB4">
      <w:pPr>
        <w:rPr>
          <w:rFonts w:ascii="Arial" w:hAnsi="Arial" w:cs="Arial"/>
          <w:sz w:val="24"/>
        </w:rPr>
      </w:pPr>
    </w:p>
    <w:p w:rsidR="00800AB4" w:rsidRPr="00EB24C8" w:rsidRDefault="00800AB4">
      <w:pPr>
        <w:rPr>
          <w:rFonts w:ascii="Arial" w:hAnsi="Arial" w:cs="Arial"/>
          <w:sz w:val="24"/>
        </w:rPr>
      </w:pPr>
    </w:p>
    <w:sectPr w:rsidR="00800AB4" w:rsidRPr="00EB24C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460" w:rsidRDefault="00727460" w:rsidP="00EB24C8">
      <w:pPr>
        <w:spacing w:after="0" w:line="240" w:lineRule="auto"/>
      </w:pPr>
      <w:r>
        <w:separator/>
      </w:r>
    </w:p>
  </w:endnote>
  <w:endnote w:type="continuationSeparator" w:id="0">
    <w:p w:rsidR="00727460" w:rsidRDefault="00727460" w:rsidP="00EB2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460" w:rsidRDefault="00727460" w:rsidP="00EB24C8">
      <w:pPr>
        <w:spacing w:after="0" w:line="240" w:lineRule="auto"/>
      </w:pPr>
      <w:r>
        <w:separator/>
      </w:r>
    </w:p>
  </w:footnote>
  <w:footnote w:type="continuationSeparator" w:id="0">
    <w:p w:rsidR="00727460" w:rsidRDefault="00727460" w:rsidP="00EB24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24C8" w:rsidRDefault="00EB24C8">
    <w:pPr>
      <w:pStyle w:val="Header"/>
    </w:pPr>
    <w:r>
      <w:t>Daniel Davies</w:t>
    </w:r>
    <w:r>
      <w:tab/>
    </w:r>
    <w:r>
      <w:tab/>
      <w:t>1801063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D07B08"/>
    <w:multiLevelType w:val="hybridMultilevel"/>
    <w:tmpl w:val="4FDE8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4C8"/>
    <w:rsid w:val="00065035"/>
    <w:rsid w:val="00145827"/>
    <w:rsid w:val="00193F3A"/>
    <w:rsid w:val="00333788"/>
    <w:rsid w:val="00345CF8"/>
    <w:rsid w:val="00584B5E"/>
    <w:rsid w:val="00727460"/>
    <w:rsid w:val="00730B27"/>
    <w:rsid w:val="00800AB4"/>
    <w:rsid w:val="00893E32"/>
    <w:rsid w:val="00980B7C"/>
    <w:rsid w:val="00A473BD"/>
    <w:rsid w:val="00AB2981"/>
    <w:rsid w:val="00AC6615"/>
    <w:rsid w:val="00B77002"/>
    <w:rsid w:val="00C265AA"/>
    <w:rsid w:val="00D67F99"/>
    <w:rsid w:val="00E84840"/>
    <w:rsid w:val="00EB2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9C7C78-9892-4434-A674-6EF89CB34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24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4C8"/>
  </w:style>
  <w:style w:type="paragraph" w:styleId="Footer">
    <w:name w:val="footer"/>
    <w:basedOn w:val="Normal"/>
    <w:link w:val="FooterChar"/>
    <w:uiPriority w:val="99"/>
    <w:unhideWhenUsed/>
    <w:rsid w:val="00EB24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4C8"/>
  </w:style>
  <w:style w:type="paragraph" w:styleId="ListParagraph">
    <w:name w:val="List Paragraph"/>
    <w:basedOn w:val="Normal"/>
    <w:uiPriority w:val="34"/>
    <w:qFormat/>
    <w:rsid w:val="00800A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7</Pages>
  <Words>1647</Words>
  <Characters>9390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Davies</dc:creator>
  <cp:keywords/>
  <dc:description/>
  <cp:lastModifiedBy>Dan Davies</cp:lastModifiedBy>
  <cp:revision>8</cp:revision>
  <dcterms:created xsi:type="dcterms:W3CDTF">2021-03-09T14:53:00Z</dcterms:created>
  <dcterms:modified xsi:type="dcterms:W3CDTF">2021-03-09T16:39:00Z</dcterms:modified>
</cp:coreProperties>
</file>