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14351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14351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Research Topic: </w:t>
      </w:r>
      <w:r w:rsidDel="00000000" w:rsidR="00000000" w:rsidRPr="00000000">
        <w:rPr>
          <w:rFonts w:ascii="Times New Roman" w:cs="Times New Roman" w:eastAsia="Times New Roman" w:hAnsi="Times New Roman"/>
          <w:sz w:val="24"/>
          <w:szCs w:val="24"/>
          <w:rtl w:val="0"/>
        </w:rPr>
        <w:t xml:space="preserve">Responsible AI and Workforce Retention in Private Healthcare: A Philosophical and Methodological Review</w:t>
      </w:r>
    </w:p>
    <w:p w:rsidR="00000000" w:rsidDel="00000000" w:rsidP="00000000" w:rsidRDefault="00000000" w:rsidRPr="00000000" w14:paraId="00000004">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w:t>
      </w:r>
    </w:p>
    <w:p w:rsidR="00000000" w:rsidDel="00000000" w:rsidP="00000000" w:rsidRDefault="00000000" w:rsidRPr="00000000" w14:paraId="0000000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w:t>
      </w:r>
    </w:p>
    <w:p w:rsidR="00000000" w:rsidDel="00000000" w:rsidP="00000000" w:rsidRDefault="00000000" w:rsidRPr="00000000" w14:paraId="00000008">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Supervisor:</w:t>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Declaration</w:t>
      </w:r>
    </w:p>
    <w:p w:rsidR="00000000" w:rsidDel="00000000" w:rsidP="00000000" w:rsidRDefault="00000000" w:rsidRPr="00000000" w14:paraId="0000000D">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E">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confirm that this assignment is my own work, that it has not been submitted for any other award, and that all sources have been acknowledged.</w:t>
      </w:r>
    </w:p>
    <w:p w:rsidR="00000000" w:rsidDel="00000000" w:rsidP="00000000" w:rsidRDefault="00000000" w:rsidRPr="00000000" w14:paraId="0000000F">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0">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Signed…….</w:t>
      </w:r>
    </w:p>
    <w:p w:rsidR="00000000" w:rsidDel="00000000" w:rsidP="00000000" w:rsidRDefault="00000000" w:rsidRPr="00000000" w14:paraId="00000011">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2">
      <w:pPr>
        <w:spacing w:after="16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If you have used AI for any reason please mention that too .</w:t>
      </w:r>
      <w:r w:rsidDel="00000000" w:rsidR="00000000" w:rsidRPr="00000000">
        <w:rPr>
          <w:rtl w:val="0"/>
        </w:rPr>
      </w:r>
    </w:p>
    <w:p w:rsidR="00000000" w:rsidDel="00000000" w:rsidP="00000000" w:rsidRDefault="00000000" w:rsidRPr="00000000" w14:paraId="00000013">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List of Figures</w:t>
      </w:r>
    </w:p>
    <w:sdt>
      <w:sdtPr>
        <w:id w:val="1440896676"/>
        <w:docPartObj>
          <w:docPartGallery w:val="Table of Contents"/>
          <w:docPartUnique w:val="1"/>
        </w:docPartObj>
      </w:sdtPr>
      <w:sdtContent>
        <w:p w:rsidR="00000000" w:rsidDel="00000000" w:rsidP="00000000" w:rsidRDefault="00000000" w:rsidRPr="00000000" w14:paraId="00000016">
          <w:pPr>
            <w:widowControl w:val="0"/>
            <w:tabs>
              <w:tab w:val="right" w:leader="none" w:pos="9025.511811023624"/>
            </w:tabs>
            <w:spacing w:before="60" w:line="240" w:lineRule="auto"/>
            <w:ind w:left="360" w:firstLine="0"/>
            <w:rPr>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qin0vu2xfl24">
            <w:r w:rsidDel="00000000" w:rsidR="00000000" w:rsidRPr="00000000">
              <w:rPr>
                <w:color w:val="000000"/>
                <w:u w:val="none"/>
                <w:rtl w:val="0"/>
              </w:rPr>
              <w:t xml:space="preserve">Abstract</w:t>
              <w:tab/>
            </w:r>
          </w:hyperlink>
          <w:r w:rsidDel="00000000" w:rsidR="00000000" w:rsidRPr="00000000">
            <w:fldChar w:fldCharType="begin"/>
            <w:instrText xml:space="preserve"> PAGEREF _qin0vu2xfl24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511811023624"/>
            </w:tabs>
            <w:spacing w:before="60" w:line="240" w:lineRule="auto"/>
            <w:ind w:left="720" w:firstLine="0"/>
            <w:rPr>
              <w:color w:val="000000"/>
              <w:u w:val="none"/>
            </w:rPr>
          </w:pPr>
          <w:hyperlink w:anchor="_pa9ofzfae0vb">
            <w:r w:rsidDel="00000000" w:rsidR="00000000" w:rsidRPr="00000000">
              <w:rPr>
                <w:color w:val="000000"/>
                <w:u w:val="none"/>
                <w:rtl w:val="0"/>
              </w:rPr>
              <w:t xml:space="preserve">Purpose</w:t>
              <w:tab/>
            </w:r>
          </w:hyperlink>
          <w:r w:rsidDel="00000000" w:rsidR="00000000" w:rsidRPr="00000000">
            <w:fldChar w:fldCharType="begin"/>
            <w:instrText xml:space="preserve"> PAGEREF _pa9ofzfae0vb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511811023624"/>
            </w:tabs>
            <w:spacing w:before="60" w:line="240" w:lineRule="auto"/>
            <w:ind w:left="720" w:firstLine="0"/>
            <w:rPr>
              <w:color w:val="000000"/>
              <w:u w:val="none"/>
            </w:rPr>
          </w:pPr>
          <w:hyperlink w:anchor="_zeds0k28r4o7">
            <w:r w:rsidDel="00000000" w:rsidR="00000000" w:rsidRPr="00000000">
              <w:rPr>
                <w:color w:val="000000"/>
                <w:u w:val="none"/>
                <w:rtl w:val="0"/>
              </w:rPr>
              <w:t xml:space="preserve">Method</w:t>
              <w:tab/>
            </w:r>
          </w:hyperlink>
          <w:r w:rsidDel="00000000" w:rsidR="00000000" w:rsidRPr="00000000">
            <w:fldChar w:fldCharType="begin"/>
            <w:instrText xml:space="preserve"> PAGEREF _zeds0k28r4o7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025.511811023624"/>
            </w:tabs>
            <w:spacing w:before="60" w:line="240" w:lineRule="auto"/>
            <w:ind w:left="720" w:firstLine="0"/>
            <w:rPr>
              <w:color w:val="000000"/>
              <w:u w:val="none"/>
            </w:rPr>
          </w:pPr>
          <w:hyperlink w:anchor="_vuek7oernfeq">
            <w:r w:rsidDel="00000000" w:rsidR="00000000" w:rsidRPr="00000000">
              <w:rPr>
                <w:color w:val="000000"/>
                <w:u w:val="none"/>
                <w:rtl w:val="0"/>
              </w:rPr>
              <w:t xml:space="preserve">Findings</w:t>
              <w:tab/>
            </w:r>
          </w:hyperlink>
          <w:r w:rsidDel="00000000" w:rsidR="00000000" w:rsidRPr="00000000">
            <w:fldChar w:fldCharType="begin"/>
            <w:instrText xml:space="preserve"> PAGEREF _vuek7oernfeq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025.511811023624"/>
            </w:tabs>
            <w:spacing w:before="60" w:line="240" w:lineRule="auto"/>
            <w:ind w:left="720" w:firstLine="0"/>
            <w:rPr>
              <w:color w:val="000000"/>
              <w:u w:val="none"/>
            </w:rPr>
          </w:pPr>
          <w:hyperlink w:anchor="_blxf177c2ir1">
            <w:r w:rsidDel="00000000" w:rsidR="00000000" w:rsidRPr="00000000">
              <w:rPr>
                <w:color w:val="000000"/>
                <w:u w:val="none"/>
                <w:rtl w:val="0"/>
              </w:rPr>
              <w:t xml:space="preserve">Originality and value</w:t>
              <w:tab/>
            </w:r>
          </w:hyperlink>
          <w:r w:rsidDel="00000000" w:rsidR="00000000" w:rsidRPr="00000000">
            <w:fldChar w:fldCharType="begin"/>
            <w:instrText xml:space="preserve"> PAGEREF _blxf177c2ir1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025.511811023624"/>
            </w:tabs>
            <w:spacing w:before="60" w:line="240" w:lineRule="auto"/>
            <w:ind w:left="360" w:firstLine="0"/>
            <w:rPr>
              <w:color w:val="000000"/>
              <w:u w:val="none"/>
            </w:rPr>
          </w:pPr>
          <w:hyperlink w:anchor="_632ufwj9rdsy">
            <w:r w:rsidDel="00000000" w:rsidR="00000000" w:rsidRPr="00000000">
              <w:rPr>
                <w:color w:val="000000"/>
                <w:u w:val="none"/>
                <w:rtl w:val="0"/>
              </w:rPr>
              <w:t xml:space="preserve">1. Introduction</w:t>
              <w:tab/>
            </w:r>
          </w:hyperlink>
          <w:r w:rsidDel="00000000" w:rsidR="00000000" w:rsidRPr="00000000">
            <w:fldChar w:fldCharType="begin"/>
            <w:instrText xml:space="preserve"> PAGEREF _632ufwj9rdsy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025.511811023624"/>
            </w:tabs>
            <w:spacing w:before="60" w:line="240" w:lineRule="auto"/>
            <w:ind w:left="720" w:firstLine="0"/>
            <w:rPr>
              <w:color w:val="000000"/>
              <w:u w:val="none"/>
            </w:rPr>
          </w:pPr>
          <w:hyperlink w:anchor="_j3a7qieeevy4">
            <w:r w:rsidDel="00000000" w:rsidR="00000000" w:rsidRPr="00000000">
              <w:rPr>
                <w:color w:val="000000"/>
                <w:u w:val="none"/>
                <w:rtl w:val="0"/>
              </w:rPr>
              <w:t xml:space="preserve">1.1 Background</w:t>
              <w:tab/>
            </w:r>
          </w:hyperlink>
          <w:r w:rsidDel="00000000" w:rsidR="00000000" w:rsidRPr="00000000">
            <w:fldChar w:fldCharType="begin"/>
            <w:instrText xml:space="preserve"> PAGEREF _j3a7qieeevy4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025.511811023624"/>
            </w:tabs>
            <w:spacing w:before="60" w:line="240" w:lineRule="auto"/>
            <w:ind w:left="720" w:firstLine="0"/>
            <w:rPr>
              <w:color w:val="000000"/>
              <w:u w:val="none"/>
            </w:rPr>
          </w:pPr>
          <w:hyperlink w:anchor="_k25pfsfpy447">
            <w:r w:rsidDel="00000000" w:rsidR="00000000" w:rsidRPr="00000000">
              <w:rPr>
                <w:color w:val="000000"/>
                <w:u w:val="none"/>
                <w:rtl w:val="0"/>
              </w:rPr>
              <w:t xml:space="preserve">1.2 Research Problem</w:t>
              <w:tab/>
            </w:r>
          </w:hyperlink>
          <w:r w:rsidDel="00000000" w:rsidR="00000000" w:rsidRPr="00000000">
            <w:fldChar w:fldCharType="begin"/>
            <w:instrText xml:space="preserve"> PAGEREF _k25pfsfpy447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9025.511811023624"/>
            </w:tabs>
            <w:spacing w:before="60" w:line="240" w:lineRule="auto"/>
            <w:ind w:left="720" w:firstLine="0"/>
            <w:rPr>
              <w:color w:val="000000"/>
              <w:u w:val="none"/>
            </w:rPr>
          </w:pPr>
          <w:hyperlink w:anchor="_rmh4rwpirpn5">
            <w:r w:rsidDel="00000000" w:rsidR="00000000" w:rsidRPr="00000000">
              <w:rPr>
                <w:color w:val="000000"/>
                <w:u w:val="none"/>
                <w:rtl w:val="0"/>
              </w:rPr>
              <w:t xml:space="preserve">1.3 Purpose of the Coursework</w:t>
              <w:tab/>
            </w:r>
          </w:hyperlink>
          <w:r w:rsidDel="00000000" w:rsidR="00000000" w:rsidRPr="00000000">
            <w:fldChar w:fldCharType="begin"/>
            <w:instrText xml:space="preserve"> PAGEREF _rmh4rwpirpn5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none" w:pos="9025.511811023624"/>
            </w:tabs>
            <w:spacing w:before="60" w:line="240" w:lineRule="auto"/>
            <w:ind w:left="720" w:firstLine="0"/>
            <w:rPr>
              <w:color w:val="000000"/>
              <w:u w:val="none"/>
            </w:rPr>
          </w:pPr>
          <w:hyperlink w:anchor="_nllqv691bugv">
            <w:r w:rsidDel="00000000" w:rsidR="00000000" w:rsidRPr="00000000">
              <w:rPr>
                <w:color w:val="000000"/>
                <w:u w:val="none"/>
                <w:rtl w:val="0"/>
              </w:rPr>
              <w:t xml:space="preserve">1.4 Research Questions</w:t>
              <w:tab/>
            </w:r>
          </w:hyperlink>
          <w:r w:rsidDel="00000000" w:rsidR="00000000" w:rsidRPr="00000000">
            <w:fldChar w:fldCharType="begin"/>
            <w:instrText xml:space="preserve"> PAGEREF _nllqv691bugv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none" w:pos="9025.511811023624"/>
            </w:tabs>
            <w:spacing w:before="60" w:line="240" w:lineRule="auto"/>
            <w:ind w:left="720" w:firstLine="0"/>
            <w:rPr>
              <w:color w:val="000000"/>
              <w:u w:val="none"/>
            </w:rPr>
          </w:pPr>
          <w:hyperlink w:anchor="_e1dspsswtppc">
            <w:r w:rsidDel="00000000" w:rsidR="00000000" w:rsidRPr="00000000">
              <w:rPr>
                <w:color w:val="000000"/>
                <w:u w:val="none"/>
                <w:rtl w:val="0"/>
              </w:rPr>
              <w:t xml:space="preserve">1.5 Key Concepts</w:t>
              <w:tab/>
            </w:r>
          </w:hyperlink>
          <w:r w:rsidDel="00000000" w:rsidR="00000000" w:rsidRPr="00000000">
            <w:fldChar w:fldCharType="begin"/>
            <w:instrText xml:space="preserve"> PAGEREF _e1dspsswtppc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none" w:pos="9025.511811023624"/>
            </w:tabs>
            <w:spacing w:before="60" w:line="240" w:lineRule="auto"/>
            <w:ind w:left="360" w:firstLine="0"/>
            <w:rPr>
              <w:color w:val="000000"/>
              <w:u w:val="none"/>
            </w:rPr>
          </w:pPr>
          <w:hyperlink w:anchor="_6vy0699e33ny">
            <w:r w:rsidDel="00000000" w:rsidR="00000000" w:rsidRPr="00000000">
              <w:rPr>
                <w:color w:val="000000"/>
                <w:u w:val="none"/>
                <w:rtl w:val="0"/>
              </w:rPr>
              <w:t xml:space="preserve">2. Method for Conducting the Literature Review</w:t>
              <w:tab/>
            </w:r>
          </w:hyperlink>
          <w:r w:rsidDel="00000000" w:rsidR="00000000" w:rsidRPr="00000000">
            <w:fldChar w:fldCharType="begin"/>
            <w:instrText xml:space="preserve"> PAGEREF _6vy0699e33ny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none" w:pos="9025.511811023624"/>
            </w:tabs>
            <w:spacing w:before="60" w:line="240" w:lineRule="auto"/>
            <w:ind w:left="720" w:firstLine="0"/>
            <w:rPr>
              <w:color w:val="000000"/>
              <w:u w:val="none"/>
            </w:rPr>
          </w:pPr>
          <w:hyperlink w:anchor="_j774xtmtjy29">
            <w:r w:rsidDel="00000000" w:rsidR="00000000" w:rsidRPr="00000000">
              <w:rPr>
                <w:color w:val="000000"/>
                <w:u w:val="none"/>
                <w:rtl w:val="0"/>
              </w:rPr>
              <w:t xml:space="preserve">2.1 Review Design</w:t>
              <w:tab/>
            </w:r>
          </w:hyperlink>
          <w:r w:rsidDel="00000000" w:rsidR="00000000" w:rsidRPr="00000000">
            <w:fldChar w:fldCharType="begin"/>
            <w:instrText xml:space="preserve"> PAGEREF _j774xtmtjy29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none" w:pos="9025.511811023624"/>
            </w:tabs>
            <w:spacing w:before="60" w:line="240" w:lineRule="auto"/>
            <w:ind w:left="720" w:firstLine="0"/>
            <w:rPr>
              <w:color w:val="000000"/>
              <w:u w:val="none"/>
            </w:rPr>
          </w:pPr>
          <w:hyperlink w:anchor="_u5v62yu03pfn">
            <w:r w:rsidDel="00000000" w:rsidR="00000000" w:rsidRPr="00000000">
              <w:rPr>
                <w:color w:val="000000"/>
                <w:u w:val="none"/>
                <w:rtl w:val="0"/>
              </w:rPr>
              <w:t xml:space="preserve">2.2 Search Strategy</w:t>
              <w:tab/>
            </w:r>
          </w:hyperlink>
          <w:r w:rsidDel="00000000" w:rsidR="00000000" w:rsidRPr="00000000">
            <w:fldChar w:fldCharType="begin"/>
            <w:instrText xml:space="preserve"> PAGEREF _u5v62yu03pfn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none" w:pos="9025.511811023624"/>
            </w:tabs>
            <w:spacing w:before="60" w:line="240" w:lineRule="auto"/>
            <w:ind w:left="720" w:firstLine="0"/>
            <w:rPr>
              <w:color w:val="000000"/>
              <w:u w:val="none"/>
            </w:rPr>
          </w:pPr>
          <w:hyperlink w:anchor="_hjdjyy2s5jrb">
            <w:r w:rsidDel="00000000" w:rsidR="00000000" w:rsidRPr="00000000">
              <w:rPr>
                <w:color w:val="000000"/>
                <w:u w:val="none"/>
                <w:rtl w:val="0"/>
              </w:rPr>
              <w:t xml:space="preserve">2.3 Inclusion, Exclusion and Analytical Procedure</w:t>
              <w:tab/>
            </w:r>
          </w:hyperlink>
          <w:r w:rsidDel="00000000" w:rsidR="00000000" w:rsidRPr="00000000">
            <w:fldChar w:fldCharType="begin"/>
            <w:instrText xml:space="preserve"> PAGEREF _hjdjyy2s5jrb \h </w:instrText>
            <w:fldChar w:fldCharType="separate"/>
          </w:r>
          <w:r w:rsidDel="00000000" w:rsidR="00000000" w:rsidRPr="00000000">
            <w:rPr>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none" w:pos="9025.511811023624"/>
            </w:tabs>
            <w:spacing w:before="60" w:line="240" w:lineRule="auto"/>
            <w:ind w:left="360" w:firstLine="0"/>
            <w:rPr>
              <w:color w:val="000000"/>
              <w:u w:val="none"/>
            </w:rPr>
          </w:pPr>
          <w:hyperlink w:anchor="_xh5gs3o3eda4">
            <w:r w:rsidDel="00000000" w:rsidR="00000000" w:rsidRPr="00000000">
              <w:rPr>
                <w:color w:val="000000"/>
                <w:u w:val="none"/>
                <w:rtl w:val="0"/>
              </w:rPr>
              <w:t xml:space="preserve">3. Critical Literature Review</w:t>
              <w:tab/>
            </w:r>
          </w:hyperlink>
          <w:r w:rsidDel="00000000" w:rsidR="00000000" w:rsidRPr="00000000">
            <w:fldChar w:fldCharType="begin"/>
            <w:instrText xml:space="preserve"> PAGEREF _xh5gs3o3eda4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6">
          <w:pPr>
            <w:widowControl w:val="0"/>
            <w:tabs>
              <w:tab w:val="right" w:leader="none" w:pos="9025.511811023624"/>
            </w:tabs>
            <w:spacing w:before="60" w:line="240" w:lineRule="auto"/>
            <w:ind w:left="720" w:firstLine="0"/>
            <w:rPr>
              <w:color w:val="000000"/>
              <w:u w:val="none"/>
            </w:rPr>
          </w:pPr>
          <w:hyperlink w:anchor="_b036w594xt1s">
            <w:r w:rsidDel="00000000" w:rsidR="00000000" w:rsidRPr="00000000">
              <w:rPr>
                <w:color w:val="000000"/>
                <w:u w:val="none"/>
                <w:rtl w:val="0"/>
              </w:rPr>
              <w:t xml:space="preserve">3.1 Psychological Contract Fulfilment in AI-Enabled Organisations</w:t>
              <w:tab/>
            </w:r>
          </w:hyperlink>
          <w:r w:rsidDel="00000000" w:rsidR="00000000" w:rsidRPr="00000000">
            <w:fldChar w:fldCharType="begin"/>
            <w:instrText xml:space="preserve"> PAGEREF _b036w594xt1s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7">
          <w:pPr>
            <w:widowControl w:val="0"/>
            <w:tabs>
              <w:tab w:val="right" w:leader="none" w:pos="9025.511811023624"/>
            </w:tabs>
            <w:spacing w:before="60" w:line="240" w:lineRule="auto"/>
            <w:ind w:left="720" w:firstLine="0"/>
            <w:rPr>
              <w:color w:val="000000"/>
              <w:u w:val="none"/>
            </w:rPr>
          </w:pPr>
          <w:hyperlink w:anchor="_ttgjh3srihb">
            <w:r w:rsidDel="00000000" w:rsidR="00000000" w:rsidRPr="00000000">
              <w:rPr>
                <w:color w:val="000000"/>
                <w:u w:val="none"/>
                <w:rtl w:val="0"/>
              </w:rPr>
              <w:t xml:space="preserve">3.2 Organisational Justice and Employee Retention</w:t>
              <w:tab/>
            </w:r>
          </w:hyperlink>
          <w:r w:rsidDel="00000000" w:rsidR="00000000" w:rsidRPr="00000000">
            <w:fldChar w:fldCharType="begin"/>
            <w:instrText xml:space="preserve"> PAGEREF _ttgjh3srihb \h </w:instrText>
            <w:fldChar w:fldCharType="separate"/>
          </w:r>
          <w:r w:rsidDel="00000000" w:rsidR="00000000" w:rsidRPr="00000000">
            <w:rPr>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8">
          <w:pPr>
            <w:widowControl w:val="0"/>
            <w:tabs>
              <w:tab w:val="right" w:leader="none" w:pos="9025.511811023624"/>
            </w:tabs>
            <w:spacing w:before="60" w:line="240" w:lineRule="auto"/>
            <w:ind w:left="720" w:firstLine="0"/>
            <w:rPr>
              <w:color w:val="000000"/>
              <w:u w:val="none"/>
            </w:rPr>
          </w:pPr>
          <w:hyperlink w:anchor="_m3vsn8b2un51">
            <w:r w:rsidDel="00000000" w:rsidR="00000000" w:rsidRPr="00000000">
              <w:rPr>
                <w:color w:val="000000"/>
                <w:u w:val="none"/>
                <w:rtl w:val="0"/>
              </w:rPr>
              <w:t xml:space="preserve">3.3 Responsible AI Adoption and Human-Centred Transformation</w:t>
              <w:tab/>
            </w:r>
          </w:hyperlink>
          <w:r w:rsidDel="00000000" w:rsidR="00000000" w:rsidRPr="00000000">
            <w:fldChar w:fldCharType="begin"/>
            <w:instrText xml:space="preserve"> PAGEREF _m3vsn8b2un51 \h </w:instrText>
            <w:fldChar w:fldCharType="separate"/>
          </w:r>
          <w:r w:rsidDel="00000000" w:rsidR="00000000" w:rsidRPr="00000000">
            <w:rPr>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29">
          <w:pPr>
            <w:widowControl w:val="0"/>
            <w:tabs>
              <w:tab w:val="right" w:leader="none" w:pos="9025.511811023624"/>
            </w:tabs>
            <w:spacing w:before="60" w:line="240" w:lineRule="auto"/>
            <w:ind w:left="720" w:firstLine="0"/>
            <w:rPr>
              <w:color w:val="000000"/>
              <w:u w:val="none"/>
            </w:rPr>
          </w:pPr>
          <w:hyperlink w:anchor="_voassvugz9xv">
            <w:r w:rsidDel="00000000" w:rsidR="00000000" w:rsidRPr="00000000">
              <w:rPr>
                <w:color w:val="000000"/>
                <w:u w:val="none"/>
                <w:rtl w:val="0"/>
              </w:rPr>
              <w:t xml:space="preserve">3.4 Strategic Workforce Retention</w:t>
              <w:tab/>
            </w:r>
          </w:hyperlink>
          <w:r w:rsidDel="00000000" w:rsidR="00000000" w:rsidRPr="00000000">
            <w:fldChar w:fldCharType="begin"/>
            <w:instrText xml:space="preserve"> PAGEREF _voassvugz9xv \h </w:instrText>
            <w:fldChar w:fldCharType="separate"/>
          </w:r>
          <w:r w:rsidDel="00000000" w:rsidR="00000000" w:rsidRPr="00000000">
            <w:rPr>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A">
          <w:pPr>
            <w:widowControl w:val="0"/>
            <w:tabs>
              <w:tab w:val="right" w:leader="none" w:pos="9025.511811023624"/>
            </w:tabs>
            <w:spacing w:before="60" w:line="240" w:lineRule="auto"/>
            <w:ind w:left="720" w:firstLine="0"/>
            <w:rPr>
              <w:color w:val="000000"/>
              <w:u w:val="none"/>
            </w:rPr>
          </w:pPr>
          <w:hyperlink w:anchor="_xpaf1d2k4icv">
            <w:r w:rsidDel="00000000" w:rsidR="00000000" w:rsidRPr="00000000">
              <w:rPr>
                <w:color w:val="000000"/>
                <w:u w:val="none"/>
                <w:rtl w:val="0"/>
              </w:rPr>
              <w:t xml:space="preserve">3.5 Comparative Philosophical Perspectives Applied to the Literature</w:t>
              <w:tab/>
            </w:r>
          </w:hyperlink>
          <w:r w:rsidDel="00000000" w:rsidR="00000000" w:rsidRPr="00000000">
            <w:fldChar w:fldCharType="begin"/>
            <w:instrText xml:space="preserve"> PAGEREF _xpaf1d2k4icv \h </w:instrText>
            <w:fldChar w:fldCharType="separate"/>
          </w:r>
          <w:r w:rsidDel="00000000" w:rsidR="00000000" w:rsidRPr="00000000">
            <w:rPr>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2B">
          <w:pPr>
            <w:widowControl w:val="0"/>
            <w:tabs>
              <w:tab w:val="right" w:leader="none" w:pos="9025.511811023624"/>
            </w:tabs>
            <w:spacing w:before="60" w:line="240" w:lineRule="auto"/>
            <w:ind w:left="720" w:firstLine="0"/>
            <w:rPr>
              <w:color w:val="000000"/>
              <w:u w:val="none"/>
            </w:rPr>
          </w:pPr>
          <w:hyperlink w:anchor="_n6nih1lnhbov">
            <w:r w:rsidDel="00000000" w:rsidR="00000000" w:rsidRPr="00000000">
              <w:rPr>
                <w:color w:val="000000"/>
                <w:u w:val="none"/>
                <w:rtl w:val="0"/>
              </w:rPr>
              <w:t xml:space="preserve">3.6 Literature Synthesis and Research Gaps</w:t>
              <w:tab/>
            </w:r>
          </w:hyperlink>
          <w:r w:rsidDel="00000000" w:rsidR="00000000" w:rsidRPr="00000000">
            <w:fldChar w:fldCharType="begin"/>
            <w:instrText xml:space="preserve"> PAGEREF _n6nih1lnhbov \h </w:instrText>
            <w:fldChar w:fldCharType="separate"/>
          </w:r>
          <w:r w:rsidDel="00000000" w:rsidR="00000000" w:rsidRPr="00000000">
            <w:rPr>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2C">
          <w:pPr>
            <w:widowControl w:val="0"/>
            <w:tabs>
              <w:tab w:val="right" w:leader="none" w:pos="9025.511811023624"/>
            </w:tabs>
            <w:spacing w:before="60" w:line="240" w:lineRule="auto"/>
            <w:ind w:left="360" w:firstLine="0"/>
            <w:rPr>
              <w:color w:val="000000"/>
              <w:u w:val="none"/>
            </w:rPr>
          </w:pPr>
          <w:hyperlink w:anchor="_6qkhudv179f1">
            <w:r w:rsidDel="00000000" w:rsidR="00000000" w:rsidRPr="00000000">
              <w:rPr>
                <w:color w:val="000000"/>
                <w:u w:val="none"/>
                <w:rtl w:val="0"/>
              </w:rPr>
              <w:t xml:space="preserve">4. Philosophical and Methodological Analysis of the Selected Study</w:t>
              <w:tab/>
            </w:r>
          </w:hyperlink>
          <w:r w:rsidDel="00000000" w:rsidR="00000000" w:rsidRPr="00000000">
            <w:fldChar w:fldCharType="begin"/>
            <w:instrText xml:space="preserve"> PAGEREF _6qkhudv179f1 \h </w:instrText>
            <w:fldChar w:fldCharType="separate"/>
          </w:r>
          <w:r w:rsidDel="00000000" w:rsidR="00000000" w:rsidRPr="00000000">
            <w:rPr>
              <w:rtl w:val="0"/>
            </w:rPr>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2D">
          <w:pPr>
            <w:widowControl w:val="0"/>
            <w:tabs>
              <w:tab w:val="right" w:leader="none" w:pos="9025.511811023624"/>
            </w:tabs>
            <w:spacing w:before="60" w:line="240" w:lineRule="auto"/>
            <w:ind w:left="720" w:firstLine="0"/>
            <w:rPr>
              <w:color w:val="000000"/>
              <w:u w:val="none"/>
            </w:rPr>
          </w:pPr>
          <w:hyperlink w:anchor="_vi4rxgw8pezo">
            <w:r w:rsidDel="00000000" w:rsidR="00000000" w:rsidRPr="00000000">
              <w:rPr>
                <w:color w:val="000000"/>
                <w:u w:val="none"/>
                <w:rtl w:val="0"/>
              </w:rPr>
              <w:t xml:space="preserve">4.1 Selected Study</w:t>
              <w:tab/>
            </w:r>
          </w:hyperlink>
          <w:r w:rsidDel="00000000" w:rsidR="00000000" w:rsidRPr="00000000">
            <w:fldChar w:fldCharType="begin"/>
            <w:instrText xml:space="preserve"> PAGEREF _vi4rxgw8pezo \h </w:instrText>
            <w:fldChar w:fldCharType="separate"/>
          </w:r>
          <w:r w:rsidDel="00000000" w:rsidR="00000000" w:rsidRPr="00000000">
            <w:rPr>
              <w:rtl w:val="0"/>
            </w:rPr>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2E">
          <w:pPr>
            <w:widowControl w:val="0"/>
            <w:tabs>
              <w:tab w:val="right" w:leader="none" w:pos="9025.511811023624"/>
            </w:tabs>
            <w:spacing w:before="60" w:line="240" w:lineRule="auto"/>
            <w:ind w:left="720" w:firstLine="0"/>
            <w:rPr>
              <w:color w:val="000000"/>
              <w:u w:val="none"/>
            </w:rPr>
          </w:pPr>
          <w:hyperlink w:anchor="_32wje1l9hlno">
            <w:r w:rsidDel="00000000" w:rsidR="00000000" w:rsidRPr="00000000">
              <w:rPr>
                <w:color w:val="000000"/>
                <w:u w:val="none"/>
                <w:rtl w:val="0"/>
              </w:rPr>
              <w:t xml:space="preserve">4.2 Ontology and Epistemology</w:t>
              <w:tab/>
            </w:r>
          </w:hyperlink>
          <w:r w:rsidDel="00000000" w:rsidR="00000000" w:rsidRPr="00000000">
            <w:fldChar w:fldCharType="begin"/>
            <w:instrText xml:space="preserve"> PAGEREF _32wje1l9hlno \h </w:instrText>
            <w:fldChar w:fldCharType="separate"/>
          </w:r>
          <w:r w:rsidDel="00000000" w:rsidR="00000000" w:rsidRPr="00000000">
            <w:rPr>
              <w:rtl w:val="0"/>
            </w:rPr>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2F">
          <w:pPr>
            <w:widowControl w:val="0"/>
            <w:tabs>
              <w:tab w:val="right" w:leader="none" w:pos="9025.511811023624"/>
            </w:tabs>
            <w:spacing w:before="60" w:line="240" w:lineRule="auto"/>
            <w:ind w:left="720" w:firstLine="0"/>
            <w:rPr>
              <w:color w:val="000000"/>
              <w:u w:val="none"/>
            </w:rPr>
          </w:pPr>
          <w:hyperlink w:anchor="_r3ny4i29puhy">
            <w:r w:rsidDel="00000000" w:rsidR="00000000" w:rsidRPr="00000000">
              <w:rPr>
                <w:color w:val="000000"/>
                <w:u w:val="none"/>
                <w:rtl w:val="0"/>
              </w:rPr>
              <w:t xml:space="preserve">4.3 Axiology and the positionality of the researcher</w:t>
              <w:tab/>
            </w:r>
          </w:hyperlink>
          <w:r w:rsidDel="00000000" w:rsidR="00000000" w:rsidRPr="00000000">
            <w:fldChar w:fldCharType="begin"/>
            <w:instrText xml:space="preserve"> PAGEREF _r3ny4i29puhy \h </w:instrText>
            <w:fldChar w:fldCharType="separate"/>
          </w:r>
          <w:r w:rsidDel="00000000" w:rsidR="00000000" w:rsidRPr="00000000">
            <w:rPr>
              <w:rtl w:val="0"/>
            </w:rPr>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30">
          <w:pPr>
            <w:widowControl w:val="0"/>
            <w:tabs>
              <w:tab w:val="right" w:leader="none" w:pos="9025.511811023624"/>
            </w:tabs>
            <w:spacing w:before="60" w:line="240" w:lineRule="auto"/>
            <w:ind w:left="720" w:firstLine="0"/>
            <w:rPr>
              <w:color w:val="000000"/>
              <w:u w:val="none"/>
            </w:rPr>
          </w:pPr>
          <w:hyperlink w:anchor="_vjuizrte0uaf">
            <w:r w:rsidDel="00000000" w:rsidR="00000000" w:rsidRPr="00000000">
              <w:rPr>
                <w:color w:val="000000"/>
                <w:u w:val="none"/>
                <w:rtl w:val="0"/>
              </w:rPr>
              <w:t xml:space="preserve">4.4 Reliability and Validity</w:t>
              <w:tab/>
            </w:r>
          </w:hyperlink>
          <w:r w:rsidDel="00000000" w:rsidR="00000000" w:rsidRPr="00000000">
            <w:fldChar w:fldCharType="begin"/>
            <w:instrText xml:space="preserve"> PAGEREF _vjuizrte0uaf \h </w:instrText>
            <w:fldChar w:fldCharType="separate"/>
          </w:r>
          <w:r w:rsidDel="00000000" w:rsidR="00000000" w:rsidRPr="00000000">
            <w:rPr>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31">
          <w:pPr>
            <w:widowControl w:val="0"/>
            <w:tabs>
              <w:tab w:val="right" w:leader="none" w:pos="9025.511811023624"/>
            </w:tabs>
            <w:spacing w:before="60" w:line="240" w:lineRule="auto"/>
            <w:ind w:left="720" w:firstLine="0"/>
            <w:rPr>
              <w:color w:val="000000"/>
              <w:u w:val="none"/>
            </w:rPr>
          </w:pPr>
          <w:hyperlink w:anchor="_9f6imp3nm8in">
            <w:r w:rsidDel="00000000" w:rsidR="00000000" w:rsidRPr="00000000">
              <w:rPr>
                <w:color w:val="000000"/>
                <w:u w:val="none"/>
                <w:rtl w:val="0"/>
              </w:rPr>
              <w:t xml:space="preserve">4.5 Ethical Considerations</w:t>
              <w:tab/>
            </w:r>
          </w:hyperlink>
          <w:r w:rsidDel="00000000" w:rsidR="00000000" w:rsidRPr="00000000">
            <w:fldChar w:fldCharType="begin"/>
            <w:instrText xml:space="preserve"> PAGEREF _9f6imp3nm8in \h </w:instrText>
            <w:fldChar w:fldCharType="separate"/>
          </w:r>
          <w:r w:rsidDel="00000000" w:rsidR="00000000" w:rsidRPr="00000000">
            <w:rPr>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32">
          <w:pPr>
            <w:widowControl w:val="0"/>
            <w:tabs>
              <w:tab w:val="right" w:leader="none" w:pos="9025.511811023624"/>
            </w:tabs>
            <w:spacing w:before="60" w:line="240" w:lineRule="auto"/>
            <w:ind w:left="360" w:firstLine="0"/>
            <w:rPr>
              <w:color w:val="000000"/>
              <w:u w:val="none"/>
            </w:rPr>
          </w:pPr>
          <w:hyperlink w:anchor="_xath672rtag4">
            <w:r w:rsidDel="00000000" w:rsidR="00000000" w:rsidRPr="00000000">
              <w:rPr>
                <w:color w:val="000000"/>
                <w:u w:val="none"/>
                <w:rtl w:val="0"/>
              </w:rPr>
              <w:t xml:space="preserve">5. Discussion and Contribution</w:t>
              <w:tab/>
            </w:r>
          </w:hyperlink>
          <w:r w:rsidDel="00000000" w:rsidR="00000000" w:rsidRPr="00000000">
            <w:fldChar w:fldCharType="begin"/>
            <w:instrText xml:space="preserve"> PAGEREF _xath672rtag4 \h </w:instrText>
            <w:fldChar w:fldCharType="separate"/>
          </w:r>
          <w:r w:rsidDel="00000000" w:rsidR="00000000" w:rsidRPr="00000000">
            <w:rPr>
              <w:rtl w:val="0"/>
            </w:rPr>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33">
          <w:pPr>
            <w:widowControl w:val="0"/>
            <w:tabs>
              <w:tab w:val="right" w:leader="none" w:pos="9025.511811023624"/>
            </w:tabs>
            <w:spacing w:before="60" w:line="240" w:lineRule="auto"/>
            <w:ind w:left="360" w:firstLine="0"/>
            <w:rPr>
              <w:color w:val="000000"/>
              <w:u w:val="none"/>
            </w:rPr>
          </w:pPr>
          <w:hyperlink w:anchor="_vtj7p2adcne">
            <w:r w:rsidDel="00000000" w:rsidR="00000000" w:rsidRPr="00000000">
              <w:rPr>
                <w:color w:val="000000"/>
                <w:u w:val="none"/>
                <w:rtl w:val="0"/>
              </w:rPr>
              <w:t xml:space="preserve">6. Conclusion</w:t>
              <w:tab/>
            </w:r>
          </w:hyperlink>
          <w:r w:rsidDel="00000000" w:rsidR="00000000" w:rsidRPr="00000000">
            <w:fldChar w:fldCharType="begin"/>
            <w:instrText xml:space="preserve"> PAGEREF _vtj7p2adcne \h </w:instrText>
            <w:fldChar w:fldCharType="separate"/>
          </w:r>
          <w:r w:rsidDel="00000000" w:rsidR="00000000" w:rsidRPr="00000000">
            <w:rPr>
              <w:rtl w:val="0"/>
            </w:rPr>
            <w:t xml:space="preserve">32</w:t>
          </w:r>
          <w:r w:rsidDel="00000000" w:rsidR="00000000" w:rsidRPr="00000000">
            <w:fldChar w:fldCharType="end"/>
          </w:r>
          <w:r w:rsidDel="00000000" w:rsidR="00000000" w:rsidRPr="00000000">
            <w:rPr>
              <w:rtl w:val="0"/>
            </w:rPr>
          </w:r>
        </w:p>
        <w:p w:rsidR="00000000" w:rsidDel="00000000" w:rsidP="00000000" w:rsidRDefault="00000000" w:rsidRPr="00000000" w14:paraId="00000034">
          <w:pPr>
            <w:widowControl w:val="0"/>
            <w:tabs>
              <w:tab w:val="right" w:leader="none" w:pos="9025.511811023624"/>
            </w:tabs>
            <w:spacing w:before="60" w:line="240" w:lineRule="auto"/>
            <w:ind w:left="360" w:firstLine="0"/>
            <w:rPr>
              <w:color w:val="000000"/>
              <w:u w:val="none"/>
            </w:rPr>
          </w:pPr>
          <w:hyperlink w:anchor="_uhidn9i79foo">
            <w:r w:rsidDel="00000000" w:rsidR="00000000" w:rsidRPr="00000000">
              <w:rPr>
                <w:color w:val="000000"/>
                <w:u w:val="none"/>
                <w:rtl w:val="0"/>
              </w:rPr>
              <w:t xml:space="preserve">References</w:t>
              <w:tab/>
            </w:r>
          </w:hyperlink>
          <w:r w:rsidDel="00000000" w:rsidR="00000000" w:rsidRPr="00000000">
            <w:fldChar w:fldCharType="begin"/>
            <w:instrText xml:space="preserve"> PAGEREF _uhidn9i79foo \h </w:instrText>
            <w:fldChar w:fldCharType="separate"/>
          </w:r>
          <w:r w:rsidDel="00000000" w:rsidR="00000000" w:rsidRPr="00000000">
            <w:rPr>
              <w:rtl w:val="0"/>
            </w:rPr>
            <w:t xml:space="preserve">34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spacing w:after="240" w:before="240" w:line="360" w:lineRule="auto"/>
        <w:jc w:val="both"/>
        <w:rPr>
          <w:rFonts w:ascii="Times New Roman" w:cs="Times New Roman" w:eastAsia="Times New Roman" w:hAnsi="Times New Roman"/>
          <w:b w:val="1"/>
          <w:bCs w:val="1"/>
          <w:sz w:val="36"/>
          <w:szCs w:val="36"/>
        </w:rPr>
      </w:pPr>
      <w:bookmarkStart w:colFirst="0" w:colLast="0" w:name="_5elaqd7feukm" w:id="0"/>
      <w:bookmarkEnd w:id="0"/>
      <w:r w:rsidDel="00000000" w:rsidR="00000000" w:rsidRPr="00000000">
        <w:rPr>
          <w:rFonts w:ascii="Times New Roman" w:cs="Times New Roman" w:eastAsia="Times New Roman" w:hAnsi="Times New Roman"/>
          <w:b w:val="1"/>
          <w:bCs w:val="1"/>
          <w:sz w:val="36"/>
          <w:szCs w:val="36"/>
          <w:rtl w:val="0"/>
        </w:rPr>
        <w:t xml:space="preserve">Responsible AI and Workforce Retention in Private Healthcare: A Philosophical and Methodological Review</w:t>
      </w:r>
    </w:p>
    <w:p w:rsidR="00000000" w:rsidDel="00000000" w:rsidP="00000000" w:rsidRDefault="00000000" w:rsidRPr="00000000" w14:paraId="0000003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pStyle w:val="Heading2"/>
        <w:keepNext w:val="0"/>
        <w:keepLines w:val="0"/>
        <w:spacing w:after="80" w:line="360" w:lineRule="auto"/>
        <w:jc w:val="both"/>
        <w:rPr>
          <w:rFonts w:ascii="Times New Roman" w:cs="Times New Roman" w:eastAsia="Times New Roman" w:hAnsi="Times New Roman"/>
          <w:b w:val="1"/>
          <w:bCs w:val="1"/>
          <w:sz w:val="34"/>
          <w:szCs w:val="34"/>
        </w:rPr>
      </w:pPr>
      <w:bookmarkStart w:colFirst="0" w:colLast="0" w:name="_qin0vu2xfl24" w:id="1"/>
      <w:bookmarkEnd w:id="1"/>
      <w:r w:rsidDel="00000000" w:rsidR="00000000" w:rsidRPr="00000000">
        <w:rPr>
          <w:rFonts w:ascii="Times New Roman" w:cs="Times New Roman" w:eastAsia="Times New Roman" w:hAnsi="Times New Roman"/>
          <w:b w:val="1"/>
          <w:bCs w:val="1"/>
          <w:sz w:val="34"/>
          <w:szCs w:val="34"/>
          <w:rtl w:val="0"/>
        </w:rPr>
        <w:t xml:space="preserve">Abstract</w:t>
      </w:r>
    </w:p>
    <w:p w:rsidR="00000000" w:rsidDel="00000000" w:rsidP="00000000" w:rsidRDefault="00000000" w:rsidRPr="00000000" w14:paraId="00000039">
      <w:pPr>
        <w:pStyle w:val="Heading3"/>
        <w:rPr>
          <w:rFonts w:ascii="Times New Roman" w:cs="Times New Roman" w:eastAsia="Times New Roman" w:hAnsi="Times New Roman"/>
        </w:rPr>
      </w:pPr>
      <w:bookmarkStart w:colFirst="0" w:colLast="0" w:name="_pa9ofzfae0vb" w:id="2"/>
      <w:bookmarkEnd w:id="2"/>
      <w:r w:rsidDel="00000000" w:rsidR="00000000" w:rsidRPr="00000000">
        <w:rPr>
          <w:rFonts w:ascii="Times New Roman" w:cs="Times New Roman" w:eastAsia="Times New Roman" w:hAnsi="Times New Roman"/>
          <w:rtl w:val="0"/>
        </w:rPr>
        <w:t xml:space="preserve">Purpose</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is transforming health care jobs by providing clinical decision support, administrative automation, worker analytics and novel ways to work together with AI. These changes could have beneficial effects on the organisations' functioning, but they can also affect their employees' conceptions, notions of fairness, working independence, trust and job security. </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critically explores the potential of the responsible use of AI on the retention of workers in the private health sector in terms of psychological contract fulfilment, organisational justice, employee trust and engagement.</w:t>
      </w:r>
    </w:p>
    <w:p w:rsidR="00000000" w:rsidDel="00000000" w:rsidP="00000000" w:rsidRDefault="00000000" w:rsidRPr="00000000" w14:paraId="0000003D">
      <w:pPr>
        <w:pStyle w:val="Heading3"/>
        <w:rPr>
          <w:rFonts w:ascii="Times New Roman" w:cs="Times New Roman" w:eastAsia="Times New Roman" w:hAnsi="Times New Roman"/>
        </w:rPr>
      </w:pPr>
      <w:bookmarkStart w:colFirst="0" w:colLast="0" w:name="_zeds0k28r4o7" w:id="3"/>
      <w:bookmarkEnd w:id="3"/>
      <w:r w:rsidDel="00000000" w:rsidR="00000000" w:rsidRPr="00000000">
        <w:rPr>
          <w:rFonts w:ascii="Times New Roman" w:cs="Times New Roman" w:eastAsia="Times New Roman" w:hAnsi="Times New Roman"/>
          <w:rtl w:val="0"/>
        </w:rPr>
        <w:t xml:space="preserve">Method</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thematic and philosophical approach was used for a critical literature review. Selected seminal theoretical and methodological works, as well as academic literature produced from 2021 to 2026, were analysed. Studies were compared based on the theoretical perspective, philosophical assumptions, research design, sample, findings, methodological quality, and limitations. </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concepts of ontology, epistemology, axiology, ethics, reliability, validity and the consequences of quantitative, qualitative and configurational approaches received special attention.</w:t>
      </w:r>
    </w:p>
    <w:p w:rsidR="00000000" w:rsidDel="00000000" w:rsidP="00000000" w:rsidRDefault="00000000" w:rsidRPr="00000000" w14:paraId="00000041">
      <w:pPr>
        <w:pStyle w:val="Heading3"/>
        <w:rPr>
          <w:rFonts w:ascii="Times New Roman" w:cs="Times New Roman" w:eastAsia="Times New Roman" w:hAnsi="Times New Roman"/>
        </w:rPr>
      </w:pPr>
      <w:bookmarkStart w:colFirst="0" w:colLast="0" w:name="_vuek7oernfeq" w:id="4"/>
      <w:bookmarkEnd w:id="4"/>
      <w:r w:rsidDel="00000000" w:rsidR="00000000" w:rsidRPr="00000000">
        <w:rPr>
          <w:rFonts w:ascii="Times New Roman" w:cs="Times New Roman" w:eastAsia="Times New Roman" w:hAnsi="Times New Roman"/>
          <w:rtl w:val="0"/>
        </w:rPr>
        <w:t xml:space="preserve">Findings</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can have both positive and negative impacts on employees, as suggested in the literature. Its effects are greatly shaped by the process of and experience with technological change. The concept of psychological contract fulfilment is used to provide an explanation for the changing views on training, security and organisational support, and organisational justice is used to explain the perceptions of fairness in AI-related decisions. </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Responsible AI adds an ethical and governance perspective – transparency, accountability, human oversight and employee participation. Despite this, there is still some fragmentation in the literature, and significant cross-sectional research has been conducted, while synthesis of these views in the context of the research on retention in the healthcare workforce is relatively limited.</w:t>
      </w:r>
    </w:p>
    <w:p w:rsidR="00000000" w:rsidDel="00000000" w:rsidP="00000000" w:rsidRDefault="00000000" w:rsidRPr="00000000" w14:paraId="00000045">
      <w:pPr>
        <w:pStyle w:val="Heading3"/>
        <w:spacing w:line="360" w:lineRule="auto"/>
        <w:jc w:val="both"/>
        <w:rPr>
          <w:rFonts w:ascii="Times New Roman" w:cs="Times New Roman" w:eastAsia="Times New Roman" w:hAnsi="Times New Roman"/>
        </w:rPr>
      </w:pPr>
      <w:bookmarkStart w:colFirst="0" w:colLast="0" w:name="_blxf177c2ir1" w:id="5"/>
      <w:bookmarkEnd w:id="5"/>
      <w:r w:rsidDel="00000000" w:rsidR="00000000" w:rsidRPr="00000000">
        <w:rPr>
          <w:rFonts w:ascii="Times New Roman" w:cs="Times New Roman" w:eastAsia="Times New Roman" w:hAnsi="Times New Roman"/>
          <w:rtl w:val="0"/>
        </w:rPr>
        <w:t xml:space="preserve">Originality and value</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suggests that workforce retention should be thought of as a capability of the organisation. Responsible AI adoption has a conceptual pathway that impacts psychological contract fulfilment and organisational justice, which then affect employee trust and engagement, ultimately impacting employee retention and organisational stability. </w:t>
      </w:r>
    </w:p>
    <w:p w:rsidR="00000000" w:rsidDel="00000000" w:rsidP="00000000" w:rsidRDefault="00000000" w:rsidRPr="00000000" w14:paraId="0000004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2"/>
        <w:spacing w:line="360" w:lineRule="auto"/>
        <w:jc w:val="both"/>
        <w:rPr>
          <w:rFonts w:ascii="Times New Roman" w:cs="Times New Roman" w:eastAsia="Times New Roman" w:hAnsi="Times New Roman"/>
        </w:rPr>
      </w:pPr>
      <w:bookmarkStart w:colFirst="0" w:colLast="0" w:name="_632ufwj9rdsy" w:id="6"/>
      <w:bookmarkEnd w:id="6"/>
      <w:r w:rsidDel="00000000" w:rsidR="00000000" w:rsidRPr="00000000">
        <w:rPr>
          <w:rFonts w:ascii="Times New Roman" w:cs="Times New Roman" w:eastAsia="Times New Roman" w:hAnsi="Times New Roman"/>
          <w:rtl w:val="0"/>
        </w:rPr>
        <w:t xml:space="preserve">1. Introduction</w:t>
      </w:r>
    </w:p>
    <w:p w:rsidR="00000000" w:rsidDel="00000000" w:rsidP="00000000" w:rsidRDefault="00000000" w:rsidRPr="00000000" w14:paraId="0000004A">
      <w:pPr>
        <w:pStyle w:val="Heading3"/>
        <w:spacing w:line="360" w:lineRule="auto"/>
        <w:jc w:val="both"/>
        <w:rPr>
          <w:rFonts w:ascii="Times New Roman" w:cs="Times New Roman" w:eastAsia="Times New Roman" w:hAnsi="Times New Roman"/>
        </w:rPr>
      </w:pPr>
      <w:bookmarkStart w:colFirst="0" w:colLast="0" w:name="_j3a7qieeevy4" w:id="7"/>
      <w:bookmarkEnd w:id="7"/>
      <w:r w:rsidDel="00000000" w:rsidR="00000000" w:rsidRPr="00000000">
        <w:rPr>
          <w:rFonts w:ascii="Times New Roman" w:cs="Times New Roman" w:eastAsia="Times New Roman" w:hAnsi="Times New Roman"/>
          <w:rtl w:val="0"/>
        </w:rPr>
        <w:t xml:space="preserve">1.1 Background</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application in healthcare is already expanding across various areas, including clinical decision support, predictive analytics, administrative automation, and digital documentation. However, there’s still a need for professional knowledge, judgment, and interpersonal relationships in the healthcare industry. </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is not just impacting the way things are done, but also impacting the purpose of working and the interconnection of employees and organizations. While the capabilities of AI tools are important, the reaction of healthcare professionals is more nuanced, influenced by other aspects such as transparency, training, usability, reliability, professional autonomy, and ethical safeguards (Tun et al., 2025).</w:t>
      </w:r>
    </w:p>
    <w:p w:rsidR="00000000" w:rsidDel="00000000" w:rsidP="00000000" w:rsidRDefault="00000000" w:rsidRPr="00000000" w14:paraId="0000004E">
      <w:pPr>
        <w:spacing w:line="360" w:lineRule="auto"/>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3"/>
          <w:szCs w:val="23"/>
          <w:rtl w:val="0"/>
        </w:rPr>
        <w:t xml:space="preserve">This poses a special strategic dilemma for private healthcare companies. Hard-to-replicate knowledge resources are skilled healthcare workers, and turnover includes recruitment, training, service, and organizational knowledge costs. While AI will help minimize repetitive tasks and aid in decision-making, it could also be seen as a threat to work identity, autonomy, and job security for those who practice it. </w:t>
      </w: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3"/>
          <w:szCs w:val="23"/>
          <w:rtl w:val="0"/>
        </w:rPr>
        <w:t xml:space="preserve">According to a study done in Ghana, there is a correlation between digital transformation, technological readiness, leadership support and psychological contract factors with healthcare professionals' intentions to leave the job (Amoako et al., 2024).</w:t>
      </w: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shift towards AI might change these expectations through new training needs, flexibility, and technological adaptation requirements. Trust and withdrawal may be enhanced or reduced depending on the perception of employees about the existing organizational obligations.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transformation can increase employees' perceptions about the fulfilment of obligations and consequently increase trust in the organization and reduce withdrawal, or on the other hand, if employees experience the violation of promises or expectations, then they will become less satisfied with the organization and more inclined to withdraw. The research suggests positive relationships between psychological contracts and engagement and trust, whereas AI adoption can have a negative effect on these relationships (Braganza et al., 2021).</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alternative explanation is offered by organisational justice. Not only do workers consider their gains from technological progress but also the processes that generate these gains. There are three types of justice: distributive justice, which involves outcomes, procedural justice, which involves decision processes; and interactional justice, which involves interpersonal treatment (Colquitt, 2001). However, evidence in healthcare suggests that organisational justice is related negatively to turnover intention, whereas work engagement and motivation are potential mechanisms through which organisational justice relates to employees' decisions to stay or leave (Zhao et al., 2024; Zhou et al., 2022).</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central thesis of this review is therefore that a simple theory or a single model of the technological-adoption process alone will not help to understand retention. Involving responsible AI, psychological contracts, organisational justice, trust, and engagement gives a more complete understanding of how an employee might stay with or leave an AI-enabled healthcare organisation.</w:t>
      </w:r>
      <w:r w:rsidDel="00000000" w:rsidR="00000000" w:rsidRPr="00000000">
        <w:rPr>
          <w:rtl w:val="0"/>
        </w:rPr>
      </w:r>
    </w:p>
    <w:p w:rsidR="00000000" w:rsidDel="00000000" w:rsidP="00000000" w:rsidRDefault="00000000" w:rsidRPr="00000000" w14:paraId="0000005A">
      <w:pPr>
        <w:pStyle w:val="Heading3"/>
        <w:spacing w:after="240" w:before="240" w:line="360" w:lineRule="auto"/>
        <w:jc w:val="both"/>
        <w:rPr>
          <w:rFonts w:ascii="Times New Roman" w:cs="Times New Roman" w:eastAsia="Times New Roman" w:hAnsi="Times New Roman"/>
        </w:rPr>
      </w:pPr>
      <w:bookmarkStart w:colFirst="0" w:colLast="0" w:name="_k25pfsfpy447" w:id="8"/>
      <w:bookmarkEnd w:id="8"/>
      <w:r w:rsidDel="00000000" w:rsidR="00000000" w:rsidRPr="00000000">
        <w:rPr>
          <w:rFonts w:ascii="Times New Roman" w:cs="Times New Roman" w:eastAsia="Times New Roman" w:hAnsi="Times New Roman"/>
          <w:rtl w:val="0"/>
        </w:rPr>
        <w:t xml:space="preserve">1.2 Research Problem</w:t>
      </w:r>
    </w:p>
    <w:p w:rsidR="00000000" w:rsidDel="00000000" w:rsidP="00000000" w:rsidRDefault="00000000" w:rsidRPr="00000000" w14:paraId="0000005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three problems that are empirical.</w:t>
      </w:r>
    </w:p>
    <w:p w:rsidR="00000000" w:rsidDel="00000000" w:rsidP="00000000" w:rsidRDefault="00000000" w:rsidRPr="00000000" w14:paraId="0000005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there are a number of distinct studies on AI and workers. Some studies are related to trust and acceptance of AI, while others to psychological contracts, organisational justice or intention to leave. While these perspectives yield valuable findings, they are not necessarily explanatory of how technological governance translates into employment relationships, and then to retention outcomes.</w:t>
      </w:r>
    </w:p>
    <w:p w:rsidR="00000000" w:rsidDel="00000000" w:rsidP="00000000" w:rsidRDefault="00000000" w:rsidRPr="00000000" w14:paraId="0000005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 in healthcare evidence, employees' reactions are contradictory. AI may be seen as supportive when it takes away administrative work or enhances professional decision-making, but AI can be seen as threatening when it involves surveillance, diminishes autonomy and causes uncertainty. A survey of health professionals' experiences revealed significant differences in four aspects: usefulness, trustworthiness, and supporting clinical judgment, with AI being generally considered useful but not so trustworthy and supportive of clinical judgment (Ayorinde et al., 2024). Likewise, studies of healthcare practitioners have indicated that perceptions of AI could evolve as systems become more autonomous and the responsibility for the outcomes of these AI-supported processes is transferred to the healthcare system (Daly et al., 2025).</w:t>
      </w:r>
    </w:p>
    <w:p w:rsidR="00000000" w:rsidDel="00000000" w:rsidP="00000000" w:rsidRDefault="00000000" w:rsidRPr="00000000" w14:paraId="0000005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Thirdly, there is a knowledge and methodology issue. Most of the empirical literature is based on cross-sectional surveys and variable-based models. These designs can detect statistical correlations and are less successful in explaining the development of employee perceptions in the technological shift. Interpretive research can offer more depth to the lived experience, while losing some comparability and breadth. Alternatively, configurational approaches, like the fsQCA, offer a way to do so, because they capture the idea that multiple sets of conditions can yield similar results (Fiss, 2011; Pappas and Woodside, 2021).</w:t>
      </w:r>
    </w:p>
    <w:p w:rsidR="00000000" w:rsidDel="00000000" w:rsidP="00000000" w:rsidRDefault="00000000" w:rsidRPr="00000000" w14:paraId="0000005F">
      <w:pPr>
        <w:pStyle w:val="Heading3"/>
        <w:spacing w:after="240" w:before="240" w:line="360" w:lineRule="auto"/>
        <w:jc w:val="both"/>
        <w:rPr>
          <w:rFonts w:ascii="Times New Roman" w:cs="Times New Roman" w:eastAsia="Times New Roman" w:hAnsi="Times New Roman"/>
        </w:rPr>
      </w:pPr>
      <w:bookmarkStart w:colFirst="0" w:colLast="0" w:name="_rmh4rwpirpn5" w:id="9"/>
      <w:bookmarkEnd w:id="9"/>
      <w:r w:rsidDel="00000000" w:rsidR="00000000" w:rsidRPr="00000000">
        <w:rPr>
          <w:rFonts w:ascii="Times New Roman" w:cs="Times New Roman" w:eastAsia="Times New Roman" w:hAnsi="Times New Roman"/>
          <w:rtl w:val="0"/>
        </w:rPr>
        <w:t xml:space="preserve">1.3 Purpose of the Coursework</w:t>
      </w:r>
    </w:p>
    <w:p w:rsidR="00000000" w:rsidDel="00000000" w:rsidP="00000000" w:rsidRDefault="00000000" w:rsidRPr="00000000" w14:paraId="0000006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review aims to critically analyze current research on workforce retention in private health care settings using AI and to explore the impact of research philosophies on understanding the concepts of psychological contract fulfillment, organisational justice, responsible AI use and employee outcomes.</w:t>
      </w:r>
    </w:p>
    <w:p w:rsidR="00000000" w:rsidDel="00000000" w:rsidP="00000000" w:rsidRDefault="00000000" w:rsidRPr="00000000" w14:paraId="0000006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also outlines a critical evaluation of the philosophical and methodological underpinning of the researcher's choice of an empirical study and a conceptual argument for researching workforce retention as an organisational capability at a DBA level.</w:t>
      </w:r>
    </w:p>
    <w:p w:rsidR="00000000" w:rsidDel="00000000" w:rsidP="00000000" w:rsidRDefault="00000000" w:rsidRPr="00000000" w14:paraId="00000062">
      <w:pPr>
        <w:pStyle w:val="Heading3"/>
        <w:spacing w:after="240" w:before="240" w:line="360" w:lineRule="auto"/>
        <w:jc w:val="both"/>
        <w:rPr>
          <w:rFonts w:ascii="Times New Roman" w:cs="Times New Roman" w:eastAsia="Times New Roman" w:hAnsi="Times New Roman"/>
        </w:rPr>
      </w:pPr>
      <w:bookmarkStart w:colFirst="0" w:colLast="0" w:name="_nllqv691bugv" w:id="10"/>
      <w:bookmarkEnd w:id="10"/>
      <w:r w:rsidDel="00000000" w:rsidR="00000000" w:rsidRPr="00000000">
        <w:rPr>
          <w:rFonts w:ascii="Times New Roman" w:cs="Times New Roman" w:eastAsia="Times New Roman" w:hAnsi="Times New Roman"/>
          <w:rtl w:val="0"/>
        </w:rPr>
        <w:t xml:space="preserve">1.4 Research Questions</w:t>
      </w:r>
    </w:p>
    <w:p w:rsidR="00000000" w:rsidDel="00000000" w:rsidP="00000000" w:rsidRDefault="00000000" w:rsidRPr="00000000" w14:paraId="0000006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private healthcare organisations, how do the research philosophy and methodology influence the understanding of workforce retention of the workforce when engaging in responsible adoption of AI?</w:t>
      </w:r>
    </w:p>
    <w:p w:rsidR="00000000" w:rsidDel="00000000" w:rsidP="00000000" w:rsidRDefault="00000000" w:rsidRPr="00000000" w14:paraId="0000006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Supporting questions</w:t>
      </w:r>
    </w:p>
    <w:p w:rsidR="00000000" w:rsidDel="00000000" w:rsidP="00000000" w:rsidRDefault="00000000" w:rsidRPr="00000000" w14:paraId="0000006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are the relationships between psychological contract fulfilment, organisational justice, and organisational retention in an AI transformation?</w:t>
      </w:r>
    </w:p>
    <w:p w:rsidR="00000000" w:rsidDel="00000000" w:rsidP="00000000" w:rsidRDefault="00000000" w:rsidRPr="00000000" w14:paraId="0000006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are the impacts of adopting AI responsibly on employee trust and engagement?</w:t>
      </w:r>
    </w:p>
    <w:p w:rsidR="00000000" w:rsidDel="00000000" w:rsidP="00000000" w:rsidRDefault="00000000" w:rsidRPr="00000000" w14:paraId="0000006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are the current assumptions and methods behind the evidence on AI, health care staff and retention?</w:t>
      </w:r>
    </w:p>
    <w:p w:rsidR="00000000" w:rsidDel="00000000" w:rsidP="00000000" w:rsidRDefault="00000000" w:rsidRPr="00000000" w14:paraId="0000006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research gaps are worthy of a future DBA study of responsible AI and strategic workforce retention?</w:t>
      </w:r>
    </w:p>
    <w:p w:rsidR="00000000" w:rsidDel="00000000" w:rsidP="00000000" w:rsidRDefault="00000000" w:rsidRPr="00000000" w14:paraId="00000069">
      <w:pPr>
        <w:pStyle w:val="Heading3"/>
        <w:spacing w:after="240" w:before="240" w:line="360" w:lineRule="auto"/>
        <w:jc w:val="both"/>
        <w:rPr>
          <w:rFonts w:ascii="Times New Roman" w:cs="Times New Roman" w:eastAsia="Times New Roman" w:hAnsi="Times New Roman"/>
        </w:rPr>
      </w:pPr>
      <w:bookmarkStart w:colFirst="0" w:colLast="0" w:name="_e1dspsswtppc" w:id="11"/>
      <w:bookmarkEnd w:id="11"/>
      <w:r w:rsidDel="00000000" w:rsidR="00000000" w:rsidRPr="00000000">
        <w:rPr>
          <w:rFonts w:ascii="Times New Roman" w:cs="Times New Roman" w:eastAsia="Times New Roman" w:hAnsi="Times New Roman"/>
          <w:rtl w:val="0"/>
        </w:rPr>
        <w:t xml:space="preserve">1.5 Key Concepts</w:t>
      </w:r>
    </w:p>
    <w:p w:rsidR="00000000" w:rsidDel="00000000" w:rsidP="00000000" w:rsidRDefault="00000000" w:rsidRPr="00000000" w14:paraId="000000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Workforce retention is the ability of an organisation to retain staff and sustain valuable human resources over a period of time. It's not the same as turnover intention, which is a worker's self-reported probability of leaving. Turnover intention, however, is an indicator or antecedent of the actual turnover and not turnover itself (Zhou et al., 2022).</w:t>
      </w:r>
    </w:p>
    <w:p w:rsidR="00000000" w:rsidDel="00000000" w:rsidP="00000000" w:rsidRDefault="00000000" w:rsidRPr="00000000" w14:paraId="0000006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 engagement is a state of commitment that is manifested in employees' attitudes and behaviors towards their work. It can be a factor in retention but the constructs are still conceptually separate. Some research in the healthcare field indicates that engagement might be a mediating variable in the relationship between organisational factors and turnover intention (Zhou et al., 2022).</w:t>
      </w:r>
    </w:p>
    <w:p w:rsidR="00000000" w:rsidDel="00000000" w:rsidP="00000000" w:rsidRDefault="00000000" w:rsidRPr="00000000" w14:paraId="0000006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stability is the ability of the organisation to operate effectively, sustain people and services, and adapt to change. It is therefore considered here as an organisational outcome of the downstream process, not a synonym for retention.</w:t>
      </w:r>
    </w:p>
    <w:p w:rsidR="00000000" w:rsidDel="00000000" w:rsidP="00000000" w:rsidRDefault="00000000" w:rsidRPr="00000000" w14:paraId="0000006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contract fulfilment is related to the employees' perceptions that the organisation has performed its reciprocal duties and expectations. Organisational justice is defined as the perceived fairness of interpersonal treatment, processes and outcomes. Responsible AI refers to AI governance and implementation that takes account of transparency, fairness, accountability, human oversight and affected stakeholders (WHO, 2021; Rozenblit et al., 2025).</w:t>
      </w:r>
    </w:p>
    <w:p w:rsidR="00000000" w:rsidDel="00000000" w:rsidP="00000000" w:rsidRDefault="00000000" w:rsidRPr="00000000" w14:paraId="0000006E">
      <w:pPr>
        <w:pStyle w:val="Heading2"/>
        <w:keepNext w:val="0"/>
        <w:keepLines w:val="0"/>
        <w:spacing w:before="480" w:line="360" w:lineRule="auto"/>
        <w:jc w:val="both"/>
        <w:rPr>
          <w:rFonts w:ascii="Times New Roman" w:cs="Times New Roman" w:eastAsia="Times New Roman" w:hAnsi="Times New Roman"/>
        </w:rPr>
      </w:pPr>
      <w:bookmarkStart w:colFirst="0" w:colLast="0" w:name="_5k8p83ui1wk3" w:id="12"/>
      <w:bookmarkEnd w:id="12"/>
      <w:r w:rsidDel="00000000" w:rsidR="00000000" w:rsidRPr="00000000">
        <w:br w:type="page"/>
      </w:r>
      <w:r w:rsidDel="00000000" w:rsidR="00000000" w:rsidRPr="00000000">
        <w:rPr>
          <w:rtl w:val="0"/>
        </w:rPr>
      </w:r>
    </w:p>
    <w:p w:rsidR="00000000" w:rsidDel="00000000" w:rsidP="00000000" w:rsidRDefault="00000000" w:rsidRPr="00000000" w14:paraId="0000006F">
      <w:pPr>
        <w:pStyle w:val="Heading2"/>
        <w:keepNext w:val="0"/>
        <w:keepLines w:val="0"/>
        <w:spacing w:before="480" w:line="360" w:lineRule="auto"/>
        <w:jc w:val="both"/>
        <w:rPr>
          <w:rFonts w:ascii="Times New Roman" w:cs="Times New Roman" w:eastAsia="Times New Roman" w:hAnsi="Times New Roman"/>
        </w:rPr>
      </w:pPr>
      <w:bookmarkStart w:colFirst="0" w:colLast="0" w:name="_6vy0699e33ny" w:id="13"/>
      <w:bookmarkEnd w:id="13"/>
      <w:r w:rsidDel="00000000" w:rsidR="00000000" w:rsidRPr="00000000">
        <w:rPr>
          <w:rFonts w:ascii="Times New Roman" w:cs="Times New Roman" w:eastAsia="Times New Roman" w:hAnsi="Times New Roman"/>
          <w:rtl w:val="0"/>
        </w:rPr>
        <w:t xml:space="preserve">2. Method for Conducting the Literature Review</w:t>
      </w:r>
    </w:p>
    <w:p w:rsidR="00000000" w:rsidDel="00000000" w:rsidP="00000000" w:rsidRDefault="00000000" w:rsidRPr="00000000" w14:paraId="00000070">
      <w:pPr>
        <w:pStyle w:val="Heading3"/>
        <w:spacing w:after="240" w:before="240" w:line="360" w:lineRule="auto"/>
        <w:jc w:val="both"/>
        <w:rPr>
          <w:rFonts w:ascii="Times New Roman" w:cs="Times New Roman" w:eastAsia="Times New Roman" w:hAnsi="Times New Roman"/>
        </w:rPr>
      </w:pPr>
      <w:bookmarkStart w:colFirst="0" w:colLast="0" w:name="_j774xtmtjy29" w:id="14"/>
      <w:bookmarkEnd w:id="14"/>
      <w:r w:rsidDel="00000000" w:rsidR="00000000" w:rsidRPr="00000000">
        <w:rPr>
          <w:rFonts w:ascii="Times New Roman" w:cs="Times New Roman" w:eastAsia="Times New Roman" w:hAnsi="Times New Roman"/>
          <w:rtl w:val="0"/>
        </w:rPr>
        <w:t xml:space="preserve">2.1 Review Design</w:t>
      </w:r>
    </w:p>
    <w:p w:rsidR="00000000" w:rsidDel="00000000" w:rsidP="00000000" w:rsidRDefault="00000000" w:rsidRPr="00000000" w14:paraId="0000007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critical literature review was deemed appropriate because the aim is not to derive a single pooled effect, but to analyse the different theories, philosophies and methodologies in the construction of knowledge around AI and workforce retention. The critical reviewing process is not a descriptive process; rather, it involves comparing evidence, identifying disagreement, and evaluating the premises that may support published research (Grant and Booth, 2009).</w:t>
      </w:r>
    </w:p>
    <w:p w:rsidR="00000000" w:rsidDel="00000000" w:rsidP="00000000" w:rsidRDefault="00000000" w:rsidRPr="00000000" w14:paraId="0000007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was divided into six categories of comparison:</w:t>
      </w:r>
    </w:p>
    <w:p w:rsidR="00000000" w:rsidDel="00000000" w:rsidP="00000000" w:rsidRDefault="00000000" w:rsidRPr="00000000" w14:paraId="00000073">
      <w:pPr>
        <w:numPr>
          <w:ilvl w:val="0"/>
          <w:numId w:val="2"/>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theoretical framework;</w:t>
      </w:r>
    </w:p>
    <w:p w:rsidR="00000000" w:rsidDel="00000000" w:rsidP="00000000" w:rsidRDefault="00000000" w:rsidRPr="00000000" w14:paraId="00000074">
      <w:pPr>
        <w:numPr>
          <w:ilvl w:val="0"/>
          <w:numId w:val="2"/>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philosophical orientation;</w:t>
      </w:r>
    </w:p>
    <w:p w:rsidR="00000000" w:rsidDel="00000000" w:rsidP="00000000" w:rsidRDefault="00000000" w:rsidRPr="00000000" w14:paraId="00000075">
      <w:pPr>
        <w:numPr>
          <w:ilvl w:val="0"/>
          <w:numId w:val="2"/>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 and methodology for research;</w:t>
      </w:r>
    </w:p>
    <w:p w:rsidR="00000000" w:rsidDel="00000000" w:rsidP="00000000" w:rsidRDefault="00000000" w:rsidRPr="00000000" w14:paraId="00000076">
      <w:pPr>
        <w:numPr>
          <w:ilvl w:val="0"/>
          <w:numId w:val="2"/>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sample and context;</w:t>
      </w:r>
    </w:p>
    <w:p w:rsidR="00000000" w:rsidDel="00000000" w:rsidP="00000000" w:rsidRDefault="00000000" w:rsidRPr="00000000" w14:paraId="00000077">
      <w:pPr>
        <w:numPr>
          <w:ilvl w:val="0"/>
          <w:numId w:val="2"/>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principal findings;</w:t>
      </w:r>
    </w:p>
    <w:p w:rsidR="00000000" w:rsidDel="00000000" w:rsidP="00000000" w:rsidRDefault="00000000" w:rsidRPr="00000000" w14:paraId="00000078">
      <w:pPr>
        <w:numPr>
          <w:ilvl w:val="0"/>
          <w:numId w:val="2"/>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Limits due to methodology and philosophy.</w:t>
      </w:r>
    </w:p>
    <w:p w:rsidR="00000000" w:rsidDel="00000000" w:rsidP="00000000" w:rsidRDefault="00000000" w:rsidRPr="00000000" w14:paraId="0000007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identify common relationships between psychological contracts, justice, responsible AI, trust and engagement and retention, a thematic synthesis approach was adopted. When the results of several qualitative and empirical studies must be synthesized, but their differences in context must be maintained, thematic synthesis is a particularly beneficial method to use (Braun and Clarke, 2021; Thomas and Harden, 2008).</w:t>
      </w:r>
    </w:p>
    <w:p w:rsidR="00000000" w:rsidDel="00000000" w:rsidP="00000000" w:rsidRDefault="00000000" w:rsidRPr="00000000" w14:paraId="0000007A">
      <w:pPr>
        <w:pStyle w:val="Heading3"/>
        <w:spacing w:after="240" w:before="240" w:line="360" w:lineRule="auto"/>
        <w:jc w:val="both"/>
        <w:rPr>
          <w:rFonts w:ascii="Times New Roman" w:cs="Times New Roman" w:eastAsia="Times New Roman" w:hAnsi="Times New Roman"/>
        </w:rPr>
      </w:pPr>
      <w:bookmarkStart w:colFirst="0" w:colLast="0" w:name="_u5v62yu03pfn" w:id="15"/>
      <w:bookmarkEnd w:id="15"/>
      <w:r w:rsidDel="00000000" w:rsidR="00000000" w:rsidRPr="00000000">
        <w:rPr>
          <w:rFonts w:ascii="Times New Roman" w:cs="Times New Roman" w:eastAsia="Times New Roman" w:hAnsi="Times New Roman"/>
          <w:rtl w:val="0"/>
        </w:rPr>
        <w:t xml:space="preserve">2.2 Search Strategy</w:t>
      </w:r>
    </w:p>
    <w:p w:rsidR="00000000" w:rsidDel="00000000" w:rsidP="00000000" w:rsidRDefault="00000000" w:rsidRPr="00000000" w14:paraId="0000007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literature was analysed around four related themes: AI and digital transformation in healthcare; Employee retention and attrition; Psychological contract, organisational justice, and responsible AI, trust, and employee engagement. </w:t>
      </w:r>
    </w:p>
    <w:p w:rsidR="00000000" w:rsidDel="00000000" w:rsidP="00000000" w:rsidRDefault="00000000" w:rsidRPr="00000000" w14:paraId="0000007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Academic literature was searched using a combination of keywords and related terms. The keywords used were AI, AI Adoption, Digital Transformation, Healthcare, Private Healthcare, Workforce Retention, Employee Retention, Turnover Intent, Psychological Contract, Organisational Justice, responsible AI, AI Governance, employee trust, and employee engagement. Alternatively, synonyms and different spellings of the same word were merged to not exclude relevant studies by term usage.</w:t>
      </w:r>
    </w:p>
    <w:p w:rsidR="00000000" w:rsidDel="00000000" w:rsidP="00000000" w:rsidRDefault="00000000" w:rsidRPr="00000000" w14:paraId="0000007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search was focused mainly on literature published in the last five years (2021-2026) to capture the latest advancements in AI and the need for timely evidence. The earlier seminal studies were left in where they served as a significant theoretical or methodological base, such as in the areas of psychological contracts, organisational justice, social exchange theory, dynamic capabilities, and research philosophy.</w:t>
      </w:r>
    </w:p>
    <w:p w:rsidR="00000000" w:rsidDel="00000000" w:rsidP="00000000" w:rsidRDefault="00000000" w:rsidRPr="00000000" w14:paraId="0000007E">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Iterative refinement of searches was done by reviewing keywords, abstracts, and reference lists of highly relevant studies. If there was an overly broad or narrow set of results from an initial search, search terms were modified to make them more relevant. This iterative strategy is appropriate, as literature-search strategies may need to be tested and refined to identify key studies to maximize the number of studies identified with relevant data while minimizing the amount of irrelevant data retrieved (Page et al., 2021).</w:t>
      </w:r>
      <w:r w:rsidDel="00000000" w:rsidR="00000000" w:rsidRPr="00000000">
        <w:rPr>
          <w:rtl w:val="0"/>
        </w:rPr>
      </w:r>
    </w:p>
    <w:p w:rsidR="00000000" w:rsidDel="00000000" w:rsidP="00000000" w:rsidRDefault="00000000" w:rsidRPr="00000000" w14:paraId="0000007F">
      <w:pPr>
        <w:pStyle w:val="Heading3"/>
        <w:keepNext w:val="0"/>
        <w:keepLines w:val="0"/>
        <w:spacing w:after="80" w:line="360" w:lineRule="auto"/>
        <w:jc w:val="both"/>
        <w:rPr>
          <w:rFonts w:ascii="Times New Roman" w:cs="Times New Roman" w:eastAsia="Times New Roman" w:hAnsi="Times New Roman"/>
        </w:rPr>
      </w:pPr>
      <w:bookmarkStart w:colFirst="0" w:colLast="0" w:name="_hjdjyy2s5jrb" w:id="16"/>
      <w:bookmarkEnd w:id="16"/>
      <w:r w:rsidDel="00000000" w:rsidR="00000000" w:rsidRPr="00000000">
        <w:rPr>
          <w:rFonts w:ascii="Times New Roman" w:cs="Times New Roman" w:eastAsia="Times New Roman" w:hAnsi="Times New Roman"/>
          <w:rtl w:val="0"/>
        </w:rPr>
        <w:t xml:space="preserve">2.3 Inclusion, Exclusion and Analytical Procedure</w:t>
      </w:r>
    </w:p>
    <w:p w:rsidR="00000000" w:rsidDel="00000000" w:rsidP="00000000" w:rsidRDefault="00000000" w:rsidRPr="00000000" w14:paraId="0000008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Included studies included peer-reviewed English-language research on healthcare, HRM, business and management, organisational AI, digital transformation, or employee outcomes from publications from 2021 to 2026.</w:t>
      </w:r>
    </w:p>
    <w:p w:rsidR="00000000" w:rsidDel="00000000" w:rsidP="00000000" w:rsidRDefault="00000000" w:rsidRPr="00000000" w14:paraId="0000008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Only AI-development studies with no workforce implications, or clinical studies with no organisational implications, were included, as were opinion pieces and non-health-related studies with no implications for the health care workforce.</w:t>
      </w:r>
    </w:p>
    <w:p w:rsidR="00000000" w:rsidDel="00000000" w:rsidP="00000000" w:rsidRDefault="00000000" w:rsidRPr="00000000" w14:paraId="0000008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process was not a formal systematic review, but rather informed by PRISMA, since it was a critical synthesis, not a systematic review with meta-analysis. Transparent reporting of search, selection, and synthesis procedures (Page et al., 2021) is emphasized by PRISMA 2020.</w:t>
      </w:r>
    </w:p>
    <w:p w:rsidR="00000000" w:rsidDel="00000000" w:rsidP="00000000" w:rsidRDefault="00000000" w:rsidRPr="00000000" w14:paraId="0000008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literature was then classified into the categories listed above for comparisons. Comparisons of studies were made for convergence and contradiction. Special focus was placed on the nature in which the researcher(s) handled the employees' responses, namely as measurable variables, socially constructed experiences, manifestations of deeper mechanisms, or practical problems that demanded multiple types of evidence.</w:t>
      </w:r>
    </w:p>
    <w:p w:rsidR="00000000" w:rsidDel="00000000" w:rsidP="00000000" w:rsidRDefault="00000000" w:rsidRPr="00000000" w14:paraId="0000008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pStyle w:val="Heading2"/>
        <w:spacing w:line="360" w:lineRule="auto"/>
        <w:rPr>
          <w:rFonts w:ascii="Times New Roman" w:cs="Times New Roman" w:eastAsia="Times New Roman" w:hAnsi="Times New Roman"/>
        </w:rPr>
      </w:pPr>
      <w:bookmarkStart w:colFirst="0" w:colLast="0" w:name="_ej6yqy7yq7oa" w:id="17"/>
      <w:bookmarkEnd w:id="17"/>
      <w:r w:rsidDel="00000000" w:rsidR="00000000" w:rsidRPr="00000000">
        <w:br w:type="page"/>
      </w:r>
      <w:r w:rsidDel="00000000" w:rsidR="00000000" w:rsidRPr="00000000">
        <w:rPr>
          <w:rtl w:val="0"/>
        </w:rPr>
      </w:r>
    </w:p>
    <w:p w:rsidR="00000000" w:rsidDel="00000000" w:rsidP="00000000" w:rsidRDefault="00000000" w:rsidRPr="00000000" w14:paraId="00000089">
      <w:pPr>
        <w:pStyle w:val="Heading2"/>
        <w:spacing w:line="360" w:lineRule="auto"/>
        <w:rPr>
          <w:rFonts w:ascii="Times New Roman" w:cs="Times New Roman" w:eastAsia="Times New Roman" w:hAnsi="Times New Roman"/>
        </w:rPr>
      </w:pPr>
      <w:bookmarkStart w:colFirst="0" w:colLast="0" w:name="_xh5gs3o3eda4" w:id="18"/>
      <w:bookmarkEnd w:id="18"/>
      <w:r w:rsidDel="00000000" w:rsidR="00000000" w:rsidRPr="00000000">
        <w:rPr>
          <w:rFonts w:ascii="Times New Roman" w:cs="Times New Roman" w:eastAsia="Times New Roman" w:hAnsi="Times New Roman"/>
          <w:rtl w:val="0"/>
        </w:rPr>
        <w:t xml:space="preserve">3. Critical Literature Review</w:t>
      </w:r>
    </w:p>
    <w:p w:rsidR="00000000" w:rsidDel="00000000" w:rsidP="00000000" w:rsidRDefault="00000000" w:rsidRPr="00000000" w14:paraId="0000008A">
      <w:pPr>
        <w:pStyle w:val="Heading3"/>
        <w:keepNext w:val="0"/>
        <w:keepLines w:val="0"/>
        <w:spacing w:after="80" w:line="360" w:lineRule="auto"/>
        <w:rPr>
          <w:rFonts w:ascii="Times New Roman" w:cs="Times New Roman" w:eastAsia="Times New Roman" w:hAnsi="Times New Roman"/>
        </w:rPr>
      </w:pPr>
      <w:bookmarkStart w:colFirst="0" w:colLast="0" w:name="_b036w594xt1s" w:id="19"/>
      <w:bookmarkEnd w:id="19"/>
      <w:r w:rsidDel="00000000" w:rsidR="00000000" w:rsidRPr="00000000">
        <w:rPr>
          <w:rFonts w:ascii="Times New Roman" w:cs="Times New Roman" w:eastAsia="Times New Roman" w:hAnsi="Times New Roman"/>
          <w:rtl w:val="0"/>
        </w:rPr>
        <w:t xml:space="preserve">3.1 Psychological Contract Fulfilment in AI-Enabled Organisations</w:t>
      </w:r>
      <w:r w:rsidDel="00000000" w:rsidR="00000000" w:rsidRPr="00000000">
        <w:rPr>
          <w:rtl w:val="0"/>
        </w:rPr>
      </w:r>
    </w:p>
    <w:p w:rsidR="00000000" w:rsidDel="00000000" w:rsidP="00000000" w:rsidRDefault="00000000" w:rsidRPr="00000000" w14:paraId="0000008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important starting point is the concept of Psychological Contract Theory, as AI alters the employment relationship, not just the technology employed to perform tasks. Employees' psychological contracts consist of their expectations regarding reciprocal obligations, such as development, support, security, recognition and fairness (Rousseau, 1995). Social Exchange Theory also suggests that employment relationships emerge as a result of exchanges between the employee and the employer, such that positive employee reactions can be maintained by positive treatment (Blau, 1964).</w:t>
      </w:r>
    </w:p>
    <w:p w:rsidR="00000000" w:rsidDel="00000000" w:rsidP="00000000" w:rsidRDefault="00000000" w:rsidRPr="00000000" w14:paraId="0000008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AI can be seen as an organisational change and not solely as an information system, the relevance of these theories is more apparent. AI could change jobs, job skills, job performance expectations and career paths. An employee who previously knew that the organisation was required to provide him or her with a stable job may now think that continued employment is contingent upon the employee learning to perform new technologies. The psychological contract is thus a dynamic phenomenon.</w:t>
      </w:r>
    </w:p>
    <w:p w:rsidR="00000000" w:rsidDel="00000000" w:rsidP="00000000" w:rsidRDefault="00000000" w:rsidRPr="00000000" w14:paraId="0000008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(Braganza et al., 2021)  conducted research to uncover the relationships between psychological contracts, job engagement, and employee trust among 232 workers, and the findings indicated positive relationships. However, adoption of AI had a dampening effect on the positive relationship between psychological contracts and engagement. </w:t>
      </w:r>
    </w:p>
    <w:p w:rsidR="00000000" w:rsidDel="00000000" w:rsidP="00000000" w:rsidRDefault="00000000" w:rsidRPr="00000000" w14:paraId="0000009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not that technology just made people engage more, in fact, it's the opposite. It's not that technology made people engage more; it's the opposite of that. Rather, the impact of this technology was based in part on the employment relationship that encompassed it.</w:t>
      </w:r>
    </w:p>
    <w:p w:rsidR="00000000" w:rsidDel="00000000" w:rsidP="00000000" w:rsidRDefault="00000000" w:rsidRPr="00000000" w14:paraId="0000009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importance of this discovery is because of its challenge to technological determinism. With the better the outcome of employees, the higher should be the level of technology adoption, which should further boost engagement. </w:t>
      </w:r>
    </w:p>
    <w:p w:rsidR="00000000" w:rsidDel="00000000" w:rsidP="00000000" w:rsidRDefault="00000000" w:rsidRPr="00000000" w14:paraId="0000009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better the outcomes of employees, the better the level of technology adoption, which should further increase engagement. Rather, evidence indicates that AI can transform the nature of positive employment relationships (Braganza et al., 2021). The technology then has a consequence because the practice of organisations and the interpretation by employees.</w:t>
      </w:r>
    </w:p>
    <w:p w:rsidR="00000000" w:rsidDel="00000000" w:rsidP="00000000" w:rsidRDefault="00000000" w:rsidRPr="00000000" w14:paraId="0000009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corroborated by newer health care research. (Amoako et al., 2024) conducted research that linked digital transformation, technological readiness, HR practices, leadership support, and psychological contract and turnover intention with 509 healthcare workers in Ghana. Importantly, both the covariance-based SEM and the fsQCA demonstrate that the relationship is not necessarily linear, and that it is not necessarily a single path, but rather an interplay between various paths.</w:t>
      </w:r>
    </w:p>
    <w:p w:rsidR="00000000" w:rsidDel="00000000" w:rsidP="00000000" w:rsidRDefault="00000000" w:rsidRPr="00000000" w14:paraId="0000009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Ghana study has a methodological constraint, however. The findings are limited in their ability to explain the psychological contract formation in technological change because of the convenience sampling used and the cross-sectional design. </w:t>
      </w:r>
    </w:p>
    <w:p w:rsidR="00000000" w:rsidDel="00000000" w:rsidP="00000000" w:rsidRDefault="00000000" w:rsidRPr="00000000" w14:paraId="0000009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implementing digital transformation, employees can report an association between digital transformation and turnover intention, but the design does not fully allow for testing of whether the digital transformation also led to an interpretation of the psychological contracts in a negative way or whether the employees already felt dissatisfied before the digital transformation was introduced (Amoako et al., 2024).</w:t>
      </w:r>
    </w:p>
    <w:p w:rsidR="00000000" w:rsidDel="00000000" w:rsidP="00000000" w:rsidRDefault="00000000" w:rsidRPr="00000000" w14:paraId="0000009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an epistemological difference. A positivist survey is able to move psychological contract fulfilment from a subjective to a measurable dimension, which facilitates comparison of the responses between the respondents. In the process of measuring such a complex relational experience, however, a number of indicators are inevitably instituted. </w:t>
      </w:r>
    </w:p>
    <w:p w:rsidR="00000000" w:rsidDel="00000000" w:rsidP="00000000" w:rsidRDefault="00000000" w:rsidRPr="00000000" w14:paraId="0000009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interpretivist method might examine the meaning employees give to what their employer “owes” them following the implementation of AI, which could vary among nurses, physicians, administrators and technical workers.</w:t>
      </w:r>
    </w:p>
    <w:p w:rsidR="00000000" w:rsidDel="00000000" w:rsidP="00000000" w:rsidRDefault="00000000" w:rsidRPr="00000000" w14:paraId="000000A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view is backed up by recent qualitative research in the field of organisational AI. Conversational AI has been explored in a global organisation through an interpretive case study, revealing three dimensions of the formation of trust: emotional, cognitive and organisational (Gkinko and Elbanna, 2023). The findings indicate that trust is built based on past experiences and the context of the organisation, and not a fixed trait of the employee.</w:t>
      </w:r>
    </w:p>
    <w:p w:rsidR="00000000" w:rsidDel="00000000" w:rsidP="00000000" w:rsidRDefault="00000000" w:rsidRPr="00000000" w14:paraId="000000A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distinction is crucial in the healthcare setting because different professional groups could interact differently with the same AI system. For a radiologist, AI can be an extra diagnostic tool, and for an administrator, it can be a tool for performance management. Thus, the apparent scores of “AI acceptance” can mask meaningful variations in psychological contract expectations and/or professional identity.</w:t>
      </w:r>
    </w:p>
    <w:p w:rsidR="00000000" w:rsidDel="00000000" w:rsidP="00000000" w:rsidRDefault="00000000" w:rsidRPr="00000000" w14:paraId="000000A4">
      <w:pPr>
        <w:pStyle w:val="Heading3"/>
        <w:rPr>
          <w:rFonts w:ascii="Times New Roman" w:cs="Times New Roman" w:eastAsia="Times New Roman" w:hAnsi="Times New Roman"/>
        </w:rPr>
      </w:pPr>
      <w:bookmarkStart w:colFirst="0" w:colLast="0" w:name="_ttgjh3srihb" w:id="20"/>
      <w:bookmarkEnd w:id="20"/>
      <w:r w:rsidDel="00000000" w:rsidR="00000000" w:rsidRPr="00000000">
        <w:rPr>
          <w:rFonts w:ascii="Times New Roman" w:cs="Times New Roman" w:eastAsia="Times New Roman" w:hAnsi="Times New Roman"/>
          <w:rtl w:val="0"/>
        </w:rPr>
        <w:t xml:space="preserve">3.2 Organisational Justice and Employee Retention</w:t>
      </w:r>
    </w:p>
    <w:p w:rsidR="00000000" w:rsidDel="00000000" w:rsidP="00000000" w:rsidRDefault="00000000" w:rsidRPr="00000000" w14:paraId="000000A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justice has been introduced as a complement to psychological contract theory as it moves the focus from the exchange of mutual commitments to fairness perceptions of employees. Evidence-based justice includes the procedural, distributive, interpersonal, and informational aspects of justice as established by (Colquitt, 2001). These dimensions are especially crucial in an AI-enabled organisation as algorithms can be involved in workload, scheduling, performance, recruitment, or allocation of resources.</w:t>
      </w:r>
    </w:p>
    <w:p w:rsidR="00000000" w:rsidDel="00000000" w:rsidP="00000000" w:rsidRDefault="00000000" w:rsidRPr="00000000" w14:paraId="000000A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Evidence from healthcare also indicates that distributive justice can influence turnover intention through organisational commitment and work engagement (Chen et al., 2022). </w:t>
      </w:r>
    </w:p>
    <w:p w:rsidR="00000000" w:rsidDel="00000000" w:rsidP="00000000" w:rsidRDefault="00000000" w:rsidRPr="00000000" w14:paraId="000000A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Distributive justice is the issue of the distribution of benefits and burdens. While AI can help to alleviate repetitive tasks and increase productivity, the advantages are not uniform. Some staff might get more freedom and less work, others might be monitored more intensively or even deemed redundant. Efficiency in the organisation cannot be identified with fairness for the employees.</w:t>
      </w:r>
    </w:p>
    <w:p w:rsidR="00000000" w:rsidDel="00000000" w:rsidP="00000000" w:rsidRDefault="00000000" w:rsidRPr="00000000" w14:paraId="000000A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conceptual literature used in the draft was weak compared to the recent healthcare evidence. The study with 1200 primary health care staff members showed that there was a statistically significant negative relationship between organisational justice and intention to quit. Distributive and procedural justice were both significantly influential, and work motivation partially explained this relationship (Zhao et al., 2024).</w:t>
      </w:r>
    </w:p>
    <w:p w:rsidR="00000000" w:rsidDel="00000000" w:rsidP="00000000" w:rsidRDefault="00000000" w:rsidRPr="00000000" w14:paraId="000000A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particular, procedural justice is a factor to consider in relation to AI because employees may be interested in the process that leads to the decision, rather than the decision itself. Even if the algorithm is more efficient, if an employee cannot challenge the result, then the process could be considered unfair.</w:t>
      </w:r>
    </w:p>
    <w:p w:rsidR="00000000" w:rsidDel="00000000" w:rsidP="00000000" w:rsidRDefault="00000000" w:rsidRPr="00000000" w14:paraId="000000A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provides a deeper epistemological question. An algorithm could have a consistent technical process, but not be considered “fair” when implemented in an organisation. Technical consistency is not social legitimacy, therefore. While a positivist view may evaluate if an algorithm has a consistent result across individuals, an interpretive view may question what the outcomes of the algorithm mean to affected employees.</w:t>
      </w:r>
    </w:p>
    <w:p w:rsidR="00000000" w:rsidDel="00000000" w:rsidP="00000000" w:rsidRDefault="00000000" w:rsidRPr="00000000" w14:paraId="000000A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with healthcare practitioners should illustrate the importance of taking justice into account in addition to autonomy and trust. The fsQCA analysis of 401 healthcare professionals revealed various sets of justice, autonomy, and trust that were linked with the feeling of responsibility for AI, varying by organisational complexity (Wang et al., 2024).</w:t>
      </w:r>
    </w:p>
    <w:p w:rsidR="00000000" w:rsidDel="00000000" w:rsidP="00000000" w:rsidRDefault="00000000" w:rsidRPr="00000000" w14:paraId="000000A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crucial because it does not support the notion of a uniform effect of justice. The level of governance considered 'adequate' might be influenced by organisational complexity, technological maturity and its professional context.</w:t>
      </w:r>
    </w:p>
    <w:p w:rsidR="00000000" w:rsidDel="00000000" w:rsidP="00000000" w:rsidRDefault="00000000" w:rsidRPr="00000000" w14:paraId="000000A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Interactional justice incorporates the communication aspect of leadership. AI is not a technology per se that users encounter directly. Managers provide reasons for introducing AI, what their staff will need to do, and how their jobs will be impacted and supported. Therefore, it is important that leadership communication helps create the right understanding of AI as an organisational investment or an organisational threat.</w:t>
      </w:r>
    </w:p>
    <w:p w:rsidR="00000000" w:rsidDel="00000000" w:rsidP="00000000" w:rsidRDefault="00000000" w:rsidRPr="00000000" w14:paraId="000000A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Responsible leadership showed a positive relationship with organisational justice, and organisational justice showed a negative relationship with turnover intention, which in turn showed a negative relationship with responsible leadership and turnover intention (Khanam et al., 2024).</w:t>
      </w:r>
    </w:p>
    <w:p w:rsidR="00000000" w:rsidDel="00000000" w:rsidP="00000000" w:rsidRDefault="00000000" w:rsidRPr="00000000" w14:paraId="000000AF">
      <w:pPr>
        <w:pStyle w:val="Heading3"/>
        <w:keepNext w:val="0"/>
        <w:keepLines w:val="0"/>
        <w:spacing w:after="80" w:line="360" w:lineRule="auto"/>
        <w:jc w:val="both"/>
        <w:rPr>
          <w:rFonts w:ascii="Times New Roman" w:cs="Times New Roman" w:eastAsia="Times New Roman" w:hAnsi="Times New Roman"/>
        </w:rPr>
      </w:pPr>
      <w:bookmarkStart w:colFirst="0" w:colLast="0" w:name="_m3vsn8b2un51" w:id="21"/>
      <w:bookmarkEnd w:id="21"/>
      <w:r w:rsidDel="00000000" w:rsidR="00000000" w:rsidRPr="00000000">
        <w:rPr>
          <w:rFonts w:ascii="Times New Roman" w:cs="Times New Roman" w:eastAsia="Times New Roman" w:hAnsi="Times New Roman"/>
          <w:rtl w:val="0"/>
        </w:rPr>
        <w:t xml:space="preserve">3.3 Responsible AI Adoption and Human-Centred Transformation</w:t>
      </w:r>
    </w:p>
    <w:p w:rsidR="00000000" w:rsidDel="00000000" w:rsidP="00000000" w:rsidRDefault="00000000" w:rsidRPr="00000000" w14:paraId="000000B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Responsible AI is different from using AI as a technical tool to using AI as a socio-organisational tool. Ethical governance, transparency, accountability, human autonomy, and protection from harm are key points that the WHO considers vital in the context of AI for health (WHO, 2021). Similarly, the study of healthcare AI governance suggests that a multi-stakeholder strategy is needed due to differing interests among patients, professionals, managers, and the AI developers and regulators.</w:t>
      </w:r>
    </w:p>
    <w:p w:rsidR="00000000" w:rsidDel="00000000" w:rsidP="00000000" w:rsidRDefault="00000000" w:rsidRPr="00000000" w14:paraId="000000B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the question is, do these “responsible AI” principles really generate employee trust and positive organisational outcomes?</w:t>
      </w:r>
    </w:p>
    <w:p w:rsidR="00000000" w:rsidDel="00000000" w:rsidP="00000000" w:rsidRDefault="00000000" w:rsidRPr="00000000" w14:paraId="000000B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Transparency is frequently viewed as a pathway to trust, but it does not necessarily spell trust. A system can be explainable but not accurate. On the other hand, a very precise system could be very hard to use for employees. A systematic review of the literature revealed that healthcare workers' trust in AI-based clinical decision-support tools was influenced by a combination of factors, such as transparency, training, usability, reliability, validation, ethical protections, and human-centred design and user control, which were interrelated (Tun et al., 2025).</w:t>
      </w:r>
    </w:p>
    <w:p w:rsidR="00000000" w:rsidDel="00000000" w:rsidP="00000000" w:rsidRDefault="00000000" w:rsidRPr="00000000" w14:paraId="000000B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means that explainability is not enough. People need to know and have the power to act on an explanation for it to mean anything.</w:t>
      </w:r>
    </w:p>
    <w:p w:rsidR="00000000" w:rsidDel="00000000" w:rsidP="00000000" w:rsidRDefault="00000000" w:rsidRPr="00000000" w14:paraId="000000B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with the research on trust and technology, research on the development of an AI trust and acceptance model has also highlighted the need to consider trust to be multidimensional or not just a willingness to adopt technology (Stevens and Stetson, 2023).</w:t>
      </w:r>
    </w:p>
    <w:p w:rsidR="00000000" w:rsidDel="00000000" w:rsidP="00000000" w:rsidRDefault="00000000" w:rsidRPr="00000000" w14:paraId="000000B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also worth considering whether more trust is always a good thing. If too much trust is placed in algorithms, it can lead to automation bias, meaning employees may blindly follow the algorithms without properly evaluating them professionally. The desired result is not blind faith, but a degree of faith. Attitudes to AI have been found to evolve over time and to vary by role within an organisation (Daly et al., 2025).</w:t>
      </w:r>
    </w:p>
    <w:p w:rsidR="00000000" w:rsidDel="00000000" w:rsidP="00000000" w:rsidRDefault="00000000" w:rsidRPr="00000000" w14:paraId="000000B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indicates that the human-centred argument is supported across the board, as healthcare workers are not all equally affected by AI. Research has revealed diverse attitudes towards the acceptance of AI, along with concerns and challenges in implementation within the healthcare industry (Yousif et al., 2024; Ayorinde et al., 2024).</w:t>
      </w:r>
    </w:p>
    <w:p w:rsidR="00000000" w:rsidDel="00000000" w:rsidP="00000000" w:rsidRDefault="00000000" w:rsidRPr="00000000" w14:paraId="000000B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applications in healthcare were also found to be positively related to different tensions between the aspects of learning and performance, belonging and power, respectively (Irgang et al., 2025). This defies the notion that employee concerns will always thwart adoption. Opportunity and threat can both be present at the same time for employees.</w:t>
      </w:r>
    </w:p>
    <w:p w:rsidR="00000000" w:rsidDel="00000000" w:rsidP="00000000" w:rsidRDefault="00000000" w:rsidRPr="00000000" w14:paraId="000000B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here that the philosophical question comes into play. If the answers given by employees are conflicting, then a simple variable-based model may consider the inconsistency as statistical noise. However, an interpretivist view might alternatively view contradiction as an indication that employees have multiple meanings of the same technology. Qualitative research shows that ‘contradictions in interview data can help understand how the interviewees construct meaning and identity; they are not necessarily 'bad evidence' (Watson, 2006: 172).</w:t>
      </w:r>
    </w:p>
    <w:p w:rsidR="00000000" w:rsidDel="00000000" w:rsidP="00000000" w:rsidRDefault="00000000" w:rsidRPr="00000000" w14:paraId="000000B9">
      <w:pPr>
        <w:pStyle w:val="Heading3"/>
        <w:spacing w:after="240" w:before="240" w:line="360" w:lineRule="auto"/>
        <w:jc w:val="both"/>
        <w:rPr>
          <w:rFonts w:ascii="Times New Roman" w:cs="Times New Roman" w:eastAsia="Times New Roman" w:hAnsi="Times New Roman"/>
        </w:rPr>
      </w:pPr>
      <w:bookmarkStart w:colFirst="0" w:colLast="0" w:name="_voassvugz9xv" w:id="22"/>
      <w:bookmarkEnd w:id="22"/>
      <w:r w:rsidDel="00000000" w:rsidR="00000000" w:rsidRPr="00000000">
        <w:rPr>
          <w:rFonts w:ascii="Times New Roman" w:cs="Times New Roman" w:eastAsia="Times New Roman" w:hAnsi="Times New Roman"/>
          <w:rtl w:val="0"/>
        </w:rPr>
        <w:t xml:space="preserve">3.4 Strategic Workforce Retention</w:t>
      </w:r>
    </w:p>
    <w:p w:rsidR="00000000" w:rsidDel="00000000" w:rsidP="00000000" w:rsidRDefault="00000000" w:rsidRPr="00000000" w14:paraId="000000B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Traditionally, the topic of workforce retention is found in the domain of strategic HRM where it is generally seen as a way to hold onto human resources and minimise the organisational cost of turnover. Strategic HRM research has highlighted the importance of the knowledge and capabilities of employees to an organization's performance (Wright and McMahan, 2011). Dynamic Capabilities Theory builds on this as it takes into account how organisations adapt their resources and capabilities in response to changes in the environment (Teece, 2007; Teece et al., 2016).</w:t>
      </w:r>
    </w:p>
    <w:p w:rsidR="00000000" w:rsidDel="00000000" w:rsidP="00000000" w:rsidRDefault="00000000" w:rsidRPr="00000000" w14:paraId="000000B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Dynamic Capabilities Theory contributes something that other theories such as psychological contract and justice theories do not. The primary explanations for the employee–organisation relationship are found in Psychological Contract Theory, and for employee perceptions of fairness in the organisation, Organisational Justice Theory. It is rather the question of Dynamic Capabilities Theory whether the organisation is able to transform its resources, routines and capabilities on a regular basis when things change.</w:t>
      </w:r>
    </w:p>
    <w:p w:rsidR="00000000" w:rsidDel="00000000" w:rsidP="00000000" w:rsidRDefault="00000000" w:rsidRPr="00000000" w14:paraId="000000B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important for an AI-powered healthcare system. Adopting AI is not a single event, but an ongoing journey within a healthcare organisation. Systems change, employees need to be reskilled, workflows are redesigned, and governance structures evolve over time. As a result, Strategic retention necessitates that the organisation be aware of technological change, react with HR practices, and alter the workforce's capabilities (Teece, 2007).</w:t>
      </w:r>
    </w:p>
    <w:p w:rsidR="00000000" w:rsidDel="00000000" w:rsidP="00000000" w:rsidRDefault="00000000" w:rsidRPr="00000000" w14:paraId="000000B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involvement of employees may be important as a mediator. If AI is making repetitive tasks easier and offering learning opportunities and aids to professional judgment, there may be an increase in engagement. If AI is perceived as watching them or taking over their jobs, there may be a drop in engagement.</w:t>
      </w:r>
    </w:p>
    <w:p w:rsidR="00000000" w:rsidDel="00000000" w:rsidP="00000000" w:rsidRDefault="00000000" w:rsidRPr="00000000" w14:paraId="000000B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Engagement has emerged as a mediator between performance and use of AI in recent research, and between responsible AI and healthcare employee engagement (Hameed et al., 2026; Zhou et al., 2022), with evidence amongst healthcare workers pointing to its mediating role between the two.</w:t>
      </w:r>
    </w:p>
    <w:p w:rsidR="00000000" w:rsidDel="00000000" w:rsidP="00000000" w:rsidRDefault="00000000" w:rsidRPr="00000000" w14:paraId="000000B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engagement shouldn't be the only indicator of retention. Staff can be highly engaged but motivated to move on with their careers, and staff can be relatively disengaged but motivated to stay for financial, professional and/or family reasons. Therefore, workforce retention is a behavioural outcome that is influenced by a number of mechanisms.</w:t>
      </w:r>
    </w:p>
    <w:p w:rsidR="00000000" w:rsidDel="00000000" w:rsidP="00000000" w:rsidRDefault="00000000" w:rsidRPr="00000000" w14:paraId="000000C0">
      <w:pPr>
        <w:pStyle w:val="Heading3"/>
        <w:keepNext w:val="0"/>
        <w:keepLines w:val="0"/>
        <w:spacing w:after="80" w:line="360" w:lineRule="auto"/>
        <w:jc w:val="both"/>
        <w:rPr>
          <w:rFonts w:ascii="Times New Roman" w:cs="Times New Roman" w:eastAsia="Times New Roman" w:hAnsi="Times New Roman"/>
        </w:rPr>
      </w:pPr>
      <w:bookmarkStart w:colFirst="0" w:colLast="0" w:name="_xpaf1d2k4icv" w:id="23"/>
      <w:bookmarkEnd w:id="23"/>
      <w:r w:rsidDel="00000000" w:rsidR="00000000" w:rsidRPr="00000000">
        <w:rPr>
          <w:rFonts w:ascii="Times New Roman" w:cs="Times New Roman" w:eastAsia="Times New Roman" w:hAnsi="Times New Roman"/>
          <w:rtl w:val="0"/>
        </w:rPr>
        <w:t xml:space="preserve">3.5 Comparative Philosophical Perspectives Applied to the Literature</w:t>
      </w:r>
    </w:p>
    <w:p w:rsidR="00000000" w:rsidDel="00000000" w:rsidP="00000000" w:rsidRDefault="00000000" w:rsidRPr="00000000" w14:paraId="000000C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difference in philosophy that has been noted in the literature is not a superficial one. They shape the findings and conclusions of researchers regarding AI and employee retention. They directly impact the findings and conclusions of researchers on AI and employee retention.</w:t>
      </w:r>
    </w:p>
    <w:p w:rsidR="00000000" w:rsidDel="00000000" w:rsidP="00000000" w:rsidRDefault="00000000" w:rsidRPr="00000000" w14:paraId="000000C2">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Positivism</w:t>
      </w:r>
    </w:p>
    <w:p w:rsidR="00000000" w:rsidDel="00000000" w:rsidP="00000000" w:rsidRDefault="00000000" w:rsidRPr="00000000" w14:paraId="000000C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the positive approach, research generally takes the stance that social phenomena are measurable and that there is a possibility to test the relationships between variables empirically. The quantitative approach to the studies on psychological contract, justice, engagement, and intention to turn over (I.T.T.) provides examples of this (Braganza et al., 2021; Zhao et al., 2024; Zhou et al., 2022).</w:t>
      </w:r>
    </w:p>
    <w:p w:rsidR="00000000" w:rsidDel="00000000" w:rsidP="00000000" w:rsidRDefault="00000000" w:rsidRPr="00000000" w14:paraId="000000C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Comparability and statistical testing are strengths. Relatively large samples can be used to estimate relationships. But there is a need to measure what constitutes evidence. What is perceived as “fairness” is turned into a number instead of a contextual description of how the decision is felt to be unfair.</w:t>
      </w:r>
    </w:p>
    <w:p w:rsidR="00000000" w:rsidDel="00000000" w:rsidP="00000000" w:rsidRDefault="00000000" w:rsidRPr="00000000" w14:paraId="000000C5">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Interpretivism</w:t>
      </w:r>
    </w:p>
    <w:p w:rsidR="00000000" w:rsidDel="00000000" w:rsidP="00000000" w:rsidRDefault="00000000" w:rsidRPr="00000000" w14:paraId="000000C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does it mean to ask about interpreting? How can we ask about the construction of meaning in social situations? This orientation is presented in an interpretive case study of conversational AI, which conveys that trust is a process that employees go through and build and is more than just a variable that is used to predict use (Gkinko and Elbanna, 2023).</w:t>
      </w:r>
    </w:p>
    <w:p w:rsidR="00000000" w:rsidDel="00000000" w:rsidP="00000000" w:rsidRDefault="00000000" w:rsidRPr="00000000" w14:paraId="000000C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Qualitative research into inconsistencies in the interviews is also important since they can show the way in which participants account for their behaviour rather than just that the data is unreliable (Watson, 2006).</w:t>
      </w:r>
    </w:p>
    <w:p w:rsidR="00000000" w:rsidDel="00000000" w:rsidP="00000000" w:rsidRDefault="00000000" w:rsidRPr="00000000" w14:paraId="000000C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Depth is then the strength of interpretivism. The downside is that the results are more context-specific and not necessarily best for estimating the prevalence of specific relationships.</w:t>
      </w:r>
    </w:p>
    <w:p w:rsidR="00000000" w:rsidDel="00000000" w:rsidP="00000000" w:rsidRDefault="00000000" w:rsidRPr="00000000" w14:paraId="000000C9">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Critical Realism</w:t>
      </w:r>
    </w:p>
    <w:p w:rsidR="00000000" w:rsidDel="00000000" w:rsidP="00000000" w:rsidRDefault="00000000" w:rsidRPr="00000000" w14:paraId="000000C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critical realism has another approach to the problem. It allows differentiating between observable events and underlying mechanisms that produce them. Turnover can be seen, and can be explained as psychological contract breach, perceived injustice, leadership practices, perceived uncertainty about technology, or labour-market conditions.</w:t>
      </w:r>
    </w:p>
    <w:p w:rsidR="00000000" w:rsidDel="00000000" w:rsidP="00000000" w:rsidRDefault="00000000" w:rsidRPr="00000000" w14:paraId="000000C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especially helpful when the multiple mechanisms are functioning at the same time. Not assuming the equivalence of statistical correlation and causal explanation.</w:t>
      </w:r>
    </w:p>
    <w:p w:rsidR="00000000" w:rsidDel="00000000" w:rsidP="00000000" w:rsidRDefault="00000000" w:rsidRPr="00000000" w14:paraId="000000C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critical realism also requires the careful justification of statements of underlying mechanisms. No explanation can be called “realist” since the research deals with complexity. Ontological statements must be directly linked with evidence and theoretical explanations.</w:t>
      </w:r>
    </w:p>
    <w:p w:rsidR="00000000" w:rsidDel="00000000" w:rsidP="00000000" w:rsidRDefault="00000000" w:rsidRPr="00000000" w14:paraId="000000CD">
      <w:pPr>
        <w:keepNext w:val="0"/>
        <w:keepLines w:val="0"/>
        <w:spacing w:before="2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Pragmatism</w:t>
      </w:r>
    </w:p>
    <w:p w:rsidR="00000000" w:rsidDel="00000000" w:rsidP="00000000" w:rsidRDefault="00000000" w:rsidRPr="00000000" w14:paraId="000000C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Pragmatism emphasizes the practical consequences of the problem being studied and the research problem. It can enable the integration of quantitative and qualitative evidence where the various approaches can answer different parts of the research question.</w:t>
      </w:r>
    </w:p>
    <w:p w:rsidR="00000000" w:rsidDel="00000000" w:rsidP="00000000" w:rsidRDefault="00000000" w:rsidRPr="00000000" w14:paraId="000000C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Pragmatism offers a compelling rationale for the measurement of the relationships between responsible AI, justice, psychological contracts, trust, engagement and retention, as well as the use of interviews to gain insights into how employees interpret AI-enabled change for this research topic.</w:t>
      </w:r>
    </w:p>
    <w:p w:rsidR="00000000" w:rsidDel="00000000" w:rsidP="00000000" w:rsidRDefault="00000000" w:rsidRPr="00000000" w14:paraId="000000D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flexibility in methodology does not make a philosophical inconsistency. Mixed methods should be used as justified by the question of the research, not merely because there seems to be a desire for both quantitative and qualitative data.</w:t>
      </w:r>
    </w:p>
    <w:p w:rsidR="00000000" w:rsidDel="00000000" w:rsidP="00000000" w:rsidRDefault="00000000" w:rsidRPr="00000000" w14:paraId="000000D1">
      <w:pPr>
        <w:pStyle w:val="Heading3"/>
        <w:keepNext w:val="0"/>
        <w:keepLines w:val="0"/>
        <w:spacing w:after="80" w:line="360" w:lineRule="auto"/>
        <w:jc w:val="both"/>
        <w:rPr>
          <w:rFonts w:ascii="Times New Roman" w:cs="Times New Roman" w:eastAsia="Times New Roman" w:hAnsi="Times New Roman"/>
        </w:rPr>
      </w:pPr>
      <w:bookmarkStart w:colFirst="0" w:colLast="0" w:name="_n6nih1lnhbov" w:id="24"/>
      <w:bookmarkEnd w:id="24"/>
      <w:r w:rsidDel="00000000" w:rsidR="00000000" w:rsidRPr="00000000">
        <w:rPr>
          <w:rFonts w:ascii="Times New Roman" w:cs="Times New Roman" w:eastAsia="Times New Roman" w:hAnsi="Times New Roman"/>
          <w:rtl w:val="0"/>
        </w:rPr>
        <w:t xml:space="preserve">3.6 Literature Synthesis and Research Gaps</w:t>
      </w:r>
    </w:p>
    <w:tbl>
      <w:tblPr>
        <w:tblStyle w:val="Table1"/>
        <w:tblW w:w="11445.0" w:type="dxa"/>
        <w:jc w:val="left"/>
        <w:tblInd w:w="-114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550"/>
        <w:gridCol w:w="1725"/>
        <w:gridCol w:w="1515"/>
        <w:gridCol w:w="1860"/>
        <w:gridCol w:w="1650"/>
        <w:gridCol w:w="2145"/>
        <w:tblGridChange w:id="0">
          <w:tblGrid>
            <w:gridCol w:w="2550"/>
            <w:gridCol w:w="1725"/>
            <w:gridCol w:w="1515"/>
            <w:gridCol w:w="1860"/>
            <w:gridCol w:w="1650"/>
            <w:gridCol w:w="2145"/>
          </w:tblGrid>
        </w:tblGridChange>
      </w:tblGrid>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Established knowledge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Contradiction/tension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Methodological limitation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Philosophical limitation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Research gap</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DBA opportunity</w:t>
            </w:r>
            <w:r w:rsidDel="00000000" w:rsidR="00000000" w:rsidRPr="00000000">
              <w:rPr>
                <w:rtl w:val="0"/>
              </w:rPr>
            </w:r>
          </w:p>
        </w:tc>
      </w:tr>
      <w:tr>
        <w:trPr>
          <w:cantSplit w:val="0"/>
          <w:trHeight w:val="19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can support efficiency and professional work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can also create insecurity, surveillance and autonomy concerns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Cross-sectional designs dominate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 meanings may be reduced to variables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understanding of change over time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Longitudinal study</w:t>
            </w:r>
          </w:p>
        </w:tc>
      </w:tr>
      <w:tr>
        <w:trPr>
          <w:cantSplit w:val="0"/>
          <w:trHeight w:val="248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contract influences engagement, trust and turnover-related outcomes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can weaken positive employment relationships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Survey-based measurement dominates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contract is treated as measurable rather than relational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AI-specific psychological contract evidence in private healthcare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Combine surveys with interviews</w:t>
            </w:r>
          </w:p>
        </w:tc>
      </w:tr>
      <w:tr>
        <w:trPr>
          <w:cantSplit w:val="0"/>
          <w:trHeight w:val="219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justice is associated with lower turnover intention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justice dimensions may operate differently across contexts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Mostly cross-sectional evidence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Fairness is measured rather than interpreted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research on fairness during AI implementation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Context-sensitive justice analysis</w:t>
            </w:r>
          </w:p>
        </w:tc>
      </w:tr>
      <w:tr>
        <w:trPr>
          <w:cantSplit w:val="0"/>
          <w:trHeight w:val="135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Responsible AI can support trust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Explainability does not automatically produce trust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studies focus on adoption rather than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Responsibility is normatively contested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integration of responsible AI and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 governance as organisational capability</w:t>
            </w:r>
          </w:p>
        </w:tc>
      </w:tr>
      <w:tr>
        <w:trPr>
          <w:cantSplit w:val="0"/>
          <w:trHeight w:val="16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Trust supports AI collaboration and engagement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Excessive trust may create automation bias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Trust often measured as a static construct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Trust is treated as individual perception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understanding of calibrated trust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Examine trust longitudinally</w:t>
            </w:r>
          </w:p>
        </w:tc>
      </w:tr>
      <w:tr>
        <w:trPr>
          <w:cantSplit w:val="0"/>
          <w:trHeight w:val="19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Engagement is associated with retention-related outcomes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Engagement does not equal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Turnover intention often substitutes for actual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Behavioural outcomes are simplified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direct evidence linking AI to actual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Track actual workforce outcomes</w:t>
            </w:r>
          </w:p>
        </w:tc>
      </w:tr>
      <w:tr>
        <w:trPr>
          <w:cantSplit w:val="0"/>
          <w:trHeight w:val="219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fsQCA captures causal configurations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Configurations do not necessarily explain meanings or temporal change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Calibration and sampling decisions affect results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 membership still depends on researcher conceptualisation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0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configurational AI-retention research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Mixed configurational and qualitative design</w:t>
            </w:r>
          </w:p>
        </w:tc>
      </w:tr>
    </w:tbl>
    <w:p w:rsidR="00000000" w:rsidDel="00000000" w:rsidP="00000000" w:rsidRDefault="00000000" w:rsidRPr="00000000" w14:paraId="00000102">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synthesis, five gaps are identified.</w:t>
      </w:r>
    </w:p>
    <w:p w:rsidR="00000000" w:rsidDel="00000000" w:rsidP="00000000" w:rsidRDefault="00000000" w:rsidRPr="00000000" w14:paraId="00000104">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the psychological contract fulfilment and organisational justice are not sufficiently involved with AI adoption.</w:t>
      </w:r>
    </w:p>
    <w:p w:rsidR="00000000" w:rsidDel="00000000" w:rsidP="00000000" w:rsidRDefault="00000000" w:rsidRPr="00000000" w14:paraId="00000105">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Secondly, there is too much emphasis on cross-sectional evidence, which makes it hard to see how employee perceptions change over the life of the embedding of AI.</w:t>
      </w:r>
    </w:p>
    <w:p w:rsidR="00000000" w:rsidDel="00000000" w:rsidP="00000000" w:rsidRDefault="00000000" w:rsidRPr="00000000" w14:paraId="00000106">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Third, qualitative evidence is not as well represented as quantitative evidence in research examining the relationship between AI and employee outcomes, as evidenced by recent reviews in the healthcare field (Tun et al., 2025; Ayorinde et al., 2024), where the value of professional practice and contextual interpretation is highlighted.</w:t>
      </w:r>
    </w:p>
    <w:p w:rsidR="00000000" w:rsidDel="00000000" w:rsidP="00000000" w:rsidRDefault="00000000" w:rsidRPr="00000000" w14:paraId="00000107">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Fourth, a significant portion of trust, ethics, and adoption research in this field is not about retaining the workforce but rather about their trust, ethics, and adoption.</w:t>
      </w:r>
    </w:p>
    <w:p w:rsidR="00000000" w:rsidDel="00000000" w:rsidP="00000000" w:rsidRDefault="00000000" w:rsidRPr="00000000" w14:paraId="00000108">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Fifth, in comparison, not much research and development work has been carried out on the integration of these constructs in an explicit organisational capability framework based on a research philosophy.</w:t>
      </w:r>
    </w:p>
    <w:p w:rsidR="00000000" w:rsidDel="00000000" w:rsidP="00000000" w:rsidRDefault="00000000" w:rsidRPr="00000000" w14:paraId="00000109">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this opportunity for DBA means, then, is to explore how these expectations of responsible AI are being translated into organisations' practices that support perceptions of fairness, build calibrated trust and engagement, and ultimately help with workforce retention.</w:t>
      </w:r>
      <w:r w:rsidDel="00000000" w:rsidR="00000000" w:rsidRPr="00000000">
        <w:br w:type="page"/>
      </w:r>
      <w:r w:rsidDel="00000000" w:rsidR="00000000" w:rsidRPr="00000000">
        <w:rPr>
          <w:rtl w:val="0"/>
        </w:rPr>
      </w:r>
    </w:p>
    <w:p w:rsidR="00000000" w:rsidDel="00000000" w:rsidP="00000000" w:rsidRDefault="00000000" w:rsidRPr="00000000" w14:paraId="0000010A">
      <w:pPr>
        <w:pStyle w:val="Heading2"/>
        <w:keepNext w:val="0"/>
        <w:keepLines w:val="0"/>
        <w:spacing w:before="480" w:line="360" w:lineRule="auto"/>
        <w:jc w:val="both"/>
        <w:rPr>
          <w:rFonts w:ascii="Times New Roman" w:cs="Times New Roman" w:eastAsia="Times New Roman" w:hAnsi="Times New Roman"/>
          <w:sz w:val="23"/>
          <w:szCs w:val="23"/>
        </w:rPr>
      </w:pPr>
      <w:bookmarkStart w:colFirst="0" w:colLast="0" w:name="_6qkhudv179f1" w:id="25"/>
      <w:bookmarkEnd w:id="25"/>
      <w:r w:rsidDel="00000000" w:rsidR="00000000" w:rsidRPr="00000000">
        <w:rPr>
          <w:rFonts w:ascii="Times New Roman" w:cs="Times New Roman" w:eastAsia="Times New Roman" w:hAnsi="Times New Roman"/>
          <w:rtl w:val="0"/>
        </w:rPr>
        <w:t xml:space="preserve">4. Philosophical and Methodological Analysis of the Selected Study</w:t>
      </w:r>
      <w:r w:rsidDel="00000000" w:rsidR="00000000" w:rsidRPr="00000000">
        <w:rPr>
          <w:rtl w:val="0"/>
        </w:rPr>
      </w:r>
    </w:p>
    <w:p w:rsidR="00000000" w:rsidDel="00000000" w:rsidP="00000000" w:rsidRDefault="00000000" w:rsidRPr="00000000" w14:paraId="0000010B">
      <w:pPr>
        <w:pStyle w:val="Heading3"/>
        <w:spacing w:after="80" w:line="360" w:lineRule="auto"/>
        <w:jc w:val="both"/>
        <w:rPr>
          <w:rFonts w:ascii="Times New Roman" w:cs="Times New Roman" w:eastAsia="Times New Roman" w:hAnsi="Times New Roman"/>
        </w:rPr>
      </w:pPr>
      <w:bookmarkStart w:colFirst="0" w:colLast="0" w:name="_vi4rxgw8pezo" w:id="26"/>
      <w:bookmarkEnd w:id="26"/>
      <w:r w:rsidDel="00000000" w:rsidR="00000000" w:rsidRPr="00000000">
        <w:rPr>
          <w:rFonts w:ascii="Times New Roman" w:cs="Times New Roman" w:eastAsia="Times New Roman" w:hAnsi="Times New Roman"/>
          <w:rtl w:val="0"/>
        </w:rPr>
        <w:t xml:space="preserve">4.1 Selected Study</w:t>
      </w:r>
    </w:p>
    <w:p w:rsidR="00000000" w:rsidDel="00000000" w:rsidP="00000000" w:rsidRDefault="00000000" w:rsidRPr="00000000" w14:paraId="0000010C">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was chosen for detailed appraisal because it applies fuzzy-set Qualitative Comparative Analysis (fsQCA) (Wang et al., 2024) to explore the concept of justice in healthcare, autonomy in healthcare, trust, and accountability towards AI and healthcare professionals.</w:t>
      </w:r>
    </w:p>
    <w:p w:rsidR="00000000" w:rsidDel="00000000" w:rsidP="00000000" w:rsidRDefault="00000000" w:rsidRPr="00000000" w14:paraId="0000010D">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was chosen due to the fact that it provides a strong link between the substantive research problem and the methodological needs of this module. It integrates AI, healthcare professionals, justice, autonomy, trust, ethics, and organisational complexity under one roof.</w:t>
      </w:r>
    </w:p>
    <w:p w:rsidR="00000000" w:rsidDel="00000000" w:rsidP="00000000" w:rsidRDefault="00000000" w:rsidRPr="00000000" w14:paraId="0000010E">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data analysis of 401 healthcare professionals was carried out, and configurations linked to felt accountability towards AI were identified by applying the fsQCA. The study revealed that the following conditions were significant for enacting AI ethics: combinations of justice and autonomy; and trust in the reliability and functionality of AI. It also revealed that the configurations were different with the complexity of the hospital (Wang et al., 2024).</w:t>
      </w:r>
    </w:p>
    <w:p w:rsidR="00000000" w:rsidDel="00000000" w:rsidP="00000000" w:rsidRDefault="00000000" w:rsidRPr="00000000" w14:paraId="0000010F">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the result is a sense of responsibility for AI, instead of employee retention. This separation is very important. Although the study is very relevant to the proposed framework, it cannot be taken as conclusive evidence that justice and trust actually lead to employees staying with healthcare organisations.</w:t>
      </w:r>
    </w:p>
    <w:p w:rsidR="00000000" w:rsidDel="00000000" w:rsidP="00000000" w:rsidRDefault="00000000" w:rsidRPr="00000000" w14:paraId="00000110">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Configurational research is particularly concerned with causal complexity, equifinality and the possibility that different combinations of conditions can produce the same outcome (Ragin, 2000; Ragin, 2008; Rihoux and Ragin, 2009; Woodside, 2013). </w:t>
      </w:r>
    </w:p>
    <w:p w:rsidR="00000000" w:rsidDel="00000000" w:rsidP="00000000" w:rsidRDefault="00000000" w:rsidRPr="00000000" w14:paraId="00000111">
      <w:pPr>
        <w:pStyle w:val="Heading3"/>
        <w:spacing w:after="80" w:line="360" w:lineRule="auto"/>
        <w:jc w:val="both"/>
        <w:rPr>
          <w:rFonts w:ascii="Times New Roman" w:cs="Times New Roman" w:eastAsia="Times New Roman" w:hAnsi="Times New Roman"/>
        </w:rPr>
      </w:pPr>
      <w:bookmarkStart w:colFirst="0" w:colLast="0" w:name="_32wje1l9hlno" w:id="27"/>
      <w:bookmarkEnd w:id="27"/>
      <w:r w:rsidDel="00000000" w:rsidR="00000000" w:rsidRPr="00000000">
        <w:rPr>
          <w:rFonts w:ascii="Times New Roman" w:cs="Times New Roman" w:eastAsia="Times New Roman" w:hAnsi="Times New Roman"/>
          <w:rtl w:val="0"/>
        </w:rPr>
        <w:t xml:space="preserve">4.2 Ontology and Epistemology</w:t>
      </w:r>
    </w:p>
    <w:p w:rsidR="00000000" w:rsidDel="00000000" w:rsidP="00000000" w:rsidRDefault="00000000" w:rsidRPr="00000000" w14:paraId="00000112">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respect to methodology, one of the important points is that the authors do not make an unsupported claim in regard to their philosophical stance. The study is not just positivist, critical realist, or pragmatic within the management research lexicon. Thus, among the philosophical interpretations, there must be discernment between the explicit theoretical position taken by the authors and the assumptions that can be reasonably assumed from the research design.</w:t>
      </w:r>
    </w:p>
    <w:p w:rsidR="00000000" w:rsidDel="00000000" w:rsidP="00000000" w:rsidRDefault="00000000" w:rsidRPr="00000000" w14:paraId="00000113">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fsQCA means that an ontology is used that can accommodate causal complexity, equifinality, and configurational relationships. Instead of looking at one independent variable and its effect on an outcome, the study is looking at combinations of conditions. This is in keeping with the logic of configurational research, in which varying causal processes can lead to comparable results (Fiss, 2011; Pappas and Woodside, 2021).</w:t>
      </w:r>
    </w:p>
    <w:p w:rsidR="00000000" w:rsidDel="00000000" w:rsidP="00000000" w:rsidRDefault="00000000" w:rsidRPr="00000000" w14:paraId="00000114">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an epistemological perspective, the study adheres to a qualitative stance that emphasizes the collection of empirical data from a systematic perspective and the operationalization of constructs. This makes it possible to compare cases and to identify cases' configurations. But the way of working also relies on the researchers' conception of justice, autonomy, trust, and accountability.</w:t>
      </w:r>
    </w:p>
    <w:p w:rsidR="00000000" w:rsidDel="00000000" w:rsidP="00000000" w:rsidRDefault="00000000" w:rsidRPr="00000000" w14:paraId="00000115">
      <w:pPr>
        <w:pStyle w:val="Heading3"/>
        <w:spacing w:after="80" w:line="360" w:lineRule="auto"/>
        <w:jc w:val="both"/>
        <w:rPr>
          <w:rFonts w:ascii="Times New Roman" w:cs="Times New Roman" w:eastAsia="Times New Roman" w:hAnsi="Times New Roman"/>
        </w:rPr>
      </w:pPr>
      <w:bookmarkStart w:colFirst="0" w:colLast="0" w:name="_r3ny4i29puhy" w:id="28"/>
      <w:bookmarkEnd w:id="28"/>
      <w:r w:rsidDel="00000000" w:rsidR="00000000" w:rsidRPr="00000000">
        <w:rPr>
          <w:rFonts w:ascii="Times New Roman" w:cs="Times New Roman" w:eastAsia="Times New Roman" w:hAnsi="Times New Roman"/>
          <w:rtl w:val="0"/>
        </w:rPr>
        <w:t xml:space="preserve">4.3 Axiology and the positionality of the researcher</w:t>
      </w:r>
    </w:p>
    <w:p w:rsidR="00000000" w:rsidDel="00000000" w:rsidP="00000000" w:rsidRDefault="00000000" w:rsidRPr="00000000" w14:paraId="00000116">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of values in research is called axiology. The study is normatively significant as its research problem is related to justice, autonomy, and ethical responsibility. The study raises the question of the ethical conditions' impact on professional responsibility, which is not considered a value-neutral technology, but is treated as one (Wang et al., 2024).</w:t>
      </w:r>
    </w:p>
    <w:p w:rsidR="00000000" w:rsidDel="00000000" w:rsidP="00000000" w:rsidRDefault="00000000" w:rsidRPr="00000000" w14:paraId="00000117">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values can be introduced to research through a variety of ways, such as in the selection of research questions, conceptualisation of constructs, the choice of measurements, interpretation, and recommendations.</w:t>
      </w:r>
    </w:p>
    <w:p w:rsidR="00000000" w:rsidDel="00000000" w:rsidP="00000000" w:rsidRDefault="00000000" w:rsidRPr="00000000" w14:paraId="00000118">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assessment around ‘positionality' also has some implications for the future DBA researcher. A scientist studying AI and retention, for example, might come to the project with a presupposition that it is good to be responsible when working with AI and that the wellbeing of employees should be safeguarded. They might be used to guide questions in an interview, interpretation, and framework development, etc.</w:t>
      </w:r>
    </w:p>
    <w:p w:rsidR="00000000" w:rsidDel="00000000" w:rsidP="00000000" w:rsidRDefault="00000000" w:rsidRPr="00000000" w14:paraId="00000119">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Reflexivity is thus required. The researcher needs to delineate evidence from normative preference. An example is that if employees value human oversight, this does not prove that all organisations are required to have that governance structure.</w:t>
      </w:r>
    </w:p>
    <w:p w:rsidR="00000000" w:rsidDel="00000000" w:rsidP="00000000" w:rsidRDefault="00000000" w:rsidRPr="00000000" w14:paraId="0000011A">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future DBA researcher should, therefore, keep a reflexive research record of the reasoning behind the choice of constructs, the processes of interpretation and the handling of contradictory evidence.</w:t>
      </w:r>
    </w:p>
    <w:p w:rsidR="00000000" w:rsidDel="00000000" w:rsidP="00000000" w:rsidRDefault="00000000" w:rsidRPr="00000000" w14:paraId="0000011B">
      <w:pPr>
        <w:keepNext w:val="0"/>
        <w:keepLines w:val="0"/>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This is directly related to qualitative studies of inconsistencies in interviews. Don't remove contradictory interview material because it ruins the neatness of the account. The apparent inconsistencies can also highlight the complexity of employees' meaning-making processes (Watson, 2006). </w:t>
      </w:r>
      <w:r w:rsidDel="00000000" w:rsidR="00000000" w:rsidRPr="00000000">
        <w:rPr>
          <w:rtl w:val="0"/>
        </w:rPr>
      </w:r>
    </w:p>
    <w:p w:rsidR="00000000" w:rsidDel="00000000" w:rsidP="00000000" w:rsidRDefault="00000000" w:rsidRPr="00000000" w14:paraId="0000011C">
      <w:pPr>
        <w:pStyle w:val="Heading3"/>
        <w:keepNext w:val="0"/>
        <w:keepLines w:val="0"/>
        <w:spacing w:after="80" w:line="360" w:lineRule="auto"/>
        <w:jc w:val="both"/>
        <w:rPr>
          <w:rFonts w:ascii="Times New Roman" w:cs="Times New Roman" w:eastAsia="Times New Roman" w:hAnsi="Times New Roman"/>
        </w:rPr>
      </w:pPr>
      <w:bookmarkStart w:colFirst="0" w:colLast="0" w:name="_vjuizrte0uaf" w:id="29"/>
      <w:bookmarkEnd w:id="29"/>
      <w:r w:rsidDel="00000000" w:rsidR="00000000" w:rsidRPr="00000000">
        <w:rPr>
          <w:rFonts w:ascii="Times New Roman" w:cs="Times New Roman" w:eastAsia="Times New Roman" w:hAnsi="Times New Roman"/>
          <w:rtl w:val="0"/>
        </w:rPr>
        <w:t xml:space="preserve">4.4 Reliability and Validity</w:t>
      </w:r>
    </w:p>
    <w:p w:rsidR="00000000" w:rsidDel="00000000" w:rsidP="00000000" w:rsidRDefault="00000000" w:rsidRPr="00000000" w14:paraId="0000011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methodological strengths of the selected study are first, that a sample of 401 health care professionals was used to perform the study, and second, fsQCA was used to explore several configurations. This method is suitable when the result is obtained by combinations, instead of independent effects (Wang et al., 2024).</w:t>
      </w:r>
    </w:p>
    <w:p w:rsidR="00000000" w:rsidDel="00000000" w:rsidP="00000000" w:rsidRDefault="00000000" w:rsidRPr="00000000" w14:paraId="0000011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methodological quality needs to be more thoroughly investigated.</w:t>
      </w:r>
    </w:p>
    <w:p w:rsidR="00000000" w:rsidDel="00000000" w:rsidP="00000000" w:rsidRDefault="00000000" w:rsidRPr="00000000" w14:paraId="0000011F">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Sampling adequacy</w:t>
      </w:r>
    </w:p>
    <w:p w:rsidR="00000000" w:rsidDel="00000000" w:rsidP="00000000" w:rsidRDefault="00000000" w:rsidRPr="00000000" w14:paraId="0000012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sample is large enough for configurational analysis, however, a large sample size does not imply representativeness. The applicability of findings to private healthcare organisations is influenced by the healthcare context and characteristics of the organisation.</w:t>
      </w:r>
    </w:p>
    <w:p w:rsidR="00000000" w:rsidDel="00000000" w:rsidP="00000000" w:rsidRDefault="00000000" w:rsidRPr="00000000" w14:paraId="0000012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concern is supported by the discovery that the relevant configuration is dependent on organisation complexity. However, if complexity is important in the field of healthcare, then differences between public and private organisations, countries, professional groups and organisational sizes could also be important.</w:t>
      </w:r>
    </w:p>
    <w:p w:rsidR="00000000" w:rsidDel="00000000" w:rsidP="00000000" w:rsidRDefault="00000000" w:rsidRPr="00000000" w14:paraId="00000122">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Measurement validity</w:t>
      </w:r>
    </w:p>
    <w:p w:rsidR="00000000" w:rsidDel="00000000" w:rsidP="00000000" w:rsidRDefault="00000000" w:rsidRPr="00000000" w14:paraId="0000012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relies on constructs like justice, autonomy, trust and accountability. Construct validity is based on the extent to which the measures agree with the concepts.</w:t>
      </w:r>
    </w:p>
    <w:p w:rsidR="00000000" w:rsidDel="00000000" w:rsidP="00000000" w:rsidRDefault="00000000" w:rsidRPr="00000000" w14:paraId="0000012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important especially for accountability. Responsibility and accountability are not the same thing, nor is either the same as employee retention. A professional might feel responsible for a decision made with AI and at the same time be thinking of leaving the organisation.A professional may feel responsible for a decision made with AI and at the same time also be thinking of leaving the organisation.</w:t>
      </w:r>
    </w:p>
    <w:p w:rsidR="00000000" w:rsidDel="00000000" w:rsidP="00000000" w:rsidRDefault="00000000" w:rsidRPr="00000000" w14:paraId="0000012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conceptual gap between the outcome of the study and the suggested retention outcome, therefore, restricts the conclusions that can be drawn.</w:t>
      </w:r>
    </w:p>
    <w:p w:rsidR="00000000" w:rsidDel="00000000" w:rsidP="00000000" w:rsidRDefault="00000000" w:rsidRPr="00000000" w14:paraId="00000126">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Common-method bias</w:t>
      </w:r>
    </w:p>
    <w:p w:rsidR="00000000" w:rsidDel="00000000" w:rsidP="00000000" w:rsidRDefault="00000000" w:rsidRPr="00000000" w14:paraId="0000012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Common-method bias is a potential concern due to some constructs being assessed using self-reported responses. The study presents statistical procedures to assess common-method bias which did not reveal any significant common-method bias (Wang et al., 2024).</w:t>
      </w:r>
    </w:p>
    <w:p w:rsidR="00000000" w:rsidDel="00000000" w:rsidP="00000000" w:rsidRDefault="00000000" w:rsidRPr="00000000" w14:paraId="0000012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enhances the methodological argument, but none of the statistical tests can rule out all potential concerns about common method effects. Risk might be further mitigated by time separation, multiple data sources or objective organisational indicators in the future.</w:t>
      </w:r>
    </w:p>
    <w:p w:rsidR="00000000" w:rsidDel="00000000" w:rsidP="00000000" w:rsidRDefault="00000000" w:rsidRPr="00000000" w14:paraId="00000129">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Calibration</w:t>
      </w:r>
    </w:p>
    <w:p w:rsidR="00000000" w:rsidDel="00000000" w:rsidP="00000000" w:rsidRDefault="00000000" w:rsidRPr="00000000" w14:paraId="0000012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Calibration is at the heart of fsQCA. Continuous responses need to be transformed into membership scores of degrees of set membership. Qualitative anchors for full membership, crossover and full non-membership are used in the study (Wang et al., 2024).</w:t>
      </w:r>
    </w:p>
    <w:p w:rsidR="00000000" w:rsidDel="00000000" w:rsidP="00000000" w:rsidRDefault="00000000" w:rsidRPr="00000000" w14:paraId="0000012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results in a significant methodological problem: calibration is not mechanical. Researchers need to explain their reasons for choosing specific thresholds as meaningful membership levels. Badly calibrated calibration can impact on which configurations seem to be essential.</w:t>
      </w:r>
    </w:p>
    <w:p w:rsidR="00000000" w:rsidDel="00000000" w:rsidP="00000000" w:rsidRDefault="00000000" w:rsidRPr="00000000" w14:paraId="0000012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configurational methodology, there is a good deal of consensus on the significance of transparent calibration and the use of suitable thresholds in fsQCA (Pappas and Woodside, 2021).</w:t>
      </w:r>
    </w:p>
    <w:p w:rsidR="00000000" w:rsidDel="00000000" w:rsidP="00000000" w:rsidRDefault="00000000" w:rsidRPr="00000000" w14:paraId="0000012D">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Necessity and sufficiency</w:t>
      </w:r>
    </w:p>
    <w:p w:rsidR="00000000" w:rsidDel="00000000" w:rsidP="00000000" w:rsidRDefault="00000000" w:rsidRPr="00000000" w14:paraId="0000012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concept of fsQCA is different from the traditional regression as it focuses on the relation and structures of sets. A combination may be sufficient but each condition is not necessary, and a condition may be necessary but not sufficient.</w:t>
      </w:r>
    </w:p>
    <w:p w:rsidR="00000000" w:rsidDel="00000000" w:rsidP="00000000" w:rsidRDefault="00000000" w:rsidRPr="00000000" w14:paraId="0000012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above reason, it is important that researchers can differentiate between:</w:t>
      </w:r>
    </w:p>
    <w:p w:rsidR="00000000" w:rsidDel="00000000" w:rsidP="00000000" w:rsidRDefault="00000000" w:rsidRPr="00000000" w14:paraId="00000130">
      <w:pPr>
        <w:numPr>
          <w:ilvl w:val="0"/>
          <w:numId w:val="1"/>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necessity: if something doesn't happen for a reason, then it is rarely happening without a reason.</w:t>
      </w:r>
    </w:p>
    <w:p w:rsidR="00000000" w:rsidDel="00000000" w:rsidP="00000000" w:rsidRDefault="00000000" w:rsidRPr="00000000" w14:paraId="00000131">
      <w:pPr>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sufficiency: whether a set of conditions is strongly linked to the results;</w:t>
      </w:r>
    </w:p>
    <w:p w:rsidR="00000000" w:rsidDel="00000000" w:rsidP="00000000" w:rsidRDefault="00000000" w:rsidRPr="00000000" w14:paraId="00000132">
      <w:pPr>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consistency: the closeness of the cases to the proposed set relation;</w:t>
      </w:r>
    </w:p>
    <w:p w:rsidR="00000000" w:rsidDel="00000000" w:rsidP="00000000" w:rsidRDefault="00000000" w:rsidRPr="00000000" w14:paraId="00000133">
      <w:pPr>
        <w:numPr>
          <w:ilvl w:val="0"/>
          <w:numId w:val="1"/>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empirical relevance: or proportion of the outcome accounted for by the configuration, coverage.</w:t>
      </w:r>
    </w:p>
    <w:p w:rsidR="00000000" w:rsidDel="00000000" w:rsidP="00000000" w:rsidRDefault="00000000" w:rsidRPr="00000000" w14:paraId="0000013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an advantage of the approach of fsQCA, but also it is a limitation of the type of interpretation that can be made of the findings as opposed to regression coefficients (Fiss, 2011; Pappas and Woodside, 2021).</w:t>
      </w:r>
    </w:p>
    <w:p w:rsidR="00000000" w:rsidDel="00000000" w:rsidP="00000000" w:rsidRDefault="00000000" w:rsidRPr="00000000" w14:paraId="00000135">
      <w:pPr>
        <w:pStyle w:val="Heading3"/>
        <w:spacing w:after="240" w:before="240" w:line="360" w:lineRule="auto"/>
        <w:jc w:val="both"/>
        <w:rPr>
          <w:rFonts w:ascii="Times New Roman" w:cs="Times New Roman" w:eastAsia="Times New Roman" w:hAnsi="Times New Roman"/>
        </w:rPr>
      </w:pPr>
      <w:bookmarkStart w:colFirst="0" w:colLast="0" w:name="_9f6imp3nm8in" w:id="30"/>
      <w:bookmarkEnd w:id="30"/>
      <w:r w:rsidDel="00000000" w:rsidR="00000000" w:rsidRPr="00000000">
        <w:rPr>
          <w:rFonts w:ascii="Times New Roman" w:cs="Times New Roman" w:eastAsia="Times New Roman" w:hAnsi="Times New Roman"/>
          <w:rtl w:val="0"/>
        </w:rPr>
        <w:t xml:space="preserve">4.5 Ethical Considerations</w:t>
      </w:r>
    </w:p>
    <w:p w:rsidR="00000000" w:rsidDel="00000000" w:rsidP="00000000" w:rsidRDefault="00000000" w:rsidRPr="00000000" w14:paraId="000001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Ethical assessment needs to be able to separate out what was actually described in the studies that are selected from other ethical issues affecting AI research.</w:t>
      </w:r>
    </w:p>
    <w:p w:rsidR="00000000" w:rsidDel="00000000" w:rsidP="00000000" w:rsidRDefault="00000000" w:rsidRPr="00000000" w14:paraId="0000013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Ethical sensitivity is exhibited in the substantive level of the central concern, which is justice, autonomy, and responsibility, in the study. It also acknowledges the need for several actors to be involved in decisions regarding the use of AI in healthcare (Wang et al., 2024).</w:t>
      </w:r>
    </w:p>
    <w:p w:rsidR="00000000" w:rsidDel="00000000" w:rsidP="00000000" w:rsidRDefault="00000000" w:rsidRPr="00000000" w14:paraId="0000013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wider employee research raises other ethical issues.</w:t>
      </w:r>
    </w:p>
    <w:p w:rsidR="00000000" w:rsidDel="00000000" w:rsidP="00000000" w:rsidRDefault="00000000" w:rsidRPr="00000000" w14:paraId="0000013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often a lack of confidentiality and vulnerability of employees.</w:t>
      </w:r>
    </w:p>
    <w:p w:rsidR="00000000" w:rsidDel="00000000" w:rsidP="00000000" w:rsidRDefault="00000000" w:rsidRPr="00000000" w14:paraId="0000013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employers identify these AI systems, healthcare workers may not be inclined to criticise them. Anonymity, then, is ethically as well as epistemically significant: anonymously participating subjects may give more honest answers.</w:t>
      </w:r>
    </w:p>
    <w:p w:rsidR="00000000" w:rsidDel="00000000" w:rsidP="00000000" w:rsidRDefault="00000000" w:rsidRPr="00000000" w14:paraId="0000013B">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Informed consent</w:t>
      </w:r>
    </w:p>
    <w:p w:rsidR="00000000" w:rsidDel="00000000" w:rsidP="00000000" w:rsidRDefault="00000000" w:rsidRPr="00000000" w14:paraId="0000013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Employees should be aware of what participation entails, how the data will be utilized and if participation might impact employment. If research is to be undertaken within an organisation, this is particularly relevant.</w:t>
      </w:r>
    </w:p>
    <w:p w:rsidR="00000000" w:rsidDel="00000000" w:rsidP="00000000" w:rsidRDefault="00000000" w:rsidRPr="00000000" w14:paraId="0000013D">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AI surveillance</w:t>
      </w:r>
    </w:p>
    <w:p w:rsidR="00000000" w:rsidDel="00000000" w:rsidP="00000000" w:rsidRDefault="00000000" w:rsidRPr="00000000" w14:paraId="0000013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Potential areas where workforce AI can be applied include monitoring productivity, communication, attendance, or performance. This can pose a threat to the effective management of responsible AI as it can be mistaken for organisational control. This is why a future retention study should explore whether or not employees are able to tell the difference between AI that helps them work and AI that monitors them.</w:t>
      </w:r>
    </w:p>
    <w:p w:rsidR="00000000" w:rsidDel="00000000" w:rsidP="00000000" w:rsidRDefault="00000000" w:rsidRPr="00000000" w14:paraId="0000013F">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Algorithmic bias</w:t>
      </w:r>
    </w:p>
    <w:p w:rsidR="00000000" w:rsidDel="00000000" w:rsidP="00000000" w:rsidRDefault="00000000" w:rsidRPr="00000000" w14:paraId="0000014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there are biased patterns in the data that an AI system is trained on, these systems can perpetuate history. This might affect hiring practices, employee assessment or staff assignment in an HR context. Therefore, the principle of fairness needs to be judged at the level of the model outputs as well as the level of how it is implemented at the organizational level.</w:t>
      </w:r>
    </w:p>
    <w:p w:rsidR="00000000" w:rsidDel="00000000" w:rsidP="00000000" w:rsidRDefault="00000000" w:rsidRPr="00000000" w14:paraId="00000141">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Accountability</w:t>
      </w:r>
    </w:p>
    <w:p w:rsidR="00000000" w:rsidDel="00000000" w:rsidP="00000000" w:rsidRDefault="00000000" w:rsidRPr="00000000" w14:paraId="0000014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selected study is a significant contribution that explores felt accountability. But when system design is beyond an individual's control, accountability should not take the place of the individual professional. To create responsible governance, there is a need for accountability of managers, technology providers, governance teams and users (Wang et al., 2024).</w:t>
      </w:r>
    </w:p>
    <w:p w:rsidR="00000000" w:rsidDel="00000000" w:rsidP="00000000" w:rsidRDefault="00000000" w:rsidRPr="00000000" w14:paraId="0000014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WHO recommendations also include autonomy, transparency, responsibility and protection from harm as key aspects of AI governance in healthcare (WHO, 2021).</w:t>
      </w:r>
    </w:p>
    <w:p w:rsidR="00000000" w:rsidDel="00000000" w:rsidP="00000000" w:rsidRDefault="00000000" w:rsidRPr="00000000" w14:paraId="0000014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student will assess alternative designs and evaluate their effectiveness.</w:t>
      </w:r>
    </w:p>
    <w:p w:rsidR="00000000" w:rsidDel="00000000" w:rsidP="00000000" w:rsidRDefault="00000000" w:rsidRPr="00000000" w14:paraId="0000014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advantage of the chosen study is its configurational approach to the topic of AI accountability. It does not take a single path approach to causality, but acknowledges that there is an interaction between justice, autonomy, trust and organisational complexity (Wang et al., 2024).</w:t>
      </w:r>
    </w:p>
    <w:p w:rsidR="00000000" w:rsidDel="00000000" w:rsidP="00000000" w:rsidRDefault="00000000" w:rsidRPr="00000000" w14:paraId="0000014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its drawbacks to the current study is that it does not focus directly on the issue of workforce retention.</w:t>
      </w:r>
    </w:p>
    <w:p w:rsidR="00000000" w:rsidDel="00000000" w:rsidP="00000000" w:rsidRDefault="00000000" w:rsidRPr="00000000" w14:paraId="00000147">
      <w:pPr>
        <w:pStyle w:val="Heading2"/>
        <w:spacing w:after="240" w:before="240" w:line="360" w:lineRule="auto"/>
        <w:jc w:val="both"/>
        <w:rPr>
          <w:rFonts w:ascii="Times New Roman" w:cs="Times New Roman" w:eastAsia="Times New Roman" w:hAnsi="Times New Roman"/>
        </w:rPr>
      </w:pPr>
      <w:bookmarkStart w:colFirst="0" w:colLast="0" w:name="_xath672rtag4" w:id="31"/>
      <w:bookmarkEnd w:id="31"/>
      <w:r w:rsidDel="00000000" w:rsidR="00000000" w:rsidRPr="00000000">
        <w:rPr>
          <w:rFonts w:ascii="Times New Roman" w:cs="Times New Roman" w:eastAsia="Times New Roman" w:hAnsi="Times New Roman"/>
          <w:rtl w:val="0"/>
        </w:rPr>
        <w:t xml:space="preserve">5. Discussion and Contribution</w:t>
      </w:r>
    </w:p>
    <w:p w:rsidR="00000000" w:rsidDel="00000000" w:rsidP="00000000" w:rsidRDefault="00000000" w:rsidRPr="00000000" w14:paraId="0000014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suggests that the adoption of AI should not be directly and automatically equated with workforce retention. Its impact is more likely to be indirect and situational in nature.</w:t>
      </w:r>
    </w:p>
    <w:p w:rsidR="00000000" w:rsidDel="00000000" w:rsidP="00000000" w:rsidRDefault="00000000" w:rsidRPr="00000000" w14:paraId="0000014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proposed structure is:</w:t>
      </w:r>
    </w:p>
    <w:p w:rsidR="00000000" w:rsidDel="00000000" w:rsidP="00000000" w:rsidRDefault="00000000" w:rsidRPr="00000000" w14:paraId="0000014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Responsible AI Adoption</w:t>
      </w:r>
    </w:p>
    <w:p w:rsidR="00000000" w:rsidDel="00000000" w:rsidP="00000000" w:rsidRDefault="00000000" w:rsidRPr="00000000" w14:paraId="0000014B">
      <w:pPr>
        <w:spacing w:after="240" w:before="240" w:line="360" w:lineRule="auto"/>
        <w:jc w:val="both"/>
        <w:rPr>
          <w:rFonts w:ascii="Times New Roman" w:cs="Times New Roman" w:eastAsia="Times New Roman" w:hAnsi="Times New Roman"/>
          <w:sz w:val="24"/>
          <w:szCs w:val="24"/>
        </w:rPr>
      </w:pPr>
      <w:r w:rsidDel="00000000" w:rsidR="00000000" w:rsidRPr="00000000">
        <w:rPr>
          <w:rFonts w:ascii="Cardo" w:cs="Cardo" w:eastAsia="Cardo" w:hAnsi="Cardo"/>
          <w:sz w:val="24"/>
          <w:szCs w:val="24"/>
          <w:rtl w:val="0"/>
        </w:rPr>
        <w:t xml:space="preserve"> ↓</w:t>
      </w:r>
    </w:p>
    <w:p w:rsidR="00000000" w:rsidDel="00000000" w:rsidP="00000000" w:rsidRDefault="00000000" w:rsidRPr="00000000" w14:paraId="0000014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Contract Fulfilment + Organisational Justice.</w:t>
      </w:r>
    </w:p>
    <w:p w:rsidR="00000000" w:rsidDel="00000000" w:rsidP="00000000" w:rsidRDefault="00000000" w:rsidRPr="00000000" w14:paraId="0000014D">
      <w:pPr>
        <w:spacing w:after="240" w:before="240" w:line="360" w:lineRule="auto"/>
        <w:jc w:val="both"/>
        <w:rPr>
          <w:rFonts w:ascii="Times New Roman" w:cs="Times New Roman" w:eastAsia="Times New Roman" w:hAnsi="Times New Roman"/>
          <w:sz w:val="24"/>
          <w:szCs w:val="24"/>
        </w:rPr>
      </w:pPr>
      <w:r w:rsidDel="00000000" w:rsidR="00000000" w:rsidRPr="00000000">
        <w:rPr>
          <w:rFonts w:ascii="Cardo" w:cs="Cardo" w:eastAsia="Cardo" w:hAnsi="Cardo"/>
          <w:sz w:val="24"/>
          <w:szCs w:val="24"/>
          <w:rtl w:val="0"/>
        </w:rPr>
        <w:t xml:space="preserve"> ↓</w:t>
      </w:r>
    </w:p>
    <w:p w:rsidR="00000000" w:rsidDel="00000000" w:rsidP="00000000" w:rsidRDefault="00000000" w:rsidRPr="00000000" w14:paraId="0000014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Employee Trust + Engagement</w:t>
      </w:r>
    </w:p>
    <w:p w:rsidR="00000000" w:rsidDel="00000000" w:rsidP="00000000" w:rsidRDefault="00000000" w:rsidRPr="00000000" w14:paraId="0000014F">
      <w:pPr>
        <w:spacing w:after="240" w:before="240" w:line="360" w:lineRule="auto"/>
        <w:jc w:val="both"/>
        <w:rPr>
          <w:rFonts w:ascii="Times New Roman" w:cs="Times New Roman" w:eastAsia="Times New Roman" w:hAnsi="Times New Roman"/>
          <w:sz w:val="24"/>
          <w:szCs w:val="24"/>
        </w:rPr>
      </w:pPr>
      <w:r w:rsidDel="00000000" w:rsidR="00000000" w:rsidRPr="00000000">
        <w:rPr>
          <w:rFonts w:ascii="Cardo" w:cs="Cardo" w:eastAsia="Cardo" w:hAnsi="Cardo"/>
          <w:sz w:val="24"/>
          <w:szCs w:val="24"/>
          <w:rtl w:val="0"/>
        </w:rPr>
        <w:t xml:space="preserve"> ↓</w:t>
      </w:r>
    </w:p>
    <w:p w:rsidR="00000000" w:rsidDel="00000000" w:rsidP="00000000" w:rsidRDefault="00000000" w:rsidRPr="00000000" w14:paraId="0000015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Workforce Retention</w:t>
      </w:r>
    </w:p>
    <w:p w:rsidR="00000000" w:rsidDel="00000000" w:rsidP="00000000" w:rsidRDefault="00000000" w:rsidRPr="00000000" w14:paraId="00000151">
      <w:pPr>
        <w:spacing w:after="240" w:before="240" w:line="360" w:lineRule="auto"/>
        <w:jc w:val="both"/>
        <w:rPr>
          <w:rFonts w:ascii="Times New Roman" w:cs="Times New Roman" w:eastAsia="Times New Roman" w:hAnsi="Times New Roman"/>
          <w:sz w:val="24"/>
          <w:szCs w:val="24"/>
        </w:rPr>
      </w:pPr>
      <w:r w:rsidDel="00000000" w:rsidR="00000000" w:rsidRPr="00000000">
        <w:rPr>
          <w:rFonts w:ascii="Cardo" w:cs="Cardo" w:eastAsia="Cardo" w:hAnsi="Cardo"/>
          <w:sz w:val="24"/>
          <w:szCs w:val="24"/>
          <w:rtl w:val="0"/>
        </w:rPr>
        <w:t xml:space="preserve"> ↓</w:t>
      </w:r>
    </w:p>
    <w:p w:rsidR="00000000" w:rsidDel="00000000" w:rsidP="00000000" w:rsidRDefault="00000000" w:rsidRPr="00000000" w14:paraId="0000015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Organisational Stability</w:t>
      </w:r>
    </w:p>
    <w:p w:rsidR="00000000" w:rsidDel="00000000" w:rsidP="00000000" w:rsidRDefault="00000000" w:rsidRPr="00000000" w14:paraId="0000015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Interpretations of the relationships should be taken with a grain of salt.</w:t>
      </w:r>
    </w:p>
    <w:p w:rsidR="00000000" w:rsidDel="00000000" w:rsidP="00000000" w:rsidRDefault="00000000" w:rsidRPr="00000000" w14:paraId="00000154">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155">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Theoretical contribution</w:t>
      </w:r>
    </w:p>
    <w:p w:rsidR="00000000" w:rsidDel="00000000" w:rsidP="00000000" w:rsidRDefault="00000000" w:rsidRPr="00000000" w14:paraId="0000015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Contract Theory offers insights into how AI affects the expectations of reciprocity between employees and the organisation. Psychological Contract Theory provides insights into how AI impacts reciprocal expectations between employees and the organisation. Organisational Justice Theory captures the perception of employees on AI decision-making as fair or unfair. </w:t>
      </w:r>
    </w:p>
    <w:p w:rsidR="00000000" w:rsidDel="00000000" w:rsidP="00000000" w:rsidRDefault="00000000" w:rsidRPr="00000000" w14:paraId="0000015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reasons behind the development of reciprocal commitment due to fair and supportive treatment are covered by Social Exchange Theory, and the strategic importance of organisational capability in managing technological change is discussed by Dynamic Capabilities Theory (Blau, 1964; Rousseau, 1995; Colquitt, 2001; Teece, 2007).</w:t>
      </w:r>
    </w:p>
    <w:p w:rsidR="00000000" w:rsidDel="00000000" w:rsidP="00000000" w:rsidRDefault="00000000" w:rsidRPr="00000000" w14:paraId="0000015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traditional ideas are insufficient to cover the governance element of responsible AI.</w:t>
      </w:r>
    </w:p>
    <w:p w:rsidR="00000000" w:rsidDel="00000000" w:rsidP="00000000" w:rsidRDefault="00000000" w:rsidRPr="00000000" w14:paraId="00000159">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Philosophical contribution</w:t>
      </w:r>
    </w:p>
    <w:p w:rsidR="00000000" w:rsidDel="00000000" w:rsidP="00000000" w:rsidRDefault="00000000" w:rsidRPr="00000000" w14:paraId="0000015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shows that there are different philosophies resulting in different types of knowledge. Positivism can measure relationships, interpretivism can measure employee meaning, critical realism can investigate the mechanisms, and pragmatism can justify the incorporation of various types of evidence.</w:t>
      </w:r>
    </w:p>
    <w:p w:rsidR="00000000" w:rsidDel="00000000" w:rsidP="00000000" w:rsidRDefault="00000000" w:rsidRPr="00000000" w14:paraId="0000015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appropriate future position, probably, is pragmatic and critical realist sensitivity. Pragmatism is in favor of methodological flexibility, and critical realism of investigating mechanisms and contextual factors, not just statistical relationships, as explanations.</w:t>
      </w:r>
    </w:p>
    <w:p w:rsidR="00000000" w:rsidDel="00000000" w:rsidP="00000000" w:rsidRDefault="00000000" w:rsidRPr="00000000" w14:paraId="0000015C">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Methodological contribution</w:t>
      </w:r>
    </w:p>
    <w:p w:rsidR="00000000" w:rsidDel="00000000" w:rsidP="00000000" w:rsidRDefault="00000000" w:rsidRPr="00000000" w14:paraId="0000015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results of the literature revealed that there was a lack of a long-term study using a mixed-methods approach. The relationships between the proposed constructs could be explored in quantitative analysis, and the employees' interpretations of the topic of the AI transformation could be explained in qualitative analysis.</w:t>
      </w:r>
    </w:p>
    <w:p w:rsidR="00000000" w:rsidDel="00000000" w:rsidP="00000000" w:rsidRDefault="00000000" w:rsidRPr="00000000" w14:paraId="0000015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also important to clearly differentiate between the following: retention, intention to turn over, engagement, and organisational stability, rather than equating these constructs.</w:t>
      </w:r>
    </w:p>
    <w:p w:rsidR="00000000" w:rsidDel="00000000" w:rsidP="00000000" w:rsidRDefault="00000000" w:rsidRPr="00000000" w14:paraId="0000015F">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Management contribution</w:t>
      </w:r>
    </w:p>
    <w:p w:rsidR="00000000" w:rsidDel="00000000" w:rsidP="00000000" w:rsidRDefault="00000000" w:rsidRPr="00000000" w14:paraId="0000016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adoption of AI should be considered beyond the perspective of operational efficiency. Indicators that are relevant should encompass employee trust, perceived justice, psychological contract fulfilment, employee engagement, opportunities for reskilling, and opportunities for retention.</w:t>
      </w:r>
    </w:p>
    <w:p w:rsidR="00000000" w:rsidDel="00000000" w:rsidP="00000000" w:rsidRDefault="00000000" w:rsidRPr="00000000" w14:paraId="0000016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 communication is especially crucial as it can shape the employees' perception of AI, either as a tool for support or as a threat to the organisation. Other contextual conditions that should be included in the strength of the relationships proposed are digital readiness and organisational culture.</w:t>
      </w:r>
    </w:p>
    <w:p w:rsidR="00000000" w:rsidDel="00000000" w:rsidP="00000000" w:rsidRDefault="00000000" w:rsidRPr="00000000" w14:paraId="0000016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makes a contribution to DBA research design.</w:t>
      </w:r>
    </w:p>
    <w:p w:rsidR="00000000" w:rsidDel="00000000" w:rsidP="00000000" w:rsidRDefault="00000000" w:rsidRPr="00000000" w14:paraId="0000016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challenge that arises from this DBA opportunity is whether responsible AI can be made an organisational ability to retain employees. It is not that responsible AI will help to ensure workforce retention, but that responsible AI can help create the conditions within the organisation that support fulfilment, fairness, trust and engagement, which can help improve the chances of workforce stability.</w:t>
      </w:r>
    </w:p>
    <w:p w:rsidR="00000000" w:rsidDel="00000000" w:rsidP="00000000" w:rsidRDefault="00000000" w:rsidRPr="00000000" w14:paraId="00000164">
      <w:pPr>
        <w:spacing w:after="240" w:before="24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5">
      <w:pPr>
        <w:pStyle w:val="Heading2"/>
        <w:spacing w:after="240" w:before="240" w:line="360" w:lineRule="auto"/>
        <w:jc w:val="both"/>
        <w:rPr>
          <w:rFonts w:ascii="Times New Roman" w:cs="Times New Roman" w:eastAsia="Times New Roman" w:hAnsi="Times New Roman"/>
        </w:rPr>
      </w:pPr>
      <w:bookmarkStart w:colFirst="0" w:colLast="0" w:name="_vtj7p2adcne" w:id="32"/>
      <w:bookmarkEnd w:id="32"/>
      <w:r w:rsidDel="00000000" w:rsidR="00000000" w:rsidRPr="00000000">
        <w:rPr>
          <w:rFonts w:ascii="Times New Roman" w:cs="Times New Roman" w:eastAsia="Times New Roman" w:hAnsi="Times New Roman"/>
          <w:rtl w:val="0"/>
        </w:rPr>
        <w:t xml:space="preserve">6. Conclusion</w:t>
      </w:r>
    </w:p>
    <w:p w:rsidR="00000000" w:rsidDel="00000000" w:rsidP="00000000" w:rsidRDefault="00000000" w:rsidRPr="00000000" w14:paraId="0000016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literature confirms that the use of AI is impacting healthcare jobs, but it does not present a straightforward link between AI use and workforce retention. One thing is becoming more evident, the outcomes of the technological transformation that employees face are dependent on its governance and experience.</w:t>
      </w:r>
    </w:p>
    <w:p w:rsidR="00000000" w:rsidDel="00000000" w:rsidP="00000000" w:rsidRDefault="00000000" w:rsidRPr="00000000" w14:paraId="00000167">
      <w:pPr>
        <w:spacing w:after="240" w:before="240" w:line="36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psychological contract theory (PCT) provides a lens to understand the effects of AI on employees' expectations and psychological contracts. AI can influence an employee's psychological contract by changing their expectations of support, development, security and reciprocation from the organisation.AI can impact an employee's psychological contract by altering their expectations of support, development, security, and organisational reciprocity. Based on the principles of Organisational Justice Theory, employees perceive the fairness of the outcomes, processes, and information associated with AI. </w:t>
      </w:r>
    </w:p>
    <w:p w:rsidR="00000000" w:rsidDel="00000000" w:rsidP="00000000" w:rsidRDefault="00000000" w:rsidRPr="00000000" w14:paraId="0000016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3"/>
          <w:szCs w:val="23"/>
          <w:rtl w:val="0"/>
        </w:rPr>
        <w:t xml:space="preserve">Responsible AI research is complemented by ethical principles of transparency, accountability, human oversight, and stakeholder engagement.Ethical principles of transparency, accountability, human oversight, and stakeholder engagement are added to responsible AI research. In recent healthcare evidence, it is also revealed that trust, engagement, and professional autonomy are key factors influencing employees' reactions to the use of AI.</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yet to be understood how these mechanisms operate in the long term and whether they have an impact on actual workforce retention. What is currently known is limited in that some studies use cross-sectional designs, some are fragmented, some are context-specific, and some collect data on employee perception but do not investigate the process of change in perception.</w:t>
      </w:r>
    </w:p>
    <w:p w:rsidR="00000000" w:rsidDel="00000000" w:rsidP="00000000" w:rsidRDefault="00000000" w:rsidRPr="00000000" w14:paraId="000001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uncertainty is further confirmed by the philosophical analysis. Positivist methods help to give evidence of relationships but may underrepresent the meaning of employee relationships. Interpretivist research gives more depth to the context, but lacks breadth. The selected study provides an important insight into causal complexity, which is also related to fsQCA, but the selected configurations do not capture the nuances of meaning or evolution of employee experience over time (Wang et al., 2024).</w:t>
      </w:r>
    </w:p>
    <w:p w:rsidR="00000000" w:rsidDel="00000000" w:rsidP="00000000" w:rsidRDefault="00000000" w:rsidRPr="00000000" w14:paraId="0000016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Future research for the DBA is needed to explore the proposed pathway from responsible AI adoption to the psychological contract fulfilment to organisational justice to trust and engagement to workforce retention and organisational stability. Contextual conditions should be considered, including leadership communication, digital readiness, and organisational culture.</w:t>
      </w:r>
    </w:p>
    <w:p w:rsidR="00000000" w:rsidDel="00000000" w:rsidP="00000000" w:rsidRDefault="00000000" w:rsidRPr="00000000" w14:paraId="0000016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3"/>
          <w:szCs w:val="23"/>
          <w:rtl w:val="0"/>
        </w:rPr>
        <w:t xml:space="preserve">The primary conclusion is that there is a need to consider employment relations as an organisational competency that involves a joint management of technology, people, governance and employment relations in a private healthcare context supported by AI.</w:t>
      </w:r>
      <w:r w:rsidDel="00000000" w:rsidR="00000000" w:rsidRPr="00000000">
        <w:rPr>
          <w:rFonts w:ascii="Times New Roman" w:cs="Times New Roman" w:eastAsia="Times New Roman" w:hAnsi="Times New Roman"/>
          <w:sz w:val="24"/>
          <w:szCs w:val="24"/>
          <w:rtl w:val="0"/>
        </w:rPr>
        <w:t xml:space="preserve"> The question then is not so much whether AI is effective as when and how it will work within an organisation, and under which philosophical principles it will be effective for a workforce that will stay.</w:t>
      </w:r>
    </w:p>
    <w:p w:rsidR="00000000" w:rsidDel="00000000" w:rsidP="00000000" w:rsidRDefault="00000000" w:rsidRPr="00000000" w14:paraId="0000016D">
      <w:pPr>
        <w:pStyle w:val="Heading2"/>
        <w:spacing w:after="240" w:before="240" w:line="360" w:lineRule="auto"/>
        <w:jc w:val="both"/>
        <w:rPr>
          <w:rFonts w:ascii="Times New Roman" w:cs="Times New Roman" w:eastAsia="Times New Roman" w:hAnsi="Times New Roman"/>
        </w:rPr>
      </w:pPr>
      <w:bookmarkStart w:colFirst="0" w:colLast="0" w:name="_m47or8lo48f8" w:id="33"/>
      <w:bookmarkEnd w:id="33"/>
      <w:r w:rsidDel="00000000" w:rsidR="00000000" w:rsidRPr="00000000">
        <w:br w:type="page"/>
      </w:r>
      <w:r w:rsidDel="00000000" w:rsidR="00000000" w:rsidRPr="00000000">
        <w:rPr>
          <w:rtl w:val="0"/>
        </w:rPr>
      </w:r>
    </w:p>
    <w:p w:rsidR="00000000" w:rsidDel="00000000" w:rsidP="00000000" w:rsidRDefault="00000000" w:rsidRPr="00000000" w14:paraId="0000016E">
      <w:pPr>
        <w:pStyle w:val="Heading2"/>
        <w:spacing w:after="240" w:before="240" w:line="360" w:lineRule="auto"/>
        <w:jc w:val="both"/>
        <w:rPr>
          <w:rFonts w:ascii="Times New Roman" w:cs="Times New Roman" w:eastAsia="Times New Roman" w:hAnsi="Times New Roman"/>
        </w:rPr>
      </w:pPr>
      <w:bookmarkStart w:colFirst="0" w:colLast="0" w:name="_uhidn9i79foo" w:id="34"/>
      <w:bookmarkEnd w:id="34"/>
      <w:r w:rsidDel="00000000" w:rsidR="00000000" w:rsidRPr="00000000">
        <w:rPr>
          <w:rFonts w:ascii="Times New Roman" w:cs="Times New Roman" w:eastAsia="Times New Roman" w:hAnsi="Times New Roman"/>
          <w:rtl w:val="0"/>
        </w:rPr>
        <w:t xml:space="preserve">References</w:t>
      </w:r>
    </w:p>
    <w:p w:rsidR="00000000" w:rsidDel="00000000" w:rsidP="00000000" w:rsidRDefault="00000000" w:rsidRPr="00000000" w14:paraId="0000016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Amoako, G.K., Kumi, E., Appiah, T. and Ofori, K.S. (2024) ‘The effects of digital transformation, technological readiness, leadership support, and psychological contract on turnover intentions among healthcare professionals in Ghana: a mediated, moderated study’, </w:t>
      </w:r>
      <w:r w:rsidDel="00000000" w:rsidR="00000000" w:rsidRPr="00000000">
        <w:rPr>
          <w:rFonts w:ascii="Times New Roman" w:cs="Times New Roman" w:eastAsia="Times New Roman" w:hAnsi="Times New Roman"/>
          <w:i w:val="1"/>
          <w:iCs w:val="1"/>
          <w:sz w:val="24"/>
          <w:szCs w:val="24"/>
          <w:rtl w:val="0"/>
        </w:rPr>
        <w:t xml:space="preserve">SN Business &amp; Economics</w:t>
      </w:r>
      <w:r w:rsidDel="00000000" w:rsidR="00000000" w:rsidRPr="00000000">
        <w:rPr>
          <w:rFonts w:ascii="Times New Roman" w:cs="Times New Roman" w:eastAsia="Times New Roman" w:hAnsi="Times New Roman"/>
          <w:sz w:val="24"/>
          <w:szCs w:val="24"/>
          <w:rtl w:val="0"/>
        </w:rPr>
        <w:t xml:space="preserve">, 4(12). </w:t>
      </w:r>
    </w:p>
    <w:p w:rsidR="00000000" w:rsidDel="00000000" w:rsidP="00000000" w:rsidRDefault="00000000" w:rsidRPr="00000000" w14:paraId="00000170">
      <w:pPr>
        <w:spacing w:line="360" w:lineRule="auto"/>
        <w:rPr>
          <w:rFonts w:ascii="Times New Roman" w:cs="Times New Roman" w:eastAsia="Times New Roman" w:hAnsi="Times New Roman"/>
          <w:sz w:val="24"/>
          <w:szCs w:val="24"/>
        </w:rPr>
      </w:pPr>
      <w:hyperlink r:id="rId7">
        <w:r w:rsidDel="00000000" w:rsidR="00000000" w:rsidRPr="00000000">
          <w:rPr>
            <w:rFonts w:ascii="Times New Roman" w:cs="Times New Roman" w:eastAsia="Times New Roman" w:hAnsi="Times New Roman"/>
            <w:color w:val="1155cc"/>
            <w:sz w:val="24"/>
            <w:szCs w:val="24"/>
            <w:u w:val="single"/>
            <w:rtl w:val="0"/>
          </w:rPr>
          <w:t xml:space="preserve">https://doi.org/10.1007/s43546-024-00760-0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Ayorinde, A., Mensah, D.O., Walsh, J., Ghosh, I., Ibrahim, S.A., Hogg, J., Peek, N. and Griffiths, F. (2024) ‘Health Care Professionals’ Experience of Using AI: Systematic Review With Narrative Synthesis’, </w:t>
      </w:r>
      <w:r w:rsidDel="00000000" w:rsidR="00000000" w:rsidRPr="00000000">
        <w:rPr>
          <w:rFonts w:ascii="Times New Roman" w:cs="Times New Roman" w:eastAsia="Times New Roman" w:hAnsi="Times New Roman"/>
          <w:i w:val="1"/>
          <w:iCs w:val="1"/>
          <w:sz w:val="24"/>
          <w:szCs w:val="24"/>
          <w:rtl w:val="0"/>
        </w:rPr>
        <w:t xml:space="preserve">Journal of Medical Internet Research</w:t>
      </w:r>
      <w:r w:rsidDel="00000000" w:rsidR="00000000" w:rsidRPr="00000000">
        <w:rPr>
          <w:rFonts w:ascii="Times New Roman" w:cs="Times New Roman" w:eastAsia="Times New Roman" w:hAnsi="Times New Roman"/>
          <w:sz w:val="24"/>
          <w:szCs w:val="24"/>
          <w:rtl w:val="0"/>
        </w:rPr>
        <w:t xml:space="preserve">, 26, e55766.</w:t>
      </w:r>
    </w:p>
    <w:p w:rsidR="00000000" w:rsidDel="00000000" w:rsidP="00000000" w:rsidRDefault="00000000" w:rsidRPr="00000000" w14:paraId="00000172">
      <w:pPr>
        <w:spacing w:line="360" w:lineRule="auto"/>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https://doi.org/10.2196/55766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Blau, P.M. (1964) </w:t>
      </w:r>
      <w:r w:rsidDel="00000000" w:rsidR="00000000" w:rsidRPr="00000000">
        <w:rPr>
          <w:rFonts w:ascii="Times New Roman" w:cs="Times New Roman" w:eastAsia="Times New Roman" w:hAnsi="Times New Roman"/>
          <w:i w:val="1"/>
          <w:iCs w:val="1"/>
          <w:sz w:val="24"/>
          <w:szCs w:val="24"/>
          <w:rtl w:val="0"/>
        </w:rPr>
        <w:t xml:space="preserve">Exchange and Power in Social Life</w:t>
      </w:r>
      <w:r w:rsidDel="00000000" w:rsidR="00000000" w:rsidRPr="00000000">
        <w:rPr>
          <w:rFonts w:ascii="Times New Roman" w:cs="Times New Roman" w:eastAsia="Times New Roman" w:hAnsi="Times New Roman"/>
          <w:sz w:val="24"/>
          <w:szCs w:val="24"/>
          <w:rtl w:val="0"/>
        </w:rPr>
        <w:t xml:space="preserve">. New York: Wiley.</w:t>
      </w:r>
    </w:p>
    <w:p w:rsidR="00000000" w:rsidDel="00000000" w:rsidP="00000000" w:rsidRDefault="00000000" w:rsidRPr="00000000" w14:paraId="0000017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Braganza, A., Chen, W., Canhoto, A. and Sap, S. (2021) ‘Productive employment and decent work: The impact of AI adoption on psychological contracts, job engagement and employee trust’, </w:t>
      </w:r>
      <w:r w:rsidDel="00000000" w:rsidR="00000000" w:rsidRPr="00000000">
        <w:rPr>
          <w:rFonts w:ascii="Times New Roman" w:cs="Times New Roman" w:eastAsia="Times New Roman" w:hAnsi="Times New Roman"/>
          <w:i w:val="1"/>
          <w:iCs w:val="1"/>
          <w:sz w:val="24"/>
          <w:szCs w:val="24"/>
          <w:rtl w:val="0"/>
        </w:rPr>
        <w:t xml:space="preserve">Journal of Business Research</w:t>
      </w:r>
      <w:r w:rsidDel="00000000" w:rsidR="00000000" w:rsidRPr="00000000">
        <w:rPr>
          <w:rFonts w:ascii="Times New Roman" w:cs="Times New Roman" w:eastAsia="Times New Roman" w:hAnsi="Times New Roman"/>
          <w:sz w:val="24"/>
          <w:szCs w:val="24"/>
          <w:rtl w:val="0"/>
        </w:rPr>
        <w:t xml:space="preserve">, 131, pp. 485–494.</w:t>
      </w:r>
    </w:p>
    <w:p w:rsidR="00000000" w:rsidDel="00000000" w:rsidP="00000000" w:rsidRDefault="00000000" w:rsidRPr="00000000" w14:paraId="00000175">
      <w:pPr>
        <w:spacing w:line="360" w:lineRule="auto"/>
        <w:rPr>
          <w:rFonts w:ascii="Times New Roman" w:cs="Times New Roman" w:eastAsia="Times New Roman" w:hAnsi="Times New Roman"/>
          <w:sz w:val="24"/>
          <w:szCs w:val="24"/>
        </w:rPr>
      </w:pPr>
      <w:hyperlink r:id="rId9">
        <w:r w:rsidDel="00000000" w:rsidR="00000000" w:rsidRPr="00000000">
          <w:rPr>
            <w:rFonts w:ascii="Times New Roman" w:cs="Times New Roman" w:eastAsia="Times New Roman" w:hAnsi="Times New Roman"/>
            <w:color w:val="1155cc"/>
            <w:sz w:val="24"/>
            <w:szCs w:val="24"/>
            <w:u w:val="single"/>
            <w:rtl w:val="0"/>
          </w:rPr>
          <w:t xml:space="preserve">https://doi.org/10.1016/j.jbusres.2020.08.018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Bryman, A. and Bell, E. (2015) </w:t>
      </w:r>
      <w:r w:rsidDel="00000000" w:rsidR="00000000" w:rsidRPr="00000000">
        <w:rPr>
          <w:rFonts w:ascii="Times New Roman" w:cs="Times New Roman" w:eastAsia="Times New Roman" w:hAnsi="Times New Roman"/>
          <w:i w:val="1"/>
          <w:iCs w:val="1"/>
          <w:sz w:val="24"/>
          <w:szCs w:val="24"/>
          <w:rtl w:val="0"/>
        </w:rPr>
        <w:t xml:space="preserve">Business Research Methods</w:t>
      </w:r>
      <w:r w:rsidDel="00000000" w:rsidR="00000000" w:rsidRPr="00000000">
        <w:rPr>
          <w:rFonts w:ascii="Times New Roman" w:cs="Times New Roman" w:eastAsia="Times New Roman" w:hAnsi="Times New Roman"/>
          <w:sz w:val="24"/>
          <w:szCs w:val="24"/>
          <w:rtl w:val="0"/>
        </w:rPr>
        <w:t xml:space="preserve">. 4th edn. Oxford: Oxford University Press.</w:t>
      </w:r>
    </w:p>
    <w:p w:rsidR="00000000" w:rsidDel="00000000" w:rsidP="00000000" w:rsidRDefault="00000000" w:rsidRPr="00000000" w14:paraId="0000017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Chen, D., Lin, Q., Yang, T., Shi, L.(2022) ‘Distributive justice and turnover intention among medical staff in Shenzhen, China: the mediating effects of organizational commitment and work engagement’, </w:t>
      </w:r>
      <w:r w:rsidDel="00000000" w:rsidR="00000000" w:rsidRPr="00000000">
        <w:rPr>
          <w:rFonts w:ascii="Times New Roman" w:cs="Times New Roman" w:eastAsia="Times New Roman" w:hAnsi="Times New Roman"/>
          <w:i w:val="1"/>
          <w:iCs w:val="1"/>
          <w:sz w:val="24"/>
          <w:szCs w:val="24"/>
          <w:rtl w:val="0"/>
        </w:rPr>
        <w:t xml:space="preserve">Risk Management and Healthcare Policy</w:t>
      </w:r>
      <w:r w:rsidDel="00000000" w:rsidR="00000000" w:rsidRPr="00000000">
        <w:rPr>
          <w:rFonts w:ascii="Times New Roman" w:cs="Times New Roman" w:eastAsia="Times New Roman" w:hAnsi="Times New Roman"/>
          <w:sz w:val="24"/>
          <w:szCs w:val="24"/>
          <w:rtl w:val="0"/>
        </w:rPr>
        <w:t xml:space="preserve">, 15, pp. 665–676. </w:t>
      </w:r>
    </w:p>
    <w:p w:rsidR="00000000" w:rsidDel="00000000" w:rsidP="00000000" w:rsidRDefault="00000000" w:rsidRPr="00000000" w14:paraId="00000178">
      <w:pPr>
        <w:spacing w:line="360" w:lineRule="auto"/>
        <w:rPr>
          <w:rFonts w:ascii="Times New Roman" w:cs="Times New Roman" w:eastAsia="Times New Roman" w:hAnsi="Times New Roman"/>
          <w:sz w:val="24"/>
          <w:szCs w:val="24"/>
        </w:rPr>
      </w:pPr>
      <w:hyperlink r:id="rId10">
        <w:r w:rsidDel="00000000" w:rsidR="00000000" w:rsidRPr="00000000">
          <w:rPr>
            <w:rFonts w:ascii="Times New Roman" w:cs="Times New Roman" w:eastAsia="Times New Roman" w:hAnsi="Times New Roman"/>
            <w:color w:val="1155cc"/>
            <w:sz w:val="24"/>
            <w:szCs w:val="24"/>
            <w:u w:val="single"/>
            <w:rtl w:val="0"/>
          </w:rPr>
          <w:t xml:space="preserve">https://doi.org/10.2147/RMHP.S357654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Colquitt, J.A. (2001) ‘On the dimensionality of organizational justice: a construct validation of a measure’, </w:t>
      </w:r>
      <w:r w:rsidDel="00000000" w:rsidR="00000000" w:rsidRPr="00000000">
        <w:rPr>
          <w:rFonts w:ascii="Times New Roman" w:cs="Times New Roman" w:eastAsia="Times New Roman" w:hAnsi="Times New Roman"/>
          <w:i w:val="1"/>
          <w:iCs w:val="1"/>
          <w:sz w:val="24"/>
          <w:szCs w:val="24"/>
          <w:rtl w:val="0"/>
        </w:rPr>
        <w:t xml:space="preserve">Journal of Applied Psychology</w:t>
      </w:r>
      <w:r w:rsidDel="00000000" w:rsidR="00000000" w:rsidRPr="00000000">
        <w:rPr>
          <w:rFonts w:ascii="Times New Roman" w:cs="Times New Roman" w:eastAsia="Times New Roman" w:hAnsi="Times New Roman"/>
          <w:sz w:val="24"/>
          <w:szCs w:val="24"/>
          <w:rtl w:val="0"/>
        </w:rPr>
        <w:t xml:space="preserve">, 86(3), pp. 386–400.</w:t>
      </w:r>
    </w:p>
    <w:p w:rsidR="00000000" w:rsidDel="00000000" w:rsidP="00000000" w:rsidRDefault="00000000" w:rsidRPr="00000000" w14:paraId="0000017A">
      <w:pPr>
        <w:spacing w:line="360" w:lineRule="auto"/>
        <w:rPr>
          <w:rFonts w:ascii="Times New Roman" w:cs="Times New Roman" w:eastAsia="Times New Roman" w:hAnsi="Times New Roman"/>
          <w:color w:val="1155cc"/>
          <w:sz w:val="24"/>
          <w:szCs w:val="24"/>
          <w:u w:val="single"/>
        </w:rPr>
      </w:pPr>
      <w:hyperlink r:id="rId11">
        <w:r w:rsidDel="00000000" w:rsidR="00000000" w:rsidRPr="00000000">
          <w:rPr>
            <w:rFonts w:ascii="Times New Roman" w:cs="Times New Roman" w:eastAsia="Times New Roman" w:hAnsi="Times New Roman"/>
            <w:color w:val="1155cc"/>
            <w:sz w:val="24"/>
            <w:szCs w:val="24"/>
            <w:u w:val="single"/>
            <w:rtl w:val="0"/>
          </w:rPr>
          <w:t xml:space="preserve">https://doi.org/10.1037/0021-9010.86.3.386</w:t>
        </w:r>
      </w:hyperlink>
      <w:r w:rsidDel="00000000" w:rsidR="00000000" w:rsidRPr="00000000">
        <w:rPr>
          <w:rtl w:val="0"/>
        </w:rPr>
      </w:r>
    </w:p>
    <w:p w:rsidR="00000000" w:rsidDel="00000000" w:rsidP="00000000" w:rsidRDefault="00000000" w:rsidRPr="00000000" w14:paraId="0000017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Covidence (2021) ‘How to search databases for systematic reviews’. Available at: https://www.covidence.org/blog/how-to-search-databases-for-systematic-reviews/</w:t>
      </w:r>
    </w:p>
    <w:p w:rsidR="00000000" w:rsidDel="00000000" w:rsidP="00000000" w:rsidRDefault="00000000" w:rsidRPr="00000000" w14:paraId="0000017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Crotty, M. (1998) </w:t>
      </w:r>
      <w:r w:rsidDel="00000000" w:rsidR="00000000" w:rsidRPr="00000000">
        <w:rPr>
          <w:rFonts w:ascii="Times New Roman" w:cs="Times New Roman" w:eastAsia="Times New Roman" w:hAnsi="Times New Roman"/>
          <w:i w:val="1"/>
          <w:iCs w:val="1"/>
          <w:sz w:val="24"/>
          <w:szCs w:val="24"/>
          <w:rtl w:val="0"/>
        </w:rPr>
        <w:t xml:space="preserve">The Foundations of Social Research: Meaning and Perspective in the Research Process</w:t>
      </w:r>
      <w:r w:rsidDel="00000000" w:rsidR="00000000" w:rsidRPr="00000000">
        <w:rPr>
          <w:rFonts w:ascii="Times New Roman" w:cs="Times New Roman" w:eastAsia="Times New Roman" w:hAnsi="Times New Roman"/>
          <w:sz w:val="24"/>
          <w:szCs w:val="24"/>
          <w:rtl w:val="0"/>
        </w:rPr>
        <w:t xml:space="preserve">. London: Sage.</w:t>
      </w:r>
    </w:p>
    <w:p w:rsidR="00000000" w:rsidDel="00000000" w:rsidP="00000000" w:rsidRDefault="00000000" w:rsidRPr="00000000" w14:paraId="0000017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Daly, S.J., Wiewiora, A. and Hearn, G. (2025) ‘Shifting attitudes and trust in AI: Influences on organizational AI adoption’, </w:t>
      </w:r>
      <w:r w:rsidDel="00000000" w:rsidR="00000000" w:rsidRPr="00000000">
        <w:rPr>
          <w:rFonts w:ascii="Times New Roman" w:cs="Times New Roman" w:eastAsia="Times New Roman" w:hAnsi="Times New Roman"/>
          <w:i w:val="1"/>
          <w:iCs w:val="1"/>
          <w:sz w:val="24"/>
          <w:szCs w:val="24"/>
          <w:rtl w:val="0"/>
        </w:rPr>
        <w:t xml:space="preserve">Technological Forecasting and Social Change</w:t>
      </w:r>
      <w:r w:rsidDel="00000000" w:rsidR="00000000" w:rsidRPr="00000000">
        <w:rPr>
          <w:rFonts w:ascii="Times New Roman" w:cs="Times New Roman" w:eastAsia="Times New Roman" w:hAnsi="Times New Roman"/>
          <w:sz w:val="24"/>
          <w:szCs w:val="24"/>
          <w:rtl w:val="0"/>
        </w:rPr>
        <w:t xml:space="preserve">, 215, 124108.</w:t>
      </w:r>
    </w:p>
    <w:p w:rsidR="00000000" w:rsidDel="00000000" w:rsidP="00000000" w:rsidRDefault="00000000" w:rsidRPr="00000000" w14:paraId="0000017E">
      <w:pPr>
        <w:spacing w:line="360" w:lineRule="auto"/>
        <w:rPr>
          <w:rFonts w:ascii="Times New Roman" w:cs="Times New Roman" w:eastAsia="Times New Roman" w:hAnsi="Times New Roman"/>
          <w:sz w:val="24"/>
          <w:szCs w:val="24"/>
        </w:rPr>
      </w:pP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https://doi.org/10.1016/j.techfore.2025.124108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Easterby-Smith, M., Thorpe, R. and Jackson, P.R. (2018) </w:t>
      </w:r>
      <w:r w:rsidDel="00000000" w:rsidR="00000000" w:rsidRPr="00000000">
        <w:rPr>
          <w:rFonts w:ascii="Times New Roman" w:cs="Times New Roman" w:eastAsia="Times New Roman" w:hAnsi="Times New Roman"/>
          <w:i w:val="1"/>
          <w:iCs w:val="1"/>
          <w:sz w:val="24"/>
          <w:szCs w:val="24"/>
          <w:rtl w:val="0"/>
        </w:rPr>
        <w:t xml:space="preserve">Management and Business Research</w:t>
      </w:r>
      <w:r w:rsidDel="00000000" w:rsidR="00000000" w:rsidRPr="00000000">
        <w:rPr>
          <w:rFonts w:ascii="Times New Roman" w:cs="Times New Roman" w:eastAsia="Times New Roman" w:hAnsi="Times New Roman"/>
          <w:sz w:val="24"/>
          <w:szCs w:val="24"/>
          <w:rtl w:val="0"/>
        </w:rPr>
        <w:t xml:space="preserve">. 6th edn. London: Sage.</w:t>
      </w:r>
    </w:p>
    <w:p w:rsidR="00000000" w:rsidDel="00000000" w:rsidP="00000000" w:rsidRDefault="00000000" w:rsidRPr="00000000" w14:paraId="0000018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Fiss, P.C. (2011) ‘Building better causal theories: a fuzzy set approach to typologies in organization research’, </w:t>
      </w:r>
      <w:r w:rsidDel="00000000" w:rsidR="00000000" w:rsidRPr="00000000">
        <w:rPr>
          <w:rFonts w:ascii="Times New Roman" w:cs="Times New Roman" w:eastAsia="Times New Roman" w:hAnsi="Times New Roman"/>
          <w:i w:val="1"/>
          <w:iCs w:val="1"/>
          <w:sz w:val="24"/>
          <w:szCs w:val="24"/>
          <w:rtl w:val="0"/>
        </w:rPr>
        <w:t xml:space="preserve">Academy of Management Journal</w:t>
      </w:r>
      <w:r w:rsidDel="00000000" w:rsidR="00000000" w:rsidRPr="00000000">
        <w:rPr>
          <w:rFonts w:ascii="Times New Roman" w:cs="Times New Roman" w:eastAsia="Times New Roman" w:hAnsi="Times New Roman"/>
          <w:sz w:val="24"/>
          <w:szCs w:val="24"/>
          <w:rtl w:val="0"/>
        </w:rPr>
        <w:t xml:space="preserve">, 54(2), pp. 393–420.</w:t>
      </w:r>
    </w:p>
    <w:p w:rsidR="00000000" w:rsidDel="00000000" w:rsidP="00000000" w:rsidRDefault="00000000" w:rsidRPr="00000000" w14:paraId="00000181">
      <w:pPr>
        <w:spacing w:line="360" w:lineRule="auto"/>
        <w:rPr>
          <w:rFonts w:ascii="Times New Roman" w:cs="Times New Roman" w:eastAsia="Times New Roman" w:hAnsi="Times New Roman"/>
          <w:color w:val="1155cc"/>
          <w:sz w:val="24"/>
          <w:szCs w:val="24"/>
          <w:u w:val="single"/>
        </w:rPr>
      </w:pPr>
      <w:hyperlink r:id="rId13">
        <w:r w:rsidDel="00000000" w:rsidR="00000000" w:rsidRPr="00000000">
          <w:rPr>
            <w:rFonts w:ascii="Times New Roman" w:cs="Times New Roman" w:eastAsia="Times New Roman" w:hAnsi="Times New Roman"/>
            <w:color w:val="1155cc"/>
            <w:sz w:val="24"/>
            <w:szCs w:val="24"/>
            <w:u w:val="single"/>
            <w:rtl w:val="0"/>
          </w:rPr>
          <w:t xml:space="preserve">https://doi.org/10.5465/amj.2011.60263120</w:t>
        </w:r>
      </w:hyperlink>
      <w:r w:rsidDel="00000000" w:rsidR="00000000" w:rsidRPr="00000000">
        <w:rPr>
          <w:rtl w:val="0"/>
        </w:rPr>
      </w:r>
    </w:p>
    <w:p w:rsidR="00000000" w:rsidDel="00000000" w:rsidP="00000000" w:rsidRDefault="00000000" w:rsidRPr="00000000" w14:paraId="0000018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Gkinko, L. and Elbanna, A. (2023) ‘Designing trust: the formation of employees’ trust in conversational AI in the digital workplace’, </w:t>
      </w:r>
      <w:r w:rsidDel="00000000" w:rsidR="00000000" w:rsidRPr="00000000">
        <w:rPr>
          <w:rFonts w:ascii="Times New Roman" w:cs="Times New Roman" w:eastAsia="Times New Roman" w:hAnsi="Times New Roman"/>
          <w:i w:val="1"/>
          <w:iCs w:val="1"/>
          <w:sz w:val="24"/>
          <w:szCs w:val="24"/>
          <w:rtl w:val="0"/>
        </w:rPr>
        <w:t xml:space="preserve">Journal of Business Research</w:t>
      </w:r>
      <w:r w:rsidDel="00000000" w:rsidR="00000000" w:rsidRPr="00000000">
        <w:rPr>
          <w:rFonts w:ascii="Times New Roman" w:cs="Times New Roman" w:eastAsia="Times New Roman" w:hAnsi="Times New Roman"/>
          <w:sz w:val="24"/>
          <w:szCs w:val="24"/>
          <w:rtl w:val="0"/>
        </w:rPr>
        <w:t xml:space="preserve">, 158, 113707.</w:t>
      </w:r>
    </w:p>
    <w:p w:rsidR="00000000" w:rsidDel="00000000" w:rsidP="00000000" w:rsidRDefault="00000000" w:rsidRPr="00000000" w14:paraId="00000183">
      <w:pPr>
        <w:spacing w:line="360" w:lineRule="auto"/>
        <w:rPr>
          <w:rFonts w:ascii="Times New Roman" w:cs="Times New Roman" w:eastAsia="Times New Roman" w:hAnsi="Times New Roman"/>
          <w:color w:val="1155cc"/>
          <w:sz w:val="24"/>
          <w:szCs w:val="24"/>
          <w:u w:val="single"/>
        </w:rPr>
      </w:pPr>
      <w:hyperlink r:id="rId14">
        <w:r w:rsidDel="00000000" w:rsidR="00000000" w:rsidRPr="00000000">
          <w:rPr>
            <w:rFonts w:ascii="Times New Roman" w:cs="Times New Roman" w:eastAsia="Times New Roman" w:hAnsi="Times New Roman"/>
            <w:color w:val="1155cc"/>
            <w:sz w:val="24"/>
            <w:szCs w:val="24"/>
            <w:u w:val="single"/>
            <w:rtl w:val="0"/>
          </w:rPr>
          <w:t xml:space="preserve">https://doi.org/10.1016/j.jbusres.2023.113707</w:t>
        </w:r>
      </w:hyperlink>
      <w:r w:rsidDel="00000000" w:rsidR="00000000" w:rsidRPr="00000000">
        <w:rPr>
          <w:rtl w:val="0"/>
        </w:rPr>
      </w:r>
    </w:p>
    <w:p w:rsidR="00000000" w:rsidDel="00000000" w:rsidP="00000000" w:rsidRDefault="00000000" w:rsidRPr="00000000" w14:paraId="0000018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Glikson, E. and Woolley, A.W. (2020) ‘Human trust in artificial intelligence: review of empirical research’, </w:t>
      </w:r>
      <w:r w:rsidDel="00000000" w:rsidR="00000000" w:rsidRPr="00000000">
        <w:rPr>
          <w:rFonts w:ascii="Times New Roman" w:cs="Times New Roman" w:eastAsia="Times New Roman" w:hAnsi="Times New Roman"/>
          <w:i w:val="1"/>
          <w:iCs w:val="1"/>
          <w:sz w:val="24"/>
          <w:szCs w:val="24"/>
          <w:rtl w:val="0"/>
        </w:rPr>
        <w:t xml:space="preserve">Academy of Management Annals</w:t>
      </w:r>
      <w:r w:rsidDel="00000000" w:rsidR="00000000" w:rsidRPr="00000000">
        <w:rPr>
          <w:rFonts w:ascii="Times New Roman" w:cs="Times New Roman" w:eastAsia="Times New Roman" w:hAnsi="Times New Roman"/>
          <w:sz w:val="24"/>
          <w:szCs w:val="24"/>
          <w:rtl w:val="0"/>
        </w:rPr>
        <w:t xml:space="preserve">, 14(2), pp. 627–660.</w:t>
      </w:r>
    </w:p>
    <w:p w:rsidR="00000000" w:rsidDel="00000000" w:rsidP="00000000" w:rsidRDefault="00000000" w:rsidRPr="00000000" w14:paraId="00000185">
      <w:pPr>
        <w:spacing w:line="360" w:lineRule="auto"/>
        <w:rPr>
          <w:rFonts w:ascii="Times New Roman" w:cs="Times New Roman" w:eastAsia="Times New Roman" w:hAnsi="Times New Roman"/>
          <w:color w:val="1155cc"/>
          <w:sz w:val="24"/>
          <w:szCs w:val="24"/>
          <w:u w:val="single"/>
        </w:rPr>
      </w:pPr>
      <w:hyperlink r:id="rId15">
        <w:r w:rsidDel="00000000" w:rsidR="00000000" w:rsidRPr="00000000">
          <w:rPr>
            <w:rFonts w:ascii="Times New Roman" w:cs="Times New Roman" w:eastAsia="Times New Roman" w:hAnsi="Times New Roman"/>
            <w:color w:val="1155cc"/>
            <w:sz w:val="24"/>
            <w:szCs w:val="24"/>
            <w:u w:val="single"/>
            <w:rtl w:val="0"/>
          </w:rPr>
          <w:t xml:space="preserve">https://doi.org/10.5465/annals.2018.0057</w:t>
        </w:r>
      </w:hyperlink>
      <w:r w:rsidDel="00000000" w:rsidR="00000000" w:rsidRPr="00000000">
        <w:rPr>
          <w:rtl w:val="0"/>
        </w:rPr>
      </w:r>
    </w:p>
    <w:p w:rsidR="00000000" w:rsidDel="00000000" w:rsidP="00000000" w:rsidRDefault="00000000" w:rsidRPr="00000000" w14:paraId="0000018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Grant, M.J. and Booth, A. (2009) ‘A typology of reviews: an analysis of 14 review types and associated methodologies’, </w:t>
      </w:r>
      <w:r w:rsidDel="00000000" w:rsidR="00000000" w:rsidRPr="00000000">
        <w:rPr>
          <w:rFonts w:ascii="Times New Roman" w:cs="Times New Roman" w:eastAsia="Times New Roman" w:hAnsi="Times New Roman"/>
          <w:i w:val="1"/>
          <w:iCs w:val="1"/>
          <w:sz w:val="24"/>
          <w:szCs w:val="24"/>
          <w:rtl w:val="0"/>
        </w:rPr>
        <w:t xml:space="preserve">Health Information and Libraries Journal</w:t>
      </w:r>
      <w:r w:rsidDel="00000000" w:rsidR="00000000" w:rsidRPr="00000000">
        <w:rPr>
          <w:rFonts w:ascii="Times New Roman" w:cs="Times New Roman" w:eastAsia="Times New Roman" w:hAnsi="Times New Roman"/>
          <w:sz w:val="24"/>
          <w:szCs w:val="24"/>
          <w:rtl w:val="0"/>
        </w:rPr>
        <w:t xml:space="preserve">, 26(2), pp. 91–108.</w:t>
      </w:r>
    </w:p>
    <w:p w:rsidR="00000000" w:rsidDel="00000000" w:rsidP="00000000" w:rsidRDefault="00000000" w:rsidRPr="00000000" w14:paraId="00000187">
      <w:pPr>
        <w:spacing w:line="360" w:lineRule="auto"/>
        <w:rPr>
          <w:rFonts w:ascii="Times New Roman" w:cs="Times New Roman" w:eastAsia="Times New Roman" w:hAnsi="Times New Roman"/>
          <w:color w:val="1155cc"/>
          <w:sz w:val="24"/>
          <w:szCs w:val="24"/>
          <w:u w:val="single"/>
        </w:rPr>
      </w:pPr>
      <w:hyperlink r:id="rId16">
        <w:r w:rsidDel="00000000" w:rsidR="00000000" w:rsidRPr="00000000">
          <w:rPr>
            <w:rFonts w:ascii="Times New Roman" w:cs="Times New Roman" w:eastAsia="Times New Roman" w:hAnsi="Times New Roman"/>
            <w:color w:val="1155cc"/>
            <w:sz w:val="24"/>
            <w:szCs w:val="24"/>
            <w:u w:val="single"/>
            <w:rtl w:val="0"/>
          </w:rPr>
          <w:t xml:space="preserve">https://doi.org/10.1111/j.1471-1842.2009.00848.x</w:t>
        </w:r>
      </w:hyperlink>
      <w:r w:rsidDel="00000000" w:rsidR="00000000" w:rsidRPr="00000000">
        <w:rPr>
          <w:rtl w:val="0"/>
        </w:rPr>
      </w:r>
    </w:p>
    <w:p w:rsidR="00000000" w:rsidDel="00000000" w:rsidP="00000000" w:rsidRDefault="00000000" w:rsidRPr="00000000" w14:paraId="0000018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Hameed, Z., Alsaleh, H., Malik, P. and Vishnoi, S.K. (2026) ‘How does responsible AI influence healthcare employee AI collaboration and engagement? The role of AI trust and responsible leadership’, </w:t>
      </w:r>
      <w:r w:rsidDel="00000000" w:rsidR="00000000" w:rsidRPr="00000000">
        <w:rPr>
          <w:rFonts w:ascii="Times New Roman" w:cs="Times New Roman" w:eastAsia="Times New Roman" w:hAnsi="Times New Roman"/>
          <w:i w:val="1"/>
          <w:iCs w:val="1"/>
          <w:sz w:val="24"/>
          <w:szCs w:val="24"/>
          <w:rtl w:val="0"/>
        </w:rPr>
        <w:t xml:space="preserve">Technological Forecasting and Social Change</w:t>
      </w:r>
      <w:r w:rsidDel="00000000" w:rsidR="00000000" w:rsidRPr="00000000">
        <w:rPr>
          <w:rFonts w:ascii="Times New Roman" w:cs="Times New Roman" w:eastAsia="Times New Roman" w:hAnsi="Times New Roman"/>
          <w:sz w:val="24"/>
          <w:szCs w:val="24"/>
          <w:rtl w:val="0"/>
        </w:rPr>
        <w:t xml:space="preserve">, 227, 124651.</w:t>
      </w:r>
    </w:p>
    <w:p w:rsidR="00000000" w:rsidDel="00000000" w:rsidP="00000000" w:rsidRDefault="00000000" w:rsidRPr="00000000" w14:paraId="00000189">
      <w:pPr>
        <w:spacing w:line="360" w:lineRule="auto"/>
        <w:rPr>
          <w:rFonts w:ascii="Times New Roman" w:cs="Times New Roman" w:eastAsia="Times New Roman" w:hAnsi="Times New Roman"/>
          <w:sz w:val="24"/>
          <w:szCs w:val="24"/>
        </w:rPr>
      </w:pPr>
      <w:hyperlink r:id="rId17">
        <w:r w:rsidDel="00000000" w:rsidR="00000000" w:rsidRPr="00000000">
          <w:rPr>
            <w:rFonts w:ascii="Times New Roman" w:cs="Times New Roman" w:eastAsia="Times New Roman" w:hAnsi="Times New Roman"/>
            <w:color w:val="1155cc"/>
            <w:sz w:val="24"/>
            <w:szCs w:val="24"/>
            <w:u w:val="single"/>
            <w:rtl w:val="0"/>
          </w:rPr>
          <w:t xml:space="preserve">https://doi.org/10.1016/j.techfore.2026.124651</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18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Irgang, L., Sestino, A., Barth, H. and Holmén, M. (2025) ‘Healthcare workers’ adoption of and satisfaction with artificial intelligence: the counterintuitive role of paradoxical tensions and paradoxical mindset’, </w:t>
      </w:r>
      <w:r w:rsidDel="00000000" w:rsidR="00000000" w:rsidRPr="00000000">
        <w:rPr>
          <w:rFonts w:ascii="Times New Roman" w:cs="Times New Roman" w:eastAsia="Times New Roman" w:hAnsi="Times New Roman"/>
          <w:i w:val="1"/>
          <w:iCs w:val="1"/>
          <w:sz w:val="24"/>
          <w:szCs w:val="24"/>
          <w:rtl w:val="0"/>
        </w:rPr>
        <w:t xml:space="preserve">Technological Forecasting and Social Change</w:t>
      </w:r>
      <w:r w:rsidDel="00000000" w:rsidR="00000000" w:rsidRPr="00000000">
        <w:rPr>
          <w:rFonts w:ascii="Times New Roman" w:cs="Times New Roman" w:eastAsia="Times New Roman" w:hAnsi="Times New Roman"/>
          <w:sz w:val="24"/>
          <w:szCs w:val="24"/>
          <w:rtl w:val="0"/>
        </w:rPr>
        <w:t xml:space="preserve">, 212, 123967.</w:t>
      </w:r>
    </w:p>
    <w:p w:rsidR="00000000" w:rsidDel="00000000" w:rsidP="00000000" w:rsidRDefault="00000000" w:rsidRPr="00000000" w14:paraId="0000018B">
      <w:pPr>
        <w:spacing w:line="360" w:lineRule="auto"/>
        <w:rPr>
          <w:rFonts w:ascii="Times New Roman" w:cs="Times New Roman" w:eastAsia="Times New Roman" w:hAnsi="Times New Roman"/>
          <w:color w:val="1155cc"/>
          <w:sz w:val="24"/>
          <w:szCs w:val="24"/>
          <w:u w:val="single"/>
        </w:rPr>
      </w:pPr>
      <w:hyperlink r:id="rId18">
        <w:r w:rsidDel="00000000" w:rsidR="00000000" w:rsidRPr="00000000">
          <w:rPr>
            <w:rFonts w:ascii="Times New Roman" w:cs="Times New Roman" w:eastAsia="Times New Roman" w:hAnsi="Times New Roman"/>
            <w:color w:val="1155cc"/>
            <w:sz w:val="24"/>
            <w:szCs w:val="24"/>
            <w:u w:val="single"/>
            <w:rtl w:val="0"/>
          </w:rPr>
          <w:t xml:space="preserve">https://doi.org/10.1016/j.techfore.2024.123967</w:t>
        </w:r>
      </w:hyperlink>
      <w:r w:rsidDel="00000000" w:rsidR="00000000" w:rsidRPr="00000000">
        <w:rPr>
          <w:rtl w:val="0"/>
        </w:rPr>
      </w:r>
    </w:p>
    <w:p w:rsidR="00000000" w:rsidDel="00000000" w:rsidP="00000000" w:rsidRDefault="00000000" w:rsidRPr="00000000" w14:paraId="0000018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Khanam, Z., Khan, Z., Arwab, M. and Khan, A. (2024) ‘Assessing the mediating role of organizational justice between the responsible leadership and employee turnover intention in health-care sector’, </w:t>
      </w:r>
      <w:r w:rsidDel="00000000" w:rsidR="00000000" w:rsidRPr="00000000">
        <w:rPr>
          <w:rFonts w:ascii="Times New Roman" w:cs="Times New Roman" w:eastAsia="Times New Roman" w:hAnsi="Times New Roman"/>
          <w:i w:val="1"/>
          <w:iCs w:val="1"/>
          <w:sz w:val="24"/>
          <w:szCs w:val="24"/>
          <w:rtl w:val="0"/>
        </w:rPr>
        <w:t xml:space="preserve">Leadership in Health Services</w:t>
      </w:r>
      <w:r w:rsidDel="00000000" w:rsidR="00000000" w:rsidRPr="00000000">
        <w:rPr>
          <w:rFonts w:ascii="Times New Roman" w:cs="Times New Roman" w:eastAsia="Times New Roman" w:hAnsi="Times New Roman"/>
          <w:sz w:val="24"/>
          <w:szCs w:val="24"/>
          <w:rtl w:val="0"/>
        </w:rPr>
        <w:t xml:space="preserve">, 37(3), pp. 342–358.</w:t>
      </w:r>
    </w:p>
    <w:p w:rsidR="00000000" w:rsidDel="00000000" w:rsidP="00000000" w:rsidRDefault="00000000" w:rsidRPr="00000000" w14:paraId="0000018D">
      <w:pPr>
        <w:spacing w:line="360" w:lineRule="auto"/>
        <w:rPr>
          <w:rFonts w:ascii="Times New Roman" w:cs="Times New Roman" w:eastAsia="Times New Roman" w:hAnsi="Times New Roman"/>
          <w:sz w:val="24"/>
          <w:szCs w:val="24"/>
        </w:rPr>
      </w:pPr>
      <w:hyperlink r:id="rId19">
        <w:r w:rsidDel="00000000" w:rsidR="00000000" w:rsidRPr="00000000">
          <w:rPr>
            <w:rFonts w:ascii="Times New Roman" w:cs="Times New Roman" w:eastAsia="Times New Roman" w:hAnsi="Times New Roman"/>
            <w:color w:val="1155cc"/>
            <w:sz w:val="24"/>
            <w:szCs w:val="24"/>
            <w:u w:val="single"/>
            <w:rtl w:val="0"/>
          </w:rPr>
          <w:t xml:space="preserve">https://doi.org/10.1108/LHS-06-2023-0046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8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Klein, U., Depping, J., Wohlfahrt, L., Fassbender, P.  (2024) ‘Application of artificial intelligence: risk perception and trust in the work context with different impact levels and task types’, </w:t>
      </w:r>
      <w:r w:rsidDel="00000000" w:rsidR="00000000" w:rsidRPr="00000000">
        <w:rPr>
          <w:rFonts w:ascii="Times New Roman" w:cs="Times New Roman" w:eastAsia="Times New Roman" w:hAnsi="Times New Roman"/>
          <w:i w:val="1"/>
          <w:iCs w:val="1"/>
          <w:sz w:val="24"/>
          <w:szCs w:val="24"/>
          <w:rtl w:val="0"/>
        </w:rPr>
        <w:t xml:space="preserve">AI &amp; Society</w:t>
      </w:r>
      <w:r w:rsidDel="00000000" w:rsidR="00000000" w:rsidRPr="00000000">
        <w:rPr>
          <w:rFonts w:ascii="Times New Roman" w:cs="Times New Roman" w:eastAsia="Times New Roman" w:hAnsi="Times New Roman"/>
          <w:sz w:val="24"/>
          <w:szCs w:val="24"/>
          <w:rtl w:val="0"/>
        </w:rPr>
        <w:t xml:space="preserve">, 39, pp. 2445–2456. </w:t>
      </w:r>
    </w:p>
    <w:p w:rsidR="00000000" w:rsidDel="00000000" w:rsidP="00000000" w:rsidRDefault="00000000" w:rsidRPr="00000000" w14:paraId="0000018F">
      <w:pPr>
        <w:spacing w:line="360" w:lineRule="auto"/>
        <w:rPr>
          <w:rFonts w:ascii="Times New Roman" w:cs="Times New Roman" w:eastAsia="Times New Roman" w:hAnsi="Times New Roman"/>
          <w:sz w:val="24"/>
          <w:szCs w:val="24"/>
        </w:rPr>
      </w:pPr>
      <w:hyperlink r:id="rId20">
        <w:r w:rsidDel="00000000" w:rsidR="00000000" w:rsidRPr="00000000">
          <w:rPr>
            <w:rFonts w:ascii="Times New Roman" w:cs="Times New Roman" w:eastAsia="Times New Roman" w:hAnsi="Times New Roman"/>
            <w:color w:val="1155cc"/>
            <w:sz w:val="24"/>
            <w:szCs w:val="24"/>
            <w:u w:val="single"/>
            <w:rtl w:val="0"/>
          </w:rPr>
          <w:t xml:space="preserve">https://doi.org/10.1007/s00146-023-01699-w</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9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Koski, E., Das, A., Hsueh, P-Y.S. (2025) ‘Towards responsible artificial intelligence in healthcare—getting real about real-world data and evidence’, </w:t>
      </w:r>
      <w:r w:rsidDel="00000000" w:rsidR="00000000" w:rsidRPr="00000000">
        <w:rPr>
          <w:rFonts w:ascii="Times New Roman" w:cs="Times New Roman" w:eastAsia="Times New Roman" w:hAnsi="Times New Roman"/>
          <w:i w:val="1"/>
          <w:iCs w:val="1"/>
          <w:sz w:val="24"/>
          <w:szCs w:val="24"/>
          <w:rtl w:val="0"/>
        </w:rPr>
        <w:t xml:space="preserve">Journal of the American Medical Informatics Association</w:t>
      </w:r>
      <w:r w:rsidDel="00000000" w:rsidR="00000000" w:rsidRPr="00000000">
        <w:rPr>
          <w:rFonts w:ascii="Times New Roman" w:cs="Times New Roman" w:eastAsia="Times New Roman" w:hAnsi="Times New Roman"/>
          <w:sz w:val="24"/>
          <w:szCs w:val="24"/>
          <w:rtl w:val="0"/>
        </w:rPr>
        <w:t xml:space="preserve">, 32(11), pp. 1746–1755.</w:t>
      </w:r>
    </w:p>
    <w:p w:rsidR="00000000" w:rsidDel="00000000" w:rsidP="00000000" w:rsidRDefault="00000000" w:rsidRPr="00000000" w14:paraId="00000191">
      <w:pPr>
        <w:spacing w:line="360" w:lineRule="auto"/>
        <w:rPr>
          <w:rFonts w:ascii="Times New Roman" w:cs="Times New Roman" w:eastAsia="Times New Roman" w:hAnsi="Times New Roman"/>
          <w:color w:val="1155cc"/>
          <w:sz w:val="24"/>
          <w:szCs w:val="24"/>
          <w:u w:val="single"/>
        </w:rPr>
      </w:pPr>
      <w:hyperlink r:id="rId21">
        <w:r w:rsidDel="00000000" w:rsidR="00000000" w:rsidRPr="00000000">
          <w:rPr>
            <w:rFonts w:ascii="Times New Roman" w:cs="Times New Roman" w:eastAsia="Times New Roman" w:hAnsi="Times New Roman"/>
            <w:color w:val="1155cc"/>
            <w:sz w:val="24"/>
            <w:szCs w:val="24"/>
            <w:u w:val="single"/>
            <w:rtl w:val="0"/>
          </w:rPr>
          <w:t xml:space="preserve">https://doi.org/10.1093/jamia/ocaf133</w:t>
        </w:r>
      </w:hyperlink>
      <w:r w:rsidDel="00000000" w:rsidR="00000000" w:rsidRPr="00000000">
        <w:rPr>
          <w:rtl w:val="0"/>
        </w:rPr>
      </w:r>
    </w:p>
    <w:p w:rsidR="00000000" w:rsidDel="00000000" w:rsidP="00000000" w:rsidRDefault="00000000" w:rsidRPr="00000000" w14:paraId="0000019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Morley, J., Floridi, L., Kinsey, L. and Elhalal, A. (2020) ‘From what to how: an initial review of publicly available AI ethics tools, methods and research to translate principles into practices’, </w:t>
      </w:r>
      <w:r w:rsidDel="00000000" w:rsidR="00000000" w:rsidRPr="00000000">
        <w:rPr>
          <w:rFonts w:ascii="Times New Roman" w:cs="Times New Roman" w:eastAsia="Times New Roman" w:hAnsi="Times New Roman"/>
          <w:i w:val="1"/>
          <w:iCs w:val="1"/>
          <w:sz w:val="24"/>
          <w:szCs w:val="24"/>
          <w:rtl w:val="0"/>
        </w:rPr>
        <w:t xml:space="preserve">Science and Engineering Ethics</w:t>
      </w:r>
      <w:r w:rsidDel="00000000" w:rsidR="00000000" w:rsidRPr="00000000">
        <w:rPr>
          <w:rFonts w:ascii="Times New Roman" w:cs="Times New Roman" w:eastAsia="Times New Roman" w:hAnsi="Times New Roman"/>
          <w:sz w:val="24"/>
          <w:szCs w:val="24"/>
          <w:rtl w:val="0"/>
        </w:rPr>
        <w:t xml:space="preserve">, 26, pp. 2141–2168.</w:t>
      </w:r>
    </w:p>
    <w:p w:rsidR="00000000" w:rsidDel="00000000" w:rsidP="00000000" w:rsidRDefault="00000000" w:rsidRPr="00000000" w14:paraId="00000193">
      <w:pPr>
        <w:spacing w:line="360" w:lineRule="auto"/>
        <w:rPr>
          <w:rFonts w:ascii="Times New Roman" w:cs="Times New Roman" w:eastAsia="Times New Roman" w:hAnsi="Times New Roman"/>
          <w:color w:val="1155cc"/>
          <w:sz w:val="24"/>
          <w:szCs w:val="24"/>
          <w:u w:val="single"/>
        </w:rPr>
      </w:pPr>
      <w:hyperlink r:id="rId22">
        <w:r w:rsidDel="00000000" w:rsidR="00000000" w:rsidRPr="00000000">
          <w:rPr>
            <w:rFonts w:ascii="Times New Roman" w:cs="Times New Roman" w:eastAsia="Times New Roman" w:hAnsi="Times New Roman"/>
            <w:color w:val="1155cc"/>
            <w:sz w:val="24"/>
            <w:szCs w:val="24"/>
            <w:u w:val="single"/>
            <w:rtl w:val="0"/>
          </w:rPr>
          <w:t xml:space="preserve">https://doi.org/10.1007/s11948-019-00165-5</w:t>
        </w:r>
      </w:hyperlink>
      <w:r w:rsidDel="00000000" w:rsidR="00000000" w:rsidRPr="00000000">
        <w:rPr>
          <w:rtl w:val="0"/>
        </w:rPr>
      </w:r>
    </w:p>
    <w:p w:rsidR="00000000" w:rsidDel="00000000" w:rsidP="00000000" w:rsidRDefault="00000000" w:rsidRPr="00000000" w14:paraId="0000019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Page, M.J., McKenzie, J.E., Bossuyt, P.M. et al. (2021) ‘The PRISMA 2020 statement: an updated guideline for reporting systematic reviews’, </w:t>
      </w:r>
      <w:r w:rsidDel="00000000" w:rsidR="00000000" w:rsidRPr="00000000">
        <w:rPr>
          <w:rFonts w:ascii="Times New Roman" w:cs="Times New Roman" w:eastAsia="Times New Roman" w:hAnsi="Times New Roman"/>
          <w:i w:val="1"/>
          <w:iCs w:val="1"/>
          <w:sz w:val="24"/>
          <w:szCs w:val="24"/>
          <w:rtl w:val="0"/>
        </w:rPr>
        <w:t xml:space="preserve">BMJ</w:t>
      </w:r>
      <w:r w:rsidDel="00000000" w:rsidR="00000000" w:rsidRPr="00000000">
        <w:rPr>
          <w:rFonts w:ascii="Times New Roman" w:cs="Times New Roman" w:eastAsia="Times New Roman" w:hAnsi="Times New Roman"/>
          <w:sz w:val="24"/>
          <w:szCs w:val="24"/>
          <w:rtl w:val="0"/>
        </w:rPr>
        <w:t xml:space="preserve">, 372, n71.</w:t>
      </w:r>
    </w:p>
    <w:p w:rsidR="00000000" w:rsidDel="00000000" w:rsidP="00000000" w:rsidRDefault="00000000" w:rsidRPr="00000000" w14:paraId="00000195">
      <w:pPr>
        <w:spacing w:line="360" w:lineRule="auto"/>
        <w:rPr>
          <w:rFonts w:ascii="Times New Roman" w:cs="Times New Roman" w:eastAsia="Times New Roman" w:hAnsi="Times New Roman"/>
          <w:color w:val="1155cc"/>
          <w:sz w:val="24"/>
          <w:szCs w:val="24"/>
          <w:u w:val="single"/>
        </w:rPr>
      </w:pPr>
      <w:hyperlink r:id="rId23">
        <w:r w:rsidDel="00000000" w:rsidR="00000000" w:rsidRPr="00000000">
          <w:rPr>
            <w:rFonts w:ascii="Times New Roman" w:cs="Times New Roman" w:eastAsia="Times New Roman" w:hAnsi="Times New Roman"/>
            <w:color w:val="1155cc"/>
            <w:sz w:val="24"/>
            <w:szCs w:val="24"/>
            <w:u w:val="single"/>
            <w:rtl w:val="0"/>
          </w:rPr>
          <w:t xml:space="preserve">https://doi.org/10.1136/bmj.n71</w:t>
        </w:r>
      </w:hyperlink>
      <w:r w:rsidDel="00000000" w:rsidR="00000000" w:rsidRPr="00000000">
        <w:rPr>
          <w:rtl w:val="0"/>
        </w:rPr>
      </w:r>
    </w:p>
    <w:p w:rsidR="00000000" w:rsidDel="00000000" w:rsidP="00000000" w:rsidRDefault="00000000" w:rsidRPr="00000000" w14:paraId="0000019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Pappas, I.O. and Woodside, A.G. (2021) ‘Fuzzy-set Qualitative Comparative Analysis (fsQCA): guidelines for research practice in Information Systems and marketing’, </w:t>
      </w:r>
      <w:r w:rsidDel="00000000" w:rsidR="00000000" w:rsidRPr="00000000">
        <w:rPr>
          <w:rFonts w:ascii="Times New Roman" w:cs="Times New Roman" w:eastAsia="Times New Roman" w:hAnsi="Times New Roman"/>
          <w:i w:val="1"/>
          <w:iCs w:val="1"/>
          <w:sz w:val="24"/>
          <w:szCs w:val="24"/>
          <w:rtl w:val="0"/>
        </w:rPr>
        <w:t xml:space="preserve">International Journal of Information Management</w:t>
      </w:r>
      <w:r w:rsidDel="00000000" w:rsidR="00000000" w:rsidRPr="00000000">
        <w:rPr>
          <w:rFonts w:ascii="Times New Roman" w:cs="Times New Roman" w:eastAsia="Times New Roman" w:hAnsi="Times New Roman"/>
          <w:sz w:val="24"/>
          <w:szCs w:val="24"/>
          <w:rtl w:val="0"/>
        </w:rPr>
        <w:t xml:space="preserve">, 58, 102310.</w:t>
      </w:r>
    </w:p>
    <w:p w:rsidR="00000000" w:rsidDel="00000000" w:rsidP="00000000" w:rsidRDefault="00000000" w:rsidRPr="00000000" w14:paraId="00000197">
      <w:pPr>
        <w:spacing w:line="360" w:lineRule="auto"/>
        <w:rPr>
          <w:rFonts w:ascii="Times New Roman" w:cs="Times New Roman" w:eastAsia="Times New Roman" w:hAnsi="Times New Roman"/>
          <w:color w:val="1155cc"/>
          <w:sz w:val="24"/>
          <w:szCs w:val="24"/>
          <w:u w:val="single"/>
        </w:rPr>
      </w:pPr>
      <w:hyperlink r:id="rId24">
        <w:r w:rsidDel="00000000" w:rsidR="00000000" w:rsidRPr="00000000">
          <w:rPr>
            <w:rFonts w:ascii="Times New Roman" w:cs="Times New Roman" w:eastAsia="Times New Roman" w:hAnsi="Times New Roman"/>
            <w:color w:val="1155cc"/>
            <w:sz w:val="24"/>
            <w:szCs w:val="24"/>
            <w:u w:val="single"/>
            <w:rtl w:val="0"/>
          </w:rPr>
          <w:t xml:space="preserve">https://doi.org/10.1016/j.ijinfomgt.2021.102310</w:t>
        </w:r>
      </w:hyperlink>
      <w:r w:rsidDel="00000000" w:rsidR="00000000" w:rsidRPr="00000000">
        <w:rPr>
          <w:rtl w:val="0"/>
        </w:rPr>
      </w:r>
    </w:p>
    <w:p w:rsidR="00000000" w:rsidDel="00000000" w:rsidP="00000000" w:rsidRDefault="00000000" w:rsidRPr="00000000" w14:paraId="0000019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Ragin, C.C. (2008) </w:t>
      </w:r>
      <w:r w:rsidDel="00000000" w:rsidR="00000000" w:rsidRPr="00000000">
        <w:rPr>
          <w:rFonts w:ascii="Times New Roman" w:cs="Times New Roman" w:eastAsia="Times New Roman" w:hAnsi="Times New Roman"/>
          <w:i w:val="1"/>
          <w:iCs w:val="1"/>
          <w:sz w:val="24"/>
          <w:szCs w:val="24"/>
          <w:rtl w:val="0"/>
        </w:rPr>
        <w:t xml:space="preserve">Redesigning Social Inquiry: Fuzzy Sets and Beyond</w:t>
      </w:r>
      <w:r w:rsidDel="00000000" w:rsidR="00000000" w:rsidRPr="00000000">
        <w:rPr>
          <w:rFonts w:ascii="Times New Roman" w:cs="Times New Roman" w:eastAsia="Times New Roman" w:hAnsi="Times New Roman"/>
          <w:sz w:val="24"/>
          <w:szCs w:val="24"/>
          <w:rtl w:val="0"/>
        </w:rPr>
        <w:t xml:space="preserve">. Chicago: University of Chicago Press.</w:t>
      </w:r>
    </w:p>
    <w:p w:rsidR="00000000" w:rsidDel="00000000" w:rsidP="00000000" w:rsidRDefault="00000000" w:rsidRPr="00000000" w14:paraId="0000019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Rihoux, B. and Ragin, C.C. (2009) </w:t>
      </w:r>
      <w:r w:rsidDel="00000000" w:rsidR="00000000" w:rsidRPr="00000000">
        <w:rPr>
          <w:rFonts w:ascii="Times New Roman" w:cs="Times New Roman" w:eastAsia="Times New Roman" w:hAnsi="Times New Roman"/>
          <w:i w:val="1"/>
          <w:iCs w:val="1"/>
          <w:sz w:val="24"/>
          <w:szCs w:val="24"/>
          <w:rtl w:val="0"/>
        </w:rPr>
        <w:t xml:space="preserve">Configurational Comparative Methods: Qualitative Comparative Analysis (QCA) and Related Techniques</w:t>
      </w:r>
      <w:r w:rsidDel="00000000" w:rsidR="00000000" w:rsidRPr="00000000">
        <w:rPr>
          <w:rFonts w:ascii="Times New Roman" w:cs="Times New Roman" w:eastAsia="Times New Roman" w:hAnsi="Times New Roman"/>
          <w:sz w:val="24"/>
          <w:szCs w:val="24"/>
          <w:rtl w:val="0"/>
        </w:rPr>
        <w:t xml:space="preserve">. London: Sage.</w:t>
      </w:r>
    </w:p>
    <w:p w:rsidR="00000000" w:rsidDel="00000000" w:rsidP="00000000" w:rsidRDefault="00000000" w:rsidRPr="00000000" w14:paraId="0000019A">
      <w:pPr>
        <w:spacing w:line="360" w:lineRule="auto"/>
        <w:rPr/>
      </w:pPr>
      <w:r w:rsidDel="00000000" w:rsidR="00000000" w:rsidRPr="00000000">
        <w:rPr>
          <w:rFonts w:ascii="Times New Roman" w:cs="Times New Roman" w:eastAsia="Times New Roman" w:hAnsi="Times New Roman"/>
          <w:sz w:val="24"/>
          <w:szCs w:val="24"/>
          <w:rtl w:val="0"/>
        </w:rPr>
        <w:t xml:space="preserve">Rozenblit, L., Price, A., Solomonides, A. et al. (2025) ‘Toward responsible AI governance: Balancing multi-stakeholder perspectives on AI in healthcare’, </w:t>
      </w:r>
      <w:r w:rsidDel="00000000" w:rsidR="00000000" w:rsidRPr="00000000">
        <w:rPr>
          <w:rFonts w:ascii="Times New Roman" w:cs="Times New Roman" w:eastAsia="Times New Roman" w:hAnsi="Times New Roman"/>
          <w:i w:val="1"/>
          <w:iCs w:val="1"/>
          <w:sz w:val="24"/>
          <w:szCs w:val="24"/>
          <w:rtl w:val="0"/>
        </w:rPr>
        <w:t xml:space="preserve">International Journal of Medical Informatics</w:t>
      </w:r>
      <w:r w:rsidDel="00000000" w:rsidR="00000000" w:rsidRPr="00000000">
        <w:rPr>
          <w:rFonts w:ascii="Times New Roman" w:cs="Times New Roman" w:eastAsia="Times New Roman" w:hAnsi="Times New Roman"/>
          <w:sz w:val="24"/>
          <w:szCs w:val="24"/>
          <w:rtl w:val="0"/>
        </w:rPr>
        <w:t xml:space="preserve">, 203, 106015.</w:t>
      </w:r>
      <w:hyperlink r:id="rId25">
        <w:r w:rsidDel="00000000" w:rsidR="00000000" w:rsidRPr="00000000">
          <w:rPr>
            <w:rFonts w:ascii="Times New Roman" w:cs="Times New Roman" w:eastAsia="Times New Roman" w:hAnsi="Times New Roman"/>
            <w:sz w:val="24"/>
            <w:szCs w:val="24"/>
            <w:rtl w:val="0"/>
          </w:rPr>
          <w:t xml:space="preserve"> </w:t>
        </w:r>
      </w:hyperlink>
      <w:r w:rsidDel="00000000" w:rsidR="00000000" w:rsidRPr="00000000">
        <w:rPr>
          <w:rtl w:val="0"/>
        </w:rPr>
      </w:r>
    </w:p>
    <w:p w:rsidR="00000000" w:rsidDel="00000000" w:rsidP="00000000" w:rsidRDefault="00000000" w:rsidRPr="00000000" w14:paraId="0000019B">
      <w:pPr>
        <w:spacing w:line="360" w:lineRule="auto"/>
        <w:rPr>
          <w:rFonts w:ascii="Times New Roman" w:cs="Times New Roman" w:eastAsia="Times New Roman" w:hAnsi="Times New Roman"/>
          <w:color w:val="1155cc"/>
          <w:sz w:val="24"/>
          <w:szCs w:val="24"/>
          <w:u w:val="single"/>
        </w:rPr>
      </w:pPr>
      <w:hyperlink r:id="rId26">
        <w:r w:rsidDel="00000000" w:rsidR="00000000" w:rsidRPr="00000000">
          <w:rPr>
            <w:rFonts w:ascii="Times New Roman" w:cs="Times New Roman" w:eastAsia="Times New Roman" w:hAnsi="Times New Roman"/>
            <w:color w:val="1155cc"/>
            <w:sz w:val="24"/>
            <w:szCs w:val="24"/>
            <w:u w:val="single"/>
            <w:rtl w:val="0"/>
          </w:rPr>
          <w:t xml:space="preserve">https://doi.org/10.1016/j.ijmedinf.2025.106015</w:t>
        </w:r>
      </w:hyperlink>
      <w:r w:rsidDel="00000000" w:rsidR="00000000" w:rsidRPr="00000000">
        <w:rPr>
          <w:rtl w:val="0"/>
        </w:rPr>
      </w:r>
    </w:p>
    <w:p w:rsidR="00000000" w:rsidDel="00000000" w:rsidP="00000000" w:rsidRDefault="00000000" w:rsidRPr="00000000" w14:paraId="0000019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Ronquillo, C.E., Booth, R.G., Vittor, W.A. et al. (2024) ‘Mapping trust in nurses with dimensions of trustworthy artificial intelligence: a scoping review’, </w:t>
      </w:r>
      <w:r w:rsidDel="00000000" w:rsidR="00000000" w:rsidRPr="00000000">
        <w:rPr>
          <w:rFonts w:ascii="Times New Roman" w:cs="Times New Roman" w:eastAsia="Times New Roman" w:hAnsi="Times New Roman"/>
          <w:i w:val="1"/>
          <w:iCs w:val="1"/>
          <w:sz w:val="24"/>
          <w:szCs w:val="24"/>
          <w:rtl w:val="0"/>
        </w:rPr>
        <w:t xml:space="preserve">Studies in Health Technology and Informatics</w:t>
      </w:r>
      <w:r w:rsidDel="00000000" w:rsidR="00000000" w:rsidRPr="00000000">
        <w:rPr>
          <w:rFonts w:ascii="Times New Roman" w:cs="Times New Roman" w:eastAsia="Times New Roman" w:hAnsi="Times New Roman"/>
          <w:sz w:val="24"/>
          <w:szCs w:val="24"/>
          <w:rtl w:val="0"/>
        </w:rPr>
        <w:t xml:space="preserve">, 315, pp. 717–718. </w:t>
      </w:r>
    </w:p>
    <w:p w:rsidR="00000000" w:rsidDel="00000000" w:rsidP="00000000" w:rsidRDefault="00000000" w:rsidRPr="00000000" w14:paraId="0000019D">
      <w:pPr>
        <w:spacing w:line="360" w:lineRule="auto"/>
        <w:rPr>
          <w:rFonts w:ascii="Times New Roman" w:cs="Times New Roman" w:eastAsia="Times New Roman" w:hAnsi="Times New Roman"/>
          <w:sz w:val="24"/>
          <w:szCs w:val="24"/>
        </w:rPr>
      </w:pPr>
      <w:hyperlink r:id="rId27">
        <w:r w:rsidDel="00000000" w:rsidR="00000000" w:rsidRPr="00000000">
          <w:rPr>
            <w:rFonts w:ascii="Times New Roman" w:cs="Times New Roman" w:eastAsia="Times New Roman" w:hAnsi="Times New Roman"/>
            <w:color w:val="1155cc"/>
            <w:sz w:val="24"/>
            <w:szCs w:val="24"/>
            <w:u w:val="single"/>
            <w:rtl w:val="0"/>
          </w:rPr>
          <w:t xml:space="preserve">https://doi.org/10.3233/SHTI240295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9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Rousseau, D.M. (1995) </w:t>
      </w:r>
      <w:r w:rsidDel="00000000" w:rsidR="00000000" w:rsidRPr="00000000">
        <w:rPr>
          <w:rFonts w:ascii="Times New Roman" w:cs="Times New Roman" w:eastAsia="Times New Roman" w:hAnsi="Times New Roman"/>
          <w:i w:val="1"/>
          <w:iCs w:val="1"/>
          <w:sz w:val="24"/>
          <w:szCs w:val="24"/>
          <w:rtl w:val="0"/>
        </w:rPr>
        <w:t xml:space="preserve">Psychological Contracts in Organizations: Understanding Written and Unwritten Agreements</w:t>
      </w:r>
      <w:r w:rsidDel="00000000" w:rsidR="00000000" w:rsidRPr="00000000">
        <w:rPr>
          <w:rFonts w:ascii="Times New Roman" w:cs="Times New Roman" w:eastAsia="Times New Roman" w:hAnsi="Times New Roman"/>
          <w:sz w:val="24"/>
          <w:szCs w:val="24"/>
          <w:rtl w:val="0"/>
        </w:rPr>
        <w:t xml:space="preserve">. Thousand Oaks, CA: Sage.</w:t>
      </w:r>
    </w:p>
    <w:p w:rsidR="00000000" w:rsidDel="00000000" w:rsidP="00000000" w:rsidRDefault="00000000" w:rsidRPr="00000000" w14:paraId="0000019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Saunders, M.N.K., Lewis, P. and Thornhill, A. (2023) </w:t>
      </w:r>
      <w:r w:rsidDel="00000000" w:rsidR="00000000" w:rsidRPr="00000000">
        <w:rPr>
          <w:rFonts w:ascii="Times New Roman" w:cs="Times New Roman" w:eastAsia="Times New Roman" w:hAnsi="Times New Roman"/>
          <w:i w:val="1"/>
          <w:iCs w:val="1"/>
          <w:sz w:val="24"/>
          <w:szCs w:val="24"/>
          <w:rtl w:val="0"/>
        </w:rPr>
        <w:t xml:space="preserve">Research Methods for Business Students</w:t>
      </w:r>
      <w:r w:rsidDel="00000000" w:rsidR="00000000" w:rsidRPr="00000000">
        <w:rPr>
          <w:rFonts w:ascii="Times New Roman" w:cs="Times New Roman" w:eastAsia="Times New Roman" w:hAnsi="Times New Roman"/>
          <w:sz w:val="24"/>
          <w:szCs w:val="24"/>
          <w:rtl w:val="0"/>
        </w:rPr>
        <w:t xml:space="preserve">. 9th edn. Harlow: Pearson.</w:t>
      </w:r>
    </w:p>
    <w:p w:rsidR="00000000" w:rsidDel="00000000" w:rsidP="00000000" w:rsidRDefault="00000000" w:rsidRPr="00000000" w14:paraId="000001A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Stevens, A.F. and Stetson, P. (2023) ‘Theory of trust and acceptance of artificial intelligence technology (TrAAIT): an instrument to assess clinician trust and acceptance of artificial intelligence’, </w:t>
      </w:r>
      <w:r w:rsidDel="00000000" w:rsidR="00000000" w:rsidRPr="00000000">
        <w:rPr>
          <w:rFonts w:ascii="Times New Roman" w:cs="Times New Roman" w:eastAsia="Times New Roman" w:hAnsi="Times New Roman"/>
          <w:i w:val="1"/>
          <w:iCs w:val="1"/>
          <w:sz w:val="24"/>
          <w:szCs w:val="24"/>
          <w:rtl w:val="0"/>
        </w:rPr>
        <w:t xml:space="preserve">Journal of Biomedical Informatics</w:t>
      </w:r>
      <w:r w:rsidDel="00000000" w:rsidR="00000000" w:rsidRPr="00000000">
        <w:rPr>
          <w:rFonts w:ascii="Times New Roman" w:cs="Times New Roman" w:eastAsia="Times New Roman" w:hAnsi="Times New Roman"/>
          <w:sz w:val="24"/>
          <w:szCs w:val="24"/>
          <w:rtl w:val="0"/>
        </w:rPr>
        <w:t xml:space="preserve">, 148, 104550.</w:t>
      </w:r>
    </w:p>
    <w:p w:rsidR="00000000" w:rsidDel="00000000" w:rsidP="00000000" w:rsidRDefault="00000000" w:rsidRPr="00000000" w14:paraId="000001A1">
      <w:pPr>
        <w:spacing w:line="360" w:lineRule="auto"/>
        <w:rPr>
          <w:rFonts w:ascii="Times New Roman" w:cs="Times New Roman" w:eastAsia="Times New Roman" w:hAnsi="Times New Roman"/>
          <w:color w:val="1155cc"/>
          <w:sz w:val="24"/>
          <w:szCs w:val="24"/>
          <w:u w:val="single"/>
        </w:rPr>
      </w:pPr>
      <w:hyperlink r:id="rId28">
        <w:r w:rsidDel="00000000" w:rsidR="00000000" w:rsidRPr="00000000">
          <w:rPr>
            <w:rFonts w:ascii="Times New Roman" w:cs="Times New Roman" w:eastAsia="Times New Roman" w:hAnsi="Times New Roman"/>
            <w:color w:val="1155cc"/>
            <w:sz w:val="24"/>
            <w:szCs w:val="24"/>
            <w:u w:val="single"/>
            <w:rtl w:val="0"/>
          </w:rPr>
          <w:t xml:space="preserve">https://doi.org/10.1016/j.jbi.2023.104550</w:t>
        </w:r>
      </w:hyperlink>
      <w:r w:rsidDel="00000000" w:rsidR="00000000" w:rsidRPr="00000000">
        <w:rPr>
          <w:rtl w:val="0"/>
        </w:rPr>
      </w:r>
    </w:p>
    <w:p w:rsidR="00000000" w:rsidDel="00000000" w:rsidP="00000000" w:rsidRDefault="00000000" w:rsidRPr="00000000" w14:paraId="000001A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Strauss, A. (1995) ‘Notes on the nature and development of general theories’, </w:t>
      </w:r>
      <w:r w:rsidDel="00000000" w:rsidR="00000000" w:rsidRPr="00000000">
        <w:rPr>
          <w:rFonts w:ascii="Times New Roman" w:cs="Times New Roman" w:eastAsia="Times New Roman" w:hAnsi="Times New Roman"/>
          <w:i w:val="1"/>
          <w:iCs w:val="1"/>
          <w:sz w:val="24"/>
          <w:szCs w:val="24"/>
          <w:rtl w:val="0"/>
        </w:rPr>
        <w:t xml:space="preserve">Qualitative Inquiry</w:t>
      </w:r>
      <w:r w:rsidDel="00000000" w:rsidR="00000000" w:rsidRPr="00000000">
        <w:rPr>
          <w:rFonts w:ascii="Times New Roman" w:cs="Times New Roman" w:eastAsia="Times New Roman" w:hAnsi="Times New Roman"/>
          <w:sz w:val="24"/>
          <w:szCs w:val="24"/>
          <w:rtl w:val="0"/>
        </w:rPr>
        <w:t xml:space="preserve">, 1(1), pp. 7–18. https://doi.org/10.1177/107780049500100102</w:t>
      </w:r>
    </w:p>
    <w:p w:rsidR="00000000" w:rsidDel="00000000" w:rsidP="00000000" w:rsidRDefault="00000000" w:rsidRPr="00000000" w14:paraId="000001A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 Y., Jiang, Z., Meng, R., Lu, G. and Chen, C. (2023) ‘The effect of organizational justice on young nurses’ turnover intention: the mediating roles of organizational climate and emotional labour’, </w:t>
      </w:r>
      <w:r w:rsidDel="00000000" w:rsidR="00000000" w:rsidRPr="00000000">
        <w:rPr>
          <w:rFonts w:ascii="Times New Roman" w:cs="Times New Roman" w:eastAsia="Times New Roman" w:hAnsi="Times New Roman"/>
          <w:i w:val="1"/>
          <w:iCs w:val="1"/>
          <w:sz w:val="24"/>
          <w:szCs w:val="24"/>
          <w:rtl w:val="0"/>
        </w:rPr>
        <w:t xml:space="preserve">Nurse Education in Practice</w:t>
      </w:r>
      <w:r w:rsidDel="00000000" w:rsidR="00000000" w:rsidRPr="00000000">
        <w:rPr>
          <w:rFonts w:ascii="Times New Roman" w:cs="Times New Roman" w:eastAsia="Times New Roman" w:hAnsi="Times New Roman"/>
          <w:sz w:val="24"/>
          <w:szCs w:val="24"/>
          <w:rtl w:val="0"/>
        </w:rPr>
        <w:t xml:space="preserve">, 72, 103723.</w:t>
      </w:r>
    </w:p>
    <w:p w:rsidR="00000000" w:rsidDel="00000000" w:rsidP="00000000" w:rsidRDefault="00000000" w:rsidRPr="00000000" w14:paraId="000001A4">
      <w:pPr>
        <w:spacing w:line="360" w:lineRule="auto"/>
        <w:rPr>
          <w:rFonts w:ascii="Times New Roman" w:cs="Times New Roman" w:eastAsia="Times New Roman" w:hAnsi="Times New Roman"/>
          <w:color w:val="1155cc"/>
          <w:sz w:val="24"/>
          <w:szCs w:val="24"/>
          <w:u w:val="single"/>
        </w:rPr>
      </w:pPr>
      <w:hyperlink r:id="rId29">
        <w:r w:rsidDel="00000000" w:rsidR="00000000" w:rsidRPr="00000000">
          <w:rPr>
            <w:rFonts w:ascii="Times New Roman" w:cs="Times New Roman" w:eastAsia="Times New Roman" w:hAnsi="Times New Roman"/>
            <w:color w:val="1155cc"/>
            <w:sz w:val="24"/>
            <w:szCs w:val="24"/>
            <w:u w:val="single"/>
            <w:rtl w:val="0"/>
          </w:rPr>
          <w:t xml:space="preserve">https://doi.org/10.1016/j.nepr.2023.103723</w:t>
        </w:r>
      </w:hyperlink>
      <w:r w:rsidDel="00000000" w:rsidR="00000000" w:rsidRPr="00000000">
        <w:rPr>
          <w:rtl w:val="0"/>
        </w:rPr>
      </w:r>
    </w:p>
    <w:p w:rsidR="00000000" w:rsidDel="00000000" w:rsidP="00000000" w:rsidRDefault="00000000" w:rsidRPr="00000000" w14:paraId="000001A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Teece, D.J. (2007) ‘Explicating dynamic capabilities: the nature and microfoundations of (sustainable) enterprise performance’, </w:t>
      </w:r>
      <w:r w:rsidDel="00000000" w:rsidR="00000000" w:rsidRPr="00000000">
        <w:rPr>
          <w:rFonts w:ascii="Times New Roman" w:cs="Times New Roman" w:eastAsia="Times New Roman" w:hAnsi="Times New Roman"/>
          <w:i w:val="1"/>
          <w:iCs w:val="1"/>
          <w:sz w:val="24"/>
          <w:szCs w:val="24"/>
          <w:rtl w:val="0"/>
        </w:rPr>
        <w:t xml:space="preserve">Strategic Management Journal</w:t>
      </w:r>
      <w:r w:rsidDel="00000000" w:rsidR="00000000" w:rsidRPr="00000000">
        <w:rPr>
          <w:rFonts w:ascii="Times New Roman" w:cs="Times New Roman" w:eastAsia="Times New Roman" w:hAnsi="Times New Roman"/>
          <w:sz w:val="24"/>
          <w:szCs w:val="24"/>
          <w:rtl w:val="0"/>
        </w:rPr>
        <w:t xml:space="preserve">, 28(13), pp.</w:t>
      </w:r>
    </w:p>
    <w:p w:rsidR="00000000" w:rsidDel="00000000" w:rsidP="00000000" w:rsidRDefault="00000000" w:rsidRPr="00000000" w14:paraId="000001A6">
      <w:pPr>
        <w:spacing w:line="360" w:lineRule="auto"/>
        <w:rPr/>
      </w:pPr>
      <w:r w:rsidDel="00000000" w:rsidR="00000000" w:rsidRPr="00000000">
        <w:rPr>
          <w:rFonts w:ascii="Times New Roman" w:cs="Times New Roman" w:eastAsia="Times New Roman" w:hAnsi="Times New Roman"/>
          <w:sz w:val="24"/>
          <w:szCs w:val="24"/>
          <w:rtl w:val="0"/>
        </w:rPr>
        <w:t xml:space="preserve">1319–1350.</w:t>
      </w:r>
      <w:hyperlink r:id="rId30">
        <w:r w:rsidDel="00000000" w:rsidR="00000000" w:rsidRPr="00000000">
          <w:rPr>
            <w:rFonts w:ascii="Times New Roman" w:cs="Times New Roman" w:eastAsia="Times New Roman" w:hAnsi="Times New Roman"/>
            <w:sz w:val="24"/>
            <w:szCs w:val="24"/>
            <w:rtl w:val="0"/>
          </w:rPr>
          <w:t xml:space="preserve"> </w:t>
        </w:r>
      </w:hyperlink>
      <w:r w:rsidDel="00000000" w:rsidR="00000000" w:rsidRPr="00000000">
        <w:rPr>
          <w:rtl w:val="0"/>
        </w:rPr>
      </w:r>
    </w:p>
    <w:p w:rsidR="00000000" w:rsidDel="00000000" w:rsidP="00000000" w:rsidRDefault="00000000" w:rsidRPr="00000000" w14:paraId="000001A7">
      <w:pPr>
        <w:spacing w:line="360" w:lineRule="auto"/>
        <w:rPr>
          <w:rFonts w:ascii="Times New Roman" w:cs="Times New Roman" w:eastAsia="Times New Roman" w:hAnsi="Times New Roman"/>
          <w:color w:val="1155cc"/>
          <w:sz w:val="24"/>
          <w:szCs w:val="24"/>
          <w:u w:val="single"/>
        </w:rPr>
      </w:pPr>
      <w:hyperlink r:id="rId31">
        <w:r w:rsidDel="00000000" w:rsidR="00000000" w:rsidRPr="00000000">
          <w:rPr>
            <w:rFonts w:ascii="Times New Roman" w:cs="Times New Roman" w:eastAsia="Times New Roman" w:hAnsi="Times New Roman"/>
            <w:color w:val="1155cc"/>
            <w:sz w:val="24"/>
            <w:szCs w:val="24"/>
            <w:u w:val="single"/>
            <w:rtl w:val="0"/>
          </w:rPr>
          <w:t xml:space="preserve">https://doi.org/10.1002/smj.640</w:t>
        </w:r>
      </w:hyperlink>
      <w:r w:rsidDel="00000000" w:rsidR="00000000" w:rsidRPr="00000000">
        <w:rPr>
          <w:rtl w:val="0"/>
        </w:rPr>
      </w:r>
    </w:p>
    <w:p w:rsidR="00000000" w:rsidDel="00000000" w:rsidP="00000000" w:rsidRDefault="00000000" w:rsidRPr="00000000" w14:paraId="000001A8">
      <w:pPr>
        <w:spacing w:line="360" w:lineRule="auto"/>
        <w:rPr/>
      </w:pPr>
      <w:r w:rsidDel="00000000" w:rsidR="00000000" w:rsidRPr="00000000">
        <w:rPr>
          <w:rFonts w:ascii="Times New Roman" w:cs="Times New Roman" w:eastAsia="Times New Roman" w:hAnsi="Times New Roman"/>
          <w:sz w:val="24"/>
          <w:szCs w:val="24"/>
          <w:rtl w:val="0"/>
        </w:rPr>
        <w:t xml:space="preserve">Teece, D.J., Peteraf, M. and Leih, S. (2016) ‘Dynamic capabilities and organizational agility: risk, uncertainty, and strategy in the innovation economy’, </w:t>
      </w:r>
      <w:r w:rsidDel="00000000" w:rsidR="00000000" w:rsidRPr="00000000">
        <w:rPr>
          <w:rFonts w:ascii="Times New Roman" w:cs="Times New Roman" w:eastAsia="Times New Roman" w:hAnsi="Times New Roman"/>
          <w:i w:val="1"/>
          <w:iCs w:val="1"/>
          <w:sz w:val="24"/>
          <w:szCs w:val="24"/>
          <w:rtl w:val="0"/>
        </w:rPr>
        <w:t xml:space="preserve">California Management Review</w:t>
      </w:r>
      <w:r w:rsidDel="00000000" w:rsidR="00000000" w:rsidRPr="00000000">
        <w:rPr>
          <w:rFonts w:ascii="Times New Roman" w:cs="Times New Roman" w:eastAsia="Times New Roman" w:hAnsi="Times New Roman"/>
          <w:sz w:val="24"/>
          <w:szCs w:val="24"/>
          <w:rtl w:val="0"/>
        </w:rPr>
        <w:t xml:space="preserve">, 58(4), pp. 13–35.</w:t>
      </w:r>
      <w:hyperlink r:id="rId32">
        <w:r w:rsidDel="00000000" w:rsidR="00000000" w:rsidRPr="00000000">
          <w:rPr>
            <w:rFonts w:ascii="Times New Roman" w:cs="Times New Roman" w:eastAsia="Times New Roman" w:hAnsi="Times New Roman"/>
            <w:sz w:val="24"/>
            <w:szCs w:val="24"/>
            <w:rtl w:val="0"/>
          </w:rPr>
          <w:t xml:space="preserve"> </w:t>
        </w:r>
      </w:hyperlink>
      <w:r w:rsidDel="00000000" w:rsidR="00000000" w:rsidRPr="00000000">
        <w:rPr>
          <w:rtl w:val="0"/>
        </w:rPr>
      </w:r>
    </w:p>
    <w:p w:rsidR="00000000" w:rsidDel="00000000" w:rsidP="00000000" w:rsidRDefault="00000000" w:rsidRPr="00000000" w14:paraId="000001A9">
      <w:pPr>
        <w:spacing w:line="360" w:lineRule="auto"/>
        <w:rPr>
          <w:rFonts w:ascii="Times New Roman" w:cs="Times New Roman" w:eastAsia="Times New Roman" w:hAnsi="Times New Roman"/>
          <w:color w:val="1155cc"/>
          <w:sz w:val="24"/>
          <w:szCs w:val="24"/>
          <w:u w:val="single"/>
        </w:rPr>
      </w:pPr>
      <w:hyperlink r:id="rId33">
        <w:r w:rsidDel="00000000" w:rsidR="00000000" w:rsidRPr="00000000">
          <w:rPr>
            <w:rFonts w:ascii="Times New Roman" w:cs="Times New Roman" w:eastAsia="Times New Roman" w:hAnsi="Times New Roman"/>
            <w:color w:val="1155cc"/>
            <w:sz w:val="24"/>
            <w:szCs w:val="24"/>
            <w:u w:val="single"/>
            <w:rtl w:val="0"/>
          </w:rPr>
          <w:t xml:space="preserve">https://doi.org/10.1525/cmr.2016.58.4.13</w:t>
        </w:r>
      </w:hyperlink>
      <w:r w:rsidDel="00000000" w:rsidR="00000000" w:rsidRPr="00000000">
        <w:rPr>
          <w:rtl w:val="0"/>
        </w:rPr>
      </w:r>
    </w:p>
    <w:p w:rsidR="00000000" w:rsidDel="00000000" w:rsidP="00000000" w:rsidRDefault="00000000" w:rsidRPr="00000000" w14:paraId="000001A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Thomas, J. and Harden, A. (2008) ‘Methods for the thematic synthesis of qualitative research in systematic reviews’, </w:t>
      </w:r>
      <w:r w:rsidDel="00000000" w:rsidR="00000000" w:rsidRPr="00000000">
        <w:rPr>
          <w:rFonts w:ascii="Times New Roman" w:cs="Times New Roman" w:eastAsia="Times New Roman" w:hAnsi="Times New Roman"/>
          <w:i w:val="1"/>
          <w:iCs w:val="1"/>
          <w:sz w:val="24"/>
          <w:szCs w:val="24"/>
          <w:rtl w:val="0"/>
        </w:rPr>
        <w:t xml:space="preserve">BMC Medical Research Methodology</w:t>
      </w:r>
      <w:r w:rsidDel="00000000" w:rsidR="00000000" w:rsidRPr="00000000">
        <w:rPr>
          <w:rFonts w:ascii="Times New Roman" w:cs="Times New Roman" w:eastAsia="Times New Roman" w:hAnsi="Times New Roman"/>
          <w:sz w:val="24"/>
          <w:szCs w:val="24"/>
          <w:rtl w:val="0"/>
        </w:rPr>
        <w:t xml:space="preserve">, 8, 45.</w:t>
      </w:r>
    </w:p>
    <w:p w:rsidR="00000000" w:rsidDel="00000000" w:rsidP="00000000" w:rsidRDefault="00000000" w:rsidRPr="00000000" w14:paraId="000001AB">
      <w:pPr>
        <w:spacing w:line="360" w:lineRule="auto"/>
        <w:rPr>
          <w:rFonts w:ascii="Times New Roman" w:cs="Times New Roman" w:eastAsia="Times New Roman" w:hAnsi="Times New Roman"/>
          <w:color w:val="1155cc"/>
          <w:sz w:val="24"/>
          <w:szCs w:val="24"/>
          <w:u w:val="single"/>
        </w:rPr>
      </w:pPr>
      <w:hyperlink r:id="rId34">
        <w:r w:rsidDel="00000000" w:rsidR="00000000" w:rsidRPr="00000000">
          <w:rPr>
            <w:rFonts w:ascii="Times New Roman" w:cs="Times New Roman" w:eastAsia="Times New Roman" w:hAnsi="Times New Roman"/>
            <w:color w:val="1155cc"/>
            <w:sz w:val="24"/>
            <w:szCs w:val="24"/>
            <w:u w:val="single"/>
            <w:rtl w:val="0"/>
          </w:rPr>
          <w:t xml:space="preserve">https://doi.org/10.1186/1471-2288-8-45</w:t>
        </w:r>
      </w:hyperlink>
      <w:r w:rsidDel="00000000" w:rsidR="00000000" w:rsidRPr="00000000">
        <w:rPr>
          <w:rtl w:val="0"/>
        </w:rPr>
      </w:r>
    </w:p>
    <w:p w:rsidR="00000000" w:rsidDel="00000000" w:rsidP="00000000" w:rsidRDefault="00000000" w:rsidRPr="00000000" w14:paraId="000001A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Tun, H.M., Rahman, H.A., Naing, L. and Malik, O.A. (2025) ‘Trust in artificial intelligence-based clinical decision support systems among health care workers: systematic review’, </w:t>
      </w:r>
      <w:r w:rsidDel="00000000" w:rsidR="00000000" w:rsidRPr="00000000">
        <w:rPr>
          <w:rFonts w:ascii="Times New Roman" w:cs="Times New Roman" w:eastAsia="Times New Roman" w:hAnsi="Times New Roman"/>
          <w:i w:val="1"/>
          <w:iCs w:val="1"/>
          <w:sz w:val="24"/>
          <w:szCs w:val="24"/>
          <w:rtl w:val="0"/>
        </w:rPr>
        <w:t xml:space="preserve">Journal of Medical Internet Research</w:t>
      </w:r>
      <w:r w:rsidDel="00000000" w:rsidR="00000000" w:rsidRPr="00000000">
        <w:rPr>
          <w:rFonts w:ascii="Times New Roman" w:cs="Times New Roman" w:eastAsia="Times New Roman" w:hAnsi="Times New Roman"/>
          <w:sz w:val="24"/>
          <w:szCs w:val="24"/>
          <w:rtl w:val="0"/>
        </w:rPr>
        <w:t xml:space="preserve">, 27, e69678. </w:t>
      </w:r>
    </w:p>
    <w:p w:rsidR="00000000" w:rsidDel="00000000" w:rsidP="00000000" w:rsidRDefault="00000000" w:rsidRPr="00000000" w14:paraId="000001AD">
      <w:pPr>
        <w:spacing w:line="360" w:lineRule="auto"/>
        <w:rPr>
          <w:rFonts w:ascii="Times New Roman" w:cs="Times New Roman" w:eastAsia="Times New Roman" w:hAnsi="Times New Roman"/>
          <w:sz w:val="24"/>
          <w:szCs w:val="24"/>
        </w:rPr>
      </w:pPr>
      <w:hyperlink r:id="rId35">
        <w:r w:rsidDel="00000000" w:rsidR="00000000" w:rsidRPr="00000000">
          <w:rPr>
            <w:rFonts w:ascii="Times New Roman" w:cs="Times New Roman" w:eastAsia="Times New Roman" w:hAnsi="Times New Roman"/>
            <w:color w:val="1155cc"/>
            <w:sz w:val="24"/>
            <w:szCs w:val="24"/>
            <w:u w:val="single"/>
            <w:rtl w:val="0"/>
          </w:rPr>
          <w:t xml:space="preserve">https://doi.org/10.2196/69678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AE">
      <w:pPr>
        <w:spacing w:line="360" w:lineRule="auto"/>
        <w:rPr/>
      </w:pPr>
      <w:r w:rsidDel="00000000" w:rsidR="00000000" w:rsidRPr="00000000">
        <w:rPr>
          <w:rFonts w:ascii="Times New Roman" w:cs="Times New Roman" w:eastAsia="Times New Roman" w:hAnsi="Times New Roman"/>
          <w:sz w:val="24"/>
          <w:szCs w:val="24"/>
          <w:rtl w:val="0"/>
        </w:rPr>
        <w:t xml:space="preserve">Wang, W., Wang, Y., Chen, L., Ma, R. and Zhang, M. (2024) ‘Justice at the forefront: cultivating felt accountability towards Artificial Intelligence among healthcare professionals’, </w:t>
      </w:r>
      <w:r w:rsidDel="00000000" w:rsidR="00000000" w:rsidRPr="00000000">
        <w:rPr>
          <w:rFonts w:ascii="Times New Roman" w:cs="Times New Roman" w:eastAsia="Times New Roman" w:hAnsi="Times New Roman"/>
          <w:i w:val="1"/>
          <w:iCs w:val="1"/>
          <w:sz w:val="24"/>
          <w:szCs w:val="24"/>
          <w:rtl w:val="0"/>
        </w:rPr>
        <w:t xml:space="preserve">Social Science &amp; Medicine</w:t>
      </w:r>
      <w:r w:rsidDel="00000000" w:rsidR="00000000" w:rsidRPr="00000000">
        <w:rPr>
          <w:rFonts w:ascii="Times New Roman" w:cs="Times New Roman" w:eastAsia="Times New Roman" w:hAnsi="Times New Roman"/>
          <w:sz w:val="24"/>
          <w:szCs w:val="24"/>
          <w:rtl w:val="0"/>
        </w:rPr>
        <w:t xml:space="preserve">, 347, 116717.</w:t>
      </w:r>
      <w:hyperlink r:id="rId36">
        <w:r w:rsidDel="00000000" w:rsidR="00000000" w:rsidRPr="00000000">
          <w:rPr>
            <w:rFonts w:ascii="Times New Roman" w:cs="Times New Roman" w:eastAsia="Times New Roman" w:hAnsi="Times New Roman"/>
            <w:sz w:val="24"/>
            <w:szCs w:val="24"/>
            <w:rtl w:val="0"/>
          </w:rPr>
          <w:t xml:space="preserve"> </w:t>
        </w:r>
      </w:hyperlink>
      <w:r w:rsidDel="00000000" w:rsidR="00000000" w:rsidRPr="00000000">
        <w:rPr>
          <w:rtl w:val="0"/>
        </w:rPr>
      </w:r>
    </w:p>
    <w:p w:rsidR="00000000" w:rsidDel="00000000" w:rsidP="00000000" w:rsidRDefault="00000000" w:rsidRPr="00000000" w14:paraId="000001AF">
      <w:pPr>
        <w:spacing w:line="360" w:lineRule="auto"/>
        <w:rPr>
          <w:rFonts w:ascii="Times New Roman" w:cs="Times New Roman" w:eastAsia="Times New Roman" w:hAnsi="Times New Roman"/>
          <w:color w:val="1155cc"/>
          <w:sz w:val="24"/>
          <w:szCs w:val="24"/>
          <w:u w:val="single"/>
        </w:rPr>
      </w:pPr>
      <w:hyperlink r:id="rId37">
        <w:r w:rsidDel="00000000" w:rsidR="00000000" w:rsidRPr="00000000">
          <w:rPr>
            <w:rFonts w:ascii="Times New Roman" w:cs="Times New Roman" w:eastAsia="Times New Roman" w:hAnsi="Times New Roman"/>
            <w:color w:val="1155cc"/>
            <w:sz w:val="24"/>
            <w:szCs w:val="24"/>
            <w:u w:val="single"/>
            <w:rtl w:val="0"/>
          </w:rPr>
          <w:t xml:space="preserve">https://doi.org/10.1016/j.socscimed.2024.116717</w:t>
        </w:r>
      </w:hyperlink>
      <w:r w:rsidDel="00000000" w:rsidR="00000000" w:rsidRPr="00000000">
        <w:rPr>
          <w:rtl w:val="0"/>
        </w:rPr>
      </w:r>
    </w:p>
    <w:p w:rsidR="00000000" w:rsidDel="00000000" w:rsidP="00000000" w:rsidRDefault="00000000" w:rsidRPr="00000000" w14:paraId="000001B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Watson, C. (2006) ‘Unreliable narrators? “Inconsistency” (and some inconstancy) in interviews’, </w:t>
      </w:r>
      <w:r w:rsidDel="00000000" w:rsidR="00000000" w:rsidRPr="00000000">
        <w:rPr>
          <w:rFonts w:ascii="Times New Roman" w:cs="Times New Roman" w:eastAsia="Times New Roman" w:hAnsi="Times New Roman"/>
          <w:i w:val="1"/>
          <w:iCs w:val="1"/>
          <w:sz w:val="24"/>
          <w:szCs w:val="24"/>
          <w:rtl w:val="0"/>
        </w:rPr>
        <w:t xml:space="preserve">Qualitative Research</w:t>
      </w:r>
      <w:r w:rsidDel="00000000" w:rsidR="00000000" w:rsidRPr="00000000">
        <w:rPr>
          <w:rFonts w:ascii="Times New Roman" w:cs="Times New Roman" w:eastAsia="Times New Roman" w:hAnsi="Times New Roman"/>
          <w:sz w:val="24"/>
          <w:szCs w:val="24"/>
          <w:rtl w:val="0"/>
        </w:rPr>
        <w:t xml:space="preserve">, 6(3), pp. 367–384.</w:t>
      </w:r>
    </w:p>
    <w:p w:rsidR="00000000" w:rsidDel="00000000" w:rsidP="00000000" w:rsidRDefault="00000000" w:rsidRPr="00000000" w14:paraId="000001B1">
      <w:pPr>
        <w:spacing w:line="360" w:lineRule="auto"/>
        <w:rPr>
          <w:rFonts w:ascii="Times New Roman" w:cs="Times New Roman" w:eastAsia="Times New Roman" w:hAnsi="Times New Roman"/>
          <w:color w:val="1155cc"/>
          <w:sz w:val="24"/>
          <w:szCs w:val="24"/>
          <w:u w:val="single"/>
        </w:rPr>
      </w:pPr>
      <w:hyperlink r:id="rId38">
        <w:r w:rsidDel="00000000" w:rsidR="00000000" w:rsidRPr="00000000">
          <w:rPr>
            <w:rFonts w:ascii="Times New Roman" w:cs="Times New Roman" w:eastAsia="Times New Roman" w:hAnsi="Times New Roman"/>
            <w:color w:val="1155cc"/>
            <w:sz w:val="24"/>
            <w:szCs w:val="24"/>
            <w:u w:val="single"/>
            <w:rtl w:val="0"/>
          </w:rPr>
          <w:t xml:space="preserve">https://doi.org/10.1177/1468794106065008</w:t>
        </w:r>
      </w:hyperlink>
      <w:r w:rsidDel="00000000" w:rsidR="00000000" w:rsidRPr="00000000">
        <w:rPr>
          <w:rtl w:val="0"/>
        </w:rPr>
      </w:r>
    </w:p>
    <w:p w:rsidR="00000000" w:rsidDel="00000000" w:rsidP="00000000" w:rsidRDefault="00000000" w:rsidRPr="00000000" w14:paraId="000001B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Organization (2021) </w:t>
      </w:r>
      <w:r w:rsidDel="00000000" w:rsidR="00000000" w:rsidRPr="00000000">
        <w:rPr>
          <w:rFonts w:ascii="Times New Roman" w:cs="Times New Roman" w:eastAsia="Times New Roman" w:hAnsi="Times New Roman"/>
          <w:i w:val="1"/>
          <w:iCs w:val="1"/>
          <w:sz w:val="24"/>
          <w:szCs w:val="24"/>
          <w:rtl w:val="0"/>
        </w:rPr>
        <w:t xml:space="preserve">Ethics and Governance of Artificial Intelligence for Health: WHO Guidance</w:t>
      </w:r>
      <w:r w:rsidDel="00000000" w:rsidR="00000000" w:rsidRPr="00000000">
        <w:rPr>
          <w:rFonts w:ascii="Times New Roman" w:cs="Times New Roman" w:eastAsia="Times New Roman" w:hAnsi="Times New Roman"/>
          <w:sz w:val="24"/>
          <w:szCs w:val="24"/>
          <w:rtl w:val="0"/>
        </w:rPr>
        <w:t xml:space="preserve">. Geneva: World Health Organization.</w:t>
      </w:r>
    </w:p>
    <w:p w:rsidR="00000000" w:rsidDel="00000000" w:rsidP="00000000" w:rsidRDefault="00000000" w:rsidRPr="00000000" w14:paraId="000001B3">
      <w:pPr>
        <w:spacing w:line="360" w:lineRule="auto"/>
        <w:rPr>
          <w:rFonts w:ascii="Times New Roman" w:cs="Times New Roman" w:eastAsia="Times New Roman" w:hAnsi="Times New Roman"/>
          <w:color w:val="1155cc"/>
          <w:sz w:val="24"/>
          <w:szCs w:val="24"/>
          <w:u w:val="single"/>
        </w:rPr>
      </w:pPr>
      <w:hyperlink r:id="rId39">
        <w:r w:rsidDel="00000000" w:rsidR="00000000" w:rsidRPr="00000000">
          <w:rPr>
            <w:rFonts w:ascii="Times New Roman" w:cs="Times New Roman" w:eastAsia="Times New Roman" w:hAnsi="Times New Roman"/>
            <w:color w:val="1155cc"/>
            <w:sz w:val="24"/>
            <w:szCs w:val="24"/>
            <w:u w:val="single"/>
            <w:rtl w:val="0"/>
          </w:rPr>
          <w:t xml:space="preserve">https://www.who.int/publications/i/item/9789240029200</w:t>
        </w:r>
      </w:hyperlink>
      <w:r w:rsidDel="00000000" w:rsidR="00000000" w:rsidRPr="00000000">
        <w:rPr>
          <w:rtl w:val="0"/>
        </w:rPr>
      </w:r>
    </w:p>
    <w:p w:rsidR="00000000" w:rsidDel="00000000" w:rsidP="00000000" w:rsidRDefault="00000000" w:rsidRPr="00000000" w14:paraId="000001B4">
      <w:pPr>
        <w:spacing w:line="360" w:lineRule="auto"/>
        <w:rPr/>
      </w:pPr>
      <w:r w:rsidDel="00000000" w:rsidR="00000000" w:rsidRPr="00000000">
        <w:rPr>
          <w:rFonts w:ascii="Times New Roman" w:cs="Times New Roman" w:eastAsia="Times New Roman" w:hAnsi="Times New Roman"/>
          <w:sz w:val="24"/>
          <w:szCs w:val="24"/>
          <w:rtl w:val="0"/>
        </w:rPr>
        <w:t xml:space="preserve">Wright, P.M. and McMahan, G.C. (2011) ‘Exploring human capital: putting “human” back into strategic human resource management’, </w:t>
      </w:r>
      <w:r w:rsidDel="00000000" w:rsidR="00000000" w:rsidRPr="00000000">
        <w:rPr>
          <w:rFonts w:ascii="Times New Roman" w:cs="Times New Roman" w:eastAsia="Times New Roman" w:hAnsi="Times New Roman"/>
          <w:i w:val="1"/>
          <w:iCs w:val="1"/>
          <w:sz w:val="24"/>
          <w:szCs w:val="24"/>
          <w:rtl w:val="0"/>
        </w:rPr>
        <w:t xml:space="preserve">Human Resource Management Journal</w:t>
      </w:r>
      <w:r w:rsidDel="00000000" w:rsidR="00000000" w:rsidRPr="00000000">
        <w:rPr>
          <w:rFonts w:ascii="Times New Roman" w:cs="Times New Roman" w:eastAsia="Times New Roman" w:hAnsi="Times New Roman"/>
          <w:sz w:val="24"/>
          <w:szCs w:val="24"/>
          <w:rtl w:val="0"/>
        </w:rPr>
        <w:t xml:space="preserve">, 21(2), pp. 93–104.</w:t>
      </w:r>
      <w:hyperlink r:id="rId40">
        <w:r w:rsidDel="00000000" w:rsidR="00000000" w:rsidRPr="00000000">
          <w:rPr>
            <w:rFonts w:ascii="Times New Roman" w:cs="Times New Roman" w:eastAsia="Times New Roman" w:hAnsi="Times New Roman"/>
            <w:sz w:val="24"/>
            <w:szCs w:val="24"/>
            <w:rtl w:val="0"/>
          </w:rPr>
          <w:t xml:space="preserve"> </w:t>
        </w:r>
      </w:hyperlink>
      <w:r w:rsidDel="00000000" w:rsidR="00000000" w:rsidRPr="00000000">
        <w:rPr>
          <w:rtl w:val="0"/>
        </w:rPr>
      </w:r>
    </w:p>
    <w:p w:rsidR="00000000" w:rsidDel="00000000" w:rsidP="00000000" w:rsidRDefault="00000000" w:rsidRPr="00000000" w14:paraId="000001B5">
      <w:pPr>
        <w:spacing w:line="360" w:lineRule="auto"/>
        <w:rPr>
          <w:rFonts w:ascii="Times New Roman" w:cs="Times New Roman" w:eastAsia="Times New Roman" w:hAnsi="Times New Roman"/>
          <w:color w:val="1155cc"/>
          <w:sz w:val="24"/>
          <w:szCs w:val="24"/>
          <w:u w:val="single"/>
        </w:rPr>
      </w:pPr>
      <w:hyperlink r:id="rId41">
        <w:r w:rsidDel="00000000" w:rsidR="00000000" w:rsidRPr="00000000">
          <w:rPr>
            <w:rFonts w:ascii="Times New Roman" w:cs="Times New Roman" w:eastAsia="Times New Roman" w:hAnsi="Times New Roman"/>
            <w:color w:val="1155cc"/>
            <w:sz w:val="24"/>
            <w:szCs w:val="24"/>
            <w:u w:val="single"/>
            <w:rtl w:val="0"/>
          </w:rPr>
          <w:t xml:space="preserve">https://doi.org/10.1111/j.1748-8583.2010.00165.x</w:t>
        </w:r>
      </w:hyperlink>
      <w:r w:rsidDel="00000000" w:rsidR="00000000" w:rsidRPr="00000000">
        <w:rPr>
          <w:rtl w:val="0"/>
        </w:rPr>
      </w:r>
    </w:p>
    <w:p w:rsidR="00000000" w:rsidDel="00000000" w:rsidP="00000000" w:rsidRDefault="00000000" w:rsidRPr="00000000" w14:paraId="000001B6">
      <w:pPr>
        <w:spacing w:line="360" w:lineRule="auto"/>
        <w:rPr/>
      </w:pPr>
      <w:r w:rsidDel="00000000" w:rsidR="00000000" w:rsidRPr="00000000">
        <w:rPr>
          <w:rFonts w:ascii="Times New Roman" w:cs="Times New Roman" w:eastAsia="Times New Roman" w:hAnsi="Times New Roman"/>
          <w:sz w:val="24"/>
          <w:szCs w:val="24"/>
          <w:rtl w:val="0"/>
        </w:rPr>
        <w:t xml:space="preserve">Yousif, M., Asghar, S., Akbar, J. et al. (2024) ‘Exploring the perspectives of healthcare professionals regarding artificial intelligence; acceptance and challenges’, </w:t>
      </w:r>
      <w:r w:rsidDel="00000000" w:rsidR="00000000" w:rsidRPr="00000000">
        <w:rPr>
          <w:rFonts w:ascii="Times New Roman" w:cs="Times New Roman" w:eastAsia="Times New Roman" w:hAnsi="Times New Roman"/>
          <w:i w:val="1"/>
          <w:iCs w:val="1"/>
          <w:sz w:val="24"/>
          <w:szCs w:val="24"/>
          <w:rtl w:val="0"/>
        </w:rPr>
        <w:t xml:space="preserve">BMC Health Services Research</w:t>
      </w:r>
      <w:r w:rsidDel="00000000" w:rsidR="00000000" w:rsidRPr="00000000">
        <w:rPr>
          <w:rFonts w:ascii="Times New Roman" w:cs="Times New Roman" w:eastAsia="Times New Roman" w:hAnsi="Times New Roman"/>
          <w:sz w:val="24"/>
          <w:szCs w:val="24"/>
          <w:rtl w:val="0"/>
        </w:rPr>
        <w:t xml:space="preserve">, 24, 1200.</w:t>
      </w:r>
      <w:hyperlink r:id="rId42">
        <w:r w:rsidDel="00000000" w:rsidR="00000000" w:rsidRPr="00000000">
          <w:rPr>
            <w:rFonts w:ascii="Times New Roman" w:cs="Times New Roman" w:eastAsia="Times New Roman" w:hAnsi="Times New Roman"/>
            <w:sz w:val="24"/>
            <w:szCs w:val="24"/>
            <w:rtl w:val="0"/>
          </w:rPr>
          <w:t xml:space="preserve"> </w:t>
        </w:r>
      </w:hyperlink>
      <w:r w:rsidDel="00000000" w:rsidR="00000000" w:rsidRPr="00000000">
        <w:rPr>
          <w:rtl w:val="0"/>
        </w:rPr>
      </w:r>
    </w:p>
    <w:p w:rsidR="00000000" w:rsidDel="00000000" w:rsidP="00000000" w:rsidRDefault="00000000" w:rsidRPr="00000000" w14:paraId="000001B7">
      <w:pPr>
        <w:spacing w:line="360" w:lineRule="auto"/>
        <w:rPr>
          <w:rFonts w:ascii="Times New Roman" w:cs="Times New Roman" w:eastAsia="Times New Roman" w:hAnsi="Times New Roman"/>
          <w:color w:val="1155cc"/>
          <w:sz w:val="24"/>
          <w:szCs w:val="24"/>
          <w:u w:val="single"/>
        </w:rPr>
      </w:pPr>
      <w:hyperlink r:id="rId43">
        <w:r w:rsidDel="00000000" w:rsidR="00000000" w:rsidRPr="00000000">
          <w:rPr>
            <w:rFonts w:ascii="Times New Roman" w:cs="Times New Roman" w:eastAsia="Times New Roman" w:hAnsi="Times New Roman"/>
            <w:color w:val="1155cc"/>
            <w:sz w:val="24"/>
            <w:szCs w:val="24"/>
            <w:u w:val="single"/>
            <w:rtl w:val="0"/>
          </w:rPr>
          <w:t xml:space="preserve">https://doi.org/10.1186/s12913-024-11667-9</w:t>
        </w:r>
      </w:hyperlink>
      <w:r w:rsidDel="00000000" w:rsidR="00000000" w:rsidRPr="00000000">
        <w:rPr>
          <w:rtl w:val="0"/>
        </w:rPr>
      </w:r>
    </w:p>
    <w:p w:rsidR="00000000" w:rsidDel="00000000" w:rsidP="00000000" w:rsidRDefault="00000000" w:rsidRPr="00000000" w14:paraId="000001B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Zhao, S., Ma, Z., Li, H., Wang, Z., Wang, Y. and Ma, H. (2024) ‘The impact of organizational justice on turnover intention among primary healthcare workers: the mediating role of work motivation’, </w:t>
      </w:r>
      <w:r w:rsidDel="00000000" w:rsidR="00000000" w:rsidRPr="00000000">
        <w:rPr>
          <w:rFonts w:ascii="Times New Roman" w:cs="Times New Roman" w:eastAsia="Times New Roman" w:hAnsi="Times New Roman"/>
          <w:i w:val="1"/>
          <w:iCs w:val="1"/>
          <w:sz w:val="24"/>
          <w:szCs w:val="24"/>
          <w:rtl w:val="0"/>
        </w:rPr>
        <w:t xml:space="preserve">Risk Management and Healthcare Policy</w:t>
      </w:r>
      <w:r w:rsidDel="00000000" w:rsidR="00000000" w:rsidRPr="00000000">
        <w:rPr>
          <w:rFonts w:ascii="Times New Roman" w:cs="Times New Roman" w:eastAsia="Times New Roman" w:hAnsi="Times New Roman"/>
          <w:sz w:val="24"/>
          <w:szCs w:val="24"/>
          <w:rtl w:val="0"/>
        </w:rPr>
        <w:t xml:space="preserve">, 17, pp. 3017–3028.</w:t>
      </w:r>
    </w:p>
    <w:p w:rsidR="00000000" w:rsidDel="00000000" w:rsidP="00000000" w:rsidRDefault="00000000" w:rsidRPr="00000000" w14:paraId="000001B9">
      <w:pPr>
        <w:spacing w:line="360" w:lineRule="auto"/>
        <w:rPr>
          <w:rFonts w:ascii="Times New Roman" w:cs="Times New Roman" w:eastAsia="Times New Roman" w:hAnsi="Times New Roman"/>
          <w:color w:val="1155cc"/>
          <w:sz w:val="24"/>
          <w:szCs w:val="24"/>
          <w:u w:val="single"/>
        </w:rPr>
      </w:pPr>
      <w:hyperlink r:id="rId44">
        <w:r w:rsidDel="00000000" w:rsidR="00000000" w:rsidRPr="00000000">
          <w:rPr>
            <w:rFonts w:ascii="Times New Roman" w:cs="Times New Roman" w:eastAsia="Times New Roman" w:hAnsi="Times New Roman"/>
            <w:color w:val="1155cc"/>
            <w:sz w:val="24"/>
            <w:szCs w:val="24"/>
            <w:u w:val="single"/>
            <w:rtl w:val="0"/>
          </w:rPr>
          <w:t xml:space="preserve">https://doi.org/10.2147/RMHP.S486535</w:t>
        </w:r>
      </w:hyperlink>
      <w:r w:rsidDel="00000000" w:rsidR="00000000" w:rsidRPr="00000000">
        <w:rPr>
          <w:rtl w:val="0"/>
        </w:rPr>
      </w:r>
    </w:p>
    <w:p w:rsidR="00000000" w:rsidDel="00000000" w:rsidP="00000000" w:rsidRDefault="00000000" w:rsidRPr="00000000" w14:paraId="000001B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Zhou, L., Tetgoum Kachie, A.D., Xu, X., Quansah, P.E., Epalle, T.M., Ampon-Wireko, S. and Nkrumah, E.N.K. (2022) ‘COVID-19: the effects of perceived organizational justice, job engagement, and perceived job alternatives on turnover intention among frontline nurses’, </w:t>
      </w:r>
      <w:r w:rsidDel="00000000" w:rsidR="00000000" w:rsidRPr="00000000">
        <w:rPr>
          <w:rFonts w:ascii="Times New Roman" w:cs="Times New Roman" w:eastAsia="Times New Roman" w:hAnsi="Times New Roman"/>
          <w:i w:val="1"/>
          <w:iCs w:val="1"/>
          <w:sz w:val="24"/>
          <w:szCs w:val="24"/>
          <w:rtl w:val="0"/>
        </w:rPr>
        <w:t xml:space="preserve">Frontiers in Psychology</w:t>
      </w:r>
      <w:r w:rsidDel="00000000" w:rsidR="00000000" w:rsidRPr="00000000">
        <w:rPr>
          <w:rFonts w:ascii="Times New Roman" w:cs="Times New Roman" w:eastAsia="Times New Roman" w:hAnsi="Times New Roman"/>
          <w:sz w:val="24"/>
          <w:szCs w:val="24"/>
          <w:rtl w:val="0"/>
        </w:rPr>
        <w:t xml:space="preserve">, 13, 920274. </w:t>
      </w:r>
    </w:p>
    <w:p w:rsidR="00000000" w:rsidDel="00000000" w:rsidP="00000000" w:rsidRDefault="00000000" w:rsidRPr="00000000" w14:paraId="000001BB">
      <w:pPr>
        <w:spacing w:line="360" w:lineRule="auto"/>
        <w:rPr>
          <w:rFonts w:ascii="Times New Roman" w:cs="Times New Roman" w:eastAsia="Times New Roman" w:hAnsi="Times New Roman"/>
          <w:sz w:val="24"/>
          <w:szCs w:val="24"/>
        </w:rPr>
      </w:pPr>
      <w:hyperlink r:id="rId45">
        <w:r w:rsidDel="00000000" w:rsidR="00000000" w:rsidRPr="00000000">
          <w:rPr>
            <w:rFonts w:ascii="Times New Roman" w:cs="Times New Roman" w:eastAsia="Times New Roman" w:hAnsi="Times New Roman"/>
            <w:color w:val="1155cc"/>
            <w:sz w:val="24"/>
            <w:szCs w:val="24"/>
            <w:u w:val="single"/>
            <w:rtl w:val="0"/>
          </w:rPr>
          <w:t xml:space="preserve">https://doi.org/10.3389/fpsyg.2022.920274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B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Pawar, U., Oğuz, M., Bhat, P. et al. (2022) ‘Application of fairness to healthcare, organizational justice, and finance: a survey’, </w:t>
      </w:r>
      <w:r w:rsidDel="00000000" w:rsidR="00000000" w:rsidRPr="00000000">
        <w:rPr>
          <w:rFonts w:ascii="Times New Roman" w:cs="Times New Roman" w:eastAsia="Times New Roman" w:hAnsi="Times New Roman"/>
          <w:i w:val="1"/>
          <w:iCs w:val="1"/>
          <w:sz w:val="24"/>
          <w:szCs w:val="24"/>
          <w:rtl w:val="0"/>
        </w:rPr>
        <w:t xml:space="preserve">Expert Systems with Applications</w:t>
      </w:r>
      <w:r w:rsidDel="00000000" w:rsidR="00000000" w:rsidRPr="00000000">
        <w:rPr>
          <w:rFonts w:ascii="Times New Roman" w:cs="Times New Roman" w:eastAsia="Times New Roman" w:hAnsi="Times New Roman"/>
          <w:sz w:val="24"/>
          <w:szCs w:val="24"/>
          <w:rtl w:val="0"/>
        </w:rPr>
        <w:t xml:space="preserve">, 199, 116974.</w:t>
      </w:r>
    </w:p>
    <w:p w:rsidR="00000000" w:rsidDel="00000000" w:rsidP="00000000" w:rsidRDefault="00000000" w:rsidRPr="00000000" w14:paraId="000001BD">
      <w:pPr>
        <w:spacing w:line="360" w:lineRule="auto"/>
        <w:rPr>
          <w:rFonts w:ascii="Times New Roman" w:cs="Times New Roman" w:eastAsia="Times New Roman" w:hAnsi="Times New Roman"/>
          <w:sz w:val="24"/>
          <w:szCs w:val="24"/>
        </w:rPr>
      </w:pPr>
      <w:hyperlink r:id="rId46">
        <w:r w:rsidDel="00000000" w:rsidR="00000000" w:rsidRPr="00000000">
          <w:rPr>
            <w:rFonts w:ascii="Times New Roman" w:cs="Times New Roman" w:eastAsia="Times New Roman" w:hAnsi="Times New Roman"/>
            <w:color w:val="1155cc"/>
            <w:sz w:val="24"/>
            <w:szCs w:val="24"/>
            <w:u w:val="single"/>
            <w:rtl w:val="0"/>
          </w:rPr>
          <w:t xml:space="preserve">https://doi.org/10.1016/j.eswa.2022.116974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B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Woodside, A.G. (2013) ‘Moving beyond multiple regression analysis to algorithms: calling for adoption of a paradigm shift from symmetric to asymmetric thinking in data analysis and crafting theory’, </w:t>
      </w:r>
      <w:r w:rsidDel="00000000" w:rsidR="00000000" w:rsidRPr="00000000">
        <w:rPr>
          <w:rFonts w:ascii="Times New Roman" w:cs="Times New Roman" w:eastAsia="Times New Roman" w:hAnsi="Times New Roman"/>
          <w:i w:val="1"/>
          <w:iCs w:val="1"/>
          <w:sz w:val="24"/>
          <w:szCs w:val="24"/>
          <w:rtl w:val="0"/>
        </w:rPr>
        <w:t xml:space="preserve">Journal of Business Research</w:t>
      </w:r>
      <w:r w:rsidDel="00000000" w:rsidR="00000000" w:rsidRPr="00000000">
        <w:rPr>
          <w:rFonts w:ascii="Times New Roman" w:cs="Times New Roman" w:eastAsia="Times New Roman" w:hAnsi="Times New Roman"/>
          <w:sz w:val="24"/>
          <w:szCs w:val="24"/>
          <w:rtl w:val="0"/>
        </w:rPr>
        <w:t xml:space="preserve">, 66(4), pp. 463–472.</w:t>
      </w:r>
    </w:p>
    <w:p w:rsidR="00000000" w:rsidDel="00000000" w:rsidP="00000000" w:rsidRDefault="00000000" w:rsidRPr="00000000" w14:paraId="000001BF">
      <w:pPr>
        <w:spacing w:line="360" w:lineRule="auto"/>
        <w:rPr>
          <w:rFonts w:ascii="Times New Roman" w:cs="Times New Roman" w:eastAsia="Times New Roman" w:hAnsi="Times New Roman"/>
          <w:sz w:val="24"/>
          <w:szCs w:val="24"/>
        </w:rPr>
      </w:pPr>
      <w:hyperlink r:id="rId47">
        <w:r w:rsidDel="00000000" w:rsidR="00000000" w:rsidRPr="00000000">
          <w:rPr>
            <w:rFonts w:ascii="Times New Roman" w:cs="Times New Roman" w:eastAsia="Times New Roman" w:hAnsi="Times New Roman"/>
            <w:color w:val="1155cc"/>
            <w:sz w:val="24"/>
            <w:szCs w:val="24"/>
            <w:u w:val="single"/>
            <w:rtl w:val="0"/>
          </w:rPr>
          <w:t xml:space="preserve">https://doi.org/10.1016/j.jbusres.2012.12.021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C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Ragin, C.C. (2000) </w:t>
      </w:r>
      <w:r w:rsidDel="00000000" w:rsidR="00000000" w:rsidRPr="00000000">
        <w:rPr>
          <w:rFonts w:ascii="Times New Roman" w:cs="Times New Roman" w:eastAsia="Times New Roman" w:hAnsi="Times New Roman"/>
          <w:i w:val="1"/>
          <w:iCs w:val="1"/>
          <w:sz w:val="24"/>
          <w:szCs w:val="24"/>
          <w:rtl w:val="0"/>
        </w:rPr>
        <w:t xml:space="preserve">Fuzzy-Set Social Science</w:t>
      </w:r>
      <w:r w:rsidDel="00000000" w:rsidR="00000000" w:rsidRPr="00000000">
        <w:rPr>
          <w:rFonts w:ascii="Times New Roman" w:cs="Times New Roman" w:eastAsia="Times New Roman" w:hAnsi="Times New Roman"/>
          <w:sz w:val="24"/>
          <w:szCs w:val="24"/>
          <w:rtl w:val="0"/>
        </w:rPr>
        <w:t xml:space="preserve">. Chicago: University of Chicago Press.</w:t>
      </w:r>
    </w:p>
    <w:p w:rsidR="00000000" w:rsidDel="00000000" w:rsidP="00000000" w:rsidRDefault="00000000" w:rsidRPr="00000000" w14:paraId="000001C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Morgan, D.L. (2014) ‘Pragmatism as a paradigm for social research’, </w:t>
      </w:r>
      <w:r w:rsidDel="00000000" w:rsidR="00000000" w:rsidRPr="00000000">
        <w:rPr>
          <w:rFonts w:ascii="Times New Roman" w:cs="Times New Roman" w:eastAsia="Times New Roman" w:hAnsi="Times New Roman"/>
          <w:i w:val="1"/>
          <w:iCs w:val="1"/>
          <w:sz w:val="24"/>
          <w:szCs w:val="24"/>
          <w:rtl w:val="0"/>
        </w:rPr>
        <w:t xml:space="preserve">Qualitative Inquiry</w:t>
      </w:r>
      <w:r w:rsidDel="00000000" w:rsidR="00000000" w:rsidRPr="00000000">
        <w:rPr>
          <w:rFonts w:ascii="Times New Roman" w:cs="Times New Roman" w:eastAsia="Times New Roman" w:hAnsi="Times New Roman"/>
          <w:sz w:val="24"/>
          <w:szCs w:val="24"/>
          <w:rtl w:val="0"/>
        </w:rPr>
        <w:t xml:space="preserve">, 20(8), pp. 1045–1053. </w:t>
      </w:r>
    </w:p>
    <w:p w:rsidR="00000000" w:rsidDel="00000000" w:rsidP="00000000" w:rsidRDefault="00000000" w:rsidRPr="00000000" w14:paraId="000001C2">
      <w:pPr>
        <w:spacing w:line="360" w:lineRule="auto"/>
        <w:rPr>
          <w:rFonts w:ascii="Times New Roman" w:cs="Times New Roman" w:eastAsia="Times New Roman" w:hAnsi="Times New Roman"/>
          <w:sz w:val="24"/>
          <w:szCs w:val="24"/>
        </w:rPr>
      </w:pPr>
      <w:hyperlink r:id="rId48">
        <w:r w:rsidDel="00000000" w:rsidR="00000000" w:rsidRPr="00000000">
          <w:rPr>
            <w:rFonts w:ascii="Times New Roman" w:cs="Times New Roman" w:eastAsia="Times New Roman" w:hAnsi="Times New Roman"/>
            <w:color w:val="1155cc"/>
            <w:sz w:val="24"/>
            <w:szCs w:val="24"/>
            <w:u w:val="single"/>
            <w:rtl w:val="0"/>
          </w:rPr>
          <w:t xml:space="preserve">https://doi.org/10.1177/1077800413513733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C3">
      <w:pPr>
        <w:spacing w:line="36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Bell, E., Bryman, A. and Harley, B. (2019) </w:t>
      </w:r>
      <w:r w:rsidDel="00000000" w:rsidR="00000000" w:rsidRPr="00000000">
        <w:rPr>
          <w:rFonts w:ascii="Times New Roman" w:cs="Times New Roman" w:eastAsia="Times New Roman" w:hAnsi="Times New Roman"/>
          <w:i w:val="1"/>
          <w:iCs w:val="1"/>
          <w:sz w:val="24"/>
          <w:szCs w:val="24"/>
          <w:rtl w:val="0"/>
        </w:rPr>
        <w:t xml:space="preserve">Business Research Methods</w:t>
      </w:r>
      <w:r w:rsidDel="00000000" w:rsidR="00000000" w:rsidRPr="00000000">
        <w:rPr>
          <w:rFonts w:ascii="Times New Roman" w:cs="Times New Roman" w:eastAsia="Times New Roman" w:hAnsi="Times New Roman"/>
          <w:sz w:val="24"/>
          <w:szCs w:val="24"/>
          <w:rtl w:val="0"/>
        </w:rPr>
        <w:t xml:space="preserve">. 5th edn. Oxford: Oxford University Press.</w:t>
      </w:r>
      <w:r w:rsidDel="00000000" w:rsidR="00000000" w:rsidRPr="00000000">
        <w:rPr>
          <w:rtl w:val="0"/>
        </w:rPr>
      </w:r>
    </w:p>
    <w:p w:rsidR="00000000" w:rsidDel="00000000" w:rsidP="00000000" w:rsidRDefault="00000000" w:rsidRPr="00000000" w14:paraId="000001C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C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C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7">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rdo">
    <w:embedRegular w:fontKey="{00000000-0000-0000-0000-000000000000}" r:id="rId1" w:subsetted="0"/>
    <w:embedBold w:fontKey="{00000000-0000-0000-0000-000000000000}" r:id="rId2" w:subsetted="0"/>
    <w:embedItalic w:fontKey="{00000000-0000-0000-0000-000000000000}" r:id="rId3"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111/j.1748-8583.2010.00165.x?utm_source=chatgpt.com" TargetMode="External"/><Relationship Id="rId20" Type="http://schemas.openxmlformats.org/officeDocument/2006/relationships/hyperlink" Target="https://doi.org/10.1007/s00146-023-01699-w" TargetMode="External"/><Relationship Id="rId42" Type="http://schemas.openxmlformats.org/officeDocument/2006/relationships/hyperlink" Target="https://doi.org/10.1186/s12913-024-11667-9?utm_source=chatgpt.com" TargetMode="External"/><Relationship Id="rId41" Type="http://schemas.openxmlformats.org/officeDocument/2006/relationships/hyperlink" Target="https://doi.org/10.1111/j.1748-8583.2010.00165.x?utm_source=chatgpt.com" TargetMode="External"/><Relationship Id="rId22" Type="http://schemas.openxmlformats.org/officeDocument/2006/relationships/hyperlink" Target="https://doi.org/10.1007/s11948-019-00165-5?utm_source=chatgpt.com" TargetMode="External"/><Relationship Id="rId44" Type="http://schemas.openxmlformats.org/officeDocument/2006/relationships/hyperlink" Target="https://doi.org/10.2147/RMHP.S486535?utm_source=chatgpt.com" TargetMode="External"/><Relationship Id="rId21" Type="http://schemas.openxmlformats.org/officeDocument/2006/relationships/hyperlink" Target="https://doi.org/10.1093/jamia/ocaf133?utm_source=chatgpt.com" TargetMode="External"/><Relationship Id="rId43" Type="http://schemas.openxmlformats.org/officeDocument/2006/relationships/hyperlink" Target="https://doi.org/10.1186/s12913-024-11667-9?utm_source=chatgpt.com" TargetMode="External"/><Relationship Id="rId24" Type="http://schemas.openxmlformats.org/officeDocument/2006/relationships/hyperlink" Target="https://doi.org/10.1016/j.ijinfomgt.2021.102310?utm_source=chatgpt.com" TargetMode="External"/><Relationship Id="rId46" Type="http://schemas.openxmlformats.org/officeDocument/2006/relationships/hyperlink" Target="https://doi.org/10.1016/j.eswa.2022.116974" TargetMode="External"/><Relationship Id="rId23" Type="http://schemas.openxmlformats.org/officeDocument/2006/relationships/hyperlink" Target="https://doi.org/10.1136/bmj.n71?utm_source=chatgpt.com" TargetMode="External"/><Relationship Id="rId45" Type="http://schemas.openxmlformats.org/officeDocument/2006/relationships/hyperlink" Target="https://doi.org/10.3389/fpsyg.2022.92027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jbusres.2020.08.018" TargetMode="External"/><Relationship Id="rId26" Type="http://schemas.openxmlformats.org/officeDocument/2006/relationships/hyperlink" Target="https://doi.org/10.1016/j.ijmedinf.2025.106015?utm_source=chatgpt.com" TargetMode="External"/><Relationship Id="rId48" Type="http://schemas.openxmlformats.org/officeDocument/2006/relationships/hyperlink" Target="https://doi.org/10.1177/1077800413513733" TargetMode="External"/><Relationship Id="rId25" Type="http://schemas.openxmlformats.org/officeDocument/2006/relationships/hyperlink" Target="https://doi.org/10.1016/j.ijmedinf.2025.106015?utm_source=chatgpt.com" TargetMode="External"/><Relationship Id="rId47" Type="http://schemas.openxmlformats.org/officeDocument/2006/relationships/hyperlink" Target="https://doi.org/10.1016/j.jbusres.2012.12.021" TargetMode="External"/><Relationship Id="rId28" Type="http://schemas.openxmlformats.org/officeDocument/2006/relationships/hyperlink" Target="https://doi.org/10.1016/j.jbi.2023.104550?utm_source=chatgpt.com" TargetMode="External"/><Relationship Id="rId27" Type="http://schemas.openxmlformats.org/officeDocument/2006/relationships/hyperlink" Target="https://doi.org/10.3233/SHTI240295"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doi.org/10.1016/j.nepr.2023.103723?utm_source=chatgpt.com" TargetMode="External"/><Relationship Id="rId7" Type="http://schemas.openxmlformats.org/officeDocument/2006/relationships/hyperlink" Target="https://doi.org/10.1007/s43546-024-00760-0" TargetMode="External"/><Relationship Id="rId8" Type="http://schemas.openxmlformats.org/officeDocument/2006/relationships/hyperlink" Target="https://doi.org/10.2196/55766" TargetMode="External"/><Relationship Id="rId31" Type="http://schemas.openxmlformats.org/officeDocument/2006/relationships/hyperlink" Target="https://doi.org/10.1002/smj.640?utm_source=chatgpt.com" TargetMode="External"/><Relationship Id="rId30" Type="http://schemas.openxmlformats.org/officeDocument/2006/relationships/hyperlink" Target="https://doi.org/10.1002/smj.640?utm_source=chatgpt.com" TargetMode="External"/><Relationship Id="rId11" Type="http://schemas.openxmlformats.org/officeDocument/2006/relationships/hyperlink" Target="https://doi.org/10.1037/0021-9010.86.3.386?utm_source=chatgpt.com" TargetMode="External"/><Relationship Id="rId33" Type="http://schemas.openxmlformats.org/officeDocument/2006/relationships/hyperlink" Target="https://doi.org/10.1525/cmr.2016.58.4.13?utm_source=chatgpt.com" TargetMode="External"/><Relationship Id="rId10" Type="http://schemas.openxmlformats.org/officeDocument/2006/relationships/hyperlink" Target="https://doi.org/10.2147/RMHP.S357654" TargetMode="External"/><Relationship Id="rId32" Type="http://schemas.openxmlformats.org/officeDocument/2006/relationships/hyperlink" Target="https://doi.org/10.1525/cmr.2016.58.4.13?utm_source=chatgpt.com" TargetMode="External"/><Relationship Id="rId13" Type="http://schemas.openxmlformats.org/officeDocument/2006/relationships/hyperlink" Target="https://doi.org/10.5465/amj.2011.60263120?utm_source=chatgpt.com" TargetMode="External"/><Relationship Id="rId35" Type="http://schemas.openxmlformats.org/officeDocument/2006/relationships/hyperlink" Target="https://doi.org/10.2196/69678" TargetMode="External"/><Relationship Id="rId12" Type="http://schemas.openxmlformats.org/officeDocument/2006/relationships/hyperlink" Target="https://doi.org/10.1016/j.techfore.2025.124108" TargetMode="External"/><Relationship Id="rId34" Type="http://schemas.openxmlformats.org/officeDocument/2006/relationships/hyperlink" Target="https://doi.org/10.1186/1471-2288-8-45?utm_source=chatgpt.com" TargetMode="External"/><Relationship Id="rId15" Type="http://schemas.openxmlformats.org/officeDocument/2006/relationships/hyperlink" Target="https://doi.org/10.5465/annals.2018.0057?utm_source=chatgpt.com" TargetMode="External"/><Relationship Id="rId37" Type="http://schemas.openxmlformats.org/officeDocument/2006/relationships/hyperlink" Target="https://doi.org/10.1016/j.socscimed.2024.116717?utm_source=chatgpt.com" TargetMode="External"/><Relationship Id="rId14" Type="http://schemas.openxmlformats.org/officeDocument/2006/relationships/hyperlink" Target="https://doi.org/10.1016/j.jbusres.2023.113707?utm_source=chatgpt.com" TargetMode="External"/><Relationship Id="rId36" Type="http://schemas.openxmlformats.org/officeDocument/2006/relationships/hyperlink" Target="https://doi.org/10.1016/j.socscimed.2024.116717?utm_source=chatgpt.com" TargetMode="External"/><Relationship Id="rId17" Type="http://schemas.openxmlformats.org/officeDocument/2006/relationships/hyperlink" Target="https://doi.org/10.1016/j.techfore.2026.124651" TargetMode="External"/><Relationship Id="rId39" Type="http://schemas.openxmlformats.org/officeDocument/2006/relationships/hyperlink" Target="https://www.who.int/publications/i/item/9789240029200?utm_source=chatgpt.com" TargetMode="External"/><Relationship Id="rId16" Type="http://schemas.openxmlformats.org/officeDocument/2006/relationships/hyperlink" Target="https://doi.org/10.1111/j.1471-1842.2009.00848.x?utm_source=chatgpt.com" TargetMode="External"/><Relationship Id="rId38" Type="http://schemas.openxmlformats.org/officeDocument/2006/relationships/hyperlink" Target="https://doi.org/10.1177/1468794106065008?utm_source=chatgpt.com" TargetMode="External"/><Relationship Id="rId19" Type="http://schemas.openxmlformats.org/officeDocument/2006/relationships/hyperlink" Target="https://doi.org/10.1108/LHS-06-2023-0046" TargetMode="External"/><Relationship Id="rId18" Type="http://schemas.openxmlformats.org/officeDocument/2006/relationships/hyperlink" Target="https://doi.org/10.1016/j.techfore.2024.123967?utm_source=chatgpt.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