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F5B774" w14:textId="0CD692C6" w:rsidR="005D5970" w:rsidRDefault="005D5970" w:rsidP="00D374FF">
      <w:pPr>
        <w:jc w:val="left"/>
      </w:pPr>
      <w:r>
        <w:rPr>
          <w:noProof/>
          <w:lang w:val="en-US"/>
        </w:rPr>
        <w:drawing>
          <wp:inline distT="0" distB="0" distL="0" distR="0" wp14:anchorId="35856162" wp14:editId="199700D7">
            <wp:extent cx="1854200" cy="685800"/>
            <wp:effectExtent l="0" t="0" r="0" b="0"/>
            <wp:docPr id="633821301" name="Picture 2"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854200" cy="685800"/>
                    </a:xfrm>
                    <a:prstGeom prst="rect">
                      <a:avLst/>
                    </a:prstGeom>
                    <a:noFill/>
                    <a:ln>
                      <a:noFill/>
                    </a:ln>
                  </pic:spPr>
                </pic:pic>
              </a:graphicData>
            </a:graphic>
          </wp:inline>
        </w:drawing>
      </w:r>
    </w:p>
    <w:p w14:paraId="658BC896" w14:textId="77777777" w:rsidR="005D5970" w:rsidRDefault="005D5970" w:rsidP="00D374FF">
      <w:pPr>
        <w:rPr>
          <w:rStyle w:val="Strong"/>
          <w:rFonts w:ascii="Segoe UI" w:hAnsi="Segoe UI" w:cs="Segoe UI"/>
          <w:color w:val="1D2125"/>
        </w:rPr>
      </w:pPr>
    </w:p>
    <w:p w14:paraId="3E9B0E77" w14:textId="09BA19AA" w:rsidR="005D5970" w:rsidRDefault="005D5970" w:rsidP="00D374FF">
      <w:pPr>
        <w:rPr>
          <w:rStyle w:val="Strong"/>
          <w:rFonts w:ascii="Arial" w:hAnsi="Arial" w:cs="Arial"/>
          <w:color w:val="1D2125"/>
          <w:sz w:val="36"/>
          <w:szCs w:val="36"/>
        </w:rPr>
      </w:pPr>
    </w:p>
    <w:p w14:paraId="43774B86" w14:textId="77777777" w:rsidR="00A7000E" w:rsidRDefault="00A7000E" w:rsidP="00D374FF">
      <w:pPr>
        <w:rPr>
          <w:rStyle w:val="Strong"/>
          <w:rFonts w:ascii="Arial" w:hAnsi="Arial" w:cs="Arial"/>
          <w:color w:val="1D2125"/>
          <w:sz w:val="36"/>
          <w:szCs w:val="36"/>
        </w:rPr>
      </w:pPr>
    </w:p>
    <w:p w14:paraId="5D86BB41" w14:textId="77777777" w:rsidR="005D5970" w:rsidRPr="005D5970" w:rsidRDefault="005D5970" w:rsidP="00D374FF">
      <w:pPr>
        <w:jc w:val="center"/>
        <w:rPr>
          <w:rStyle w:val="Strong"/>
          <w:rFonts w:cs="Times New Roman"/>
          <w:color w:val="1D2125"/>
          <w:sz w:val="36"/>
          <w:szCs w:val="36"/>
        </w:rPr>
      </w:pPr>
      <w:r w:rsidRPr="005D5970">
        <w:rPr>
          <w:rStyle w:val="Strong"/>
          <w:rFonts w:cs="Times New Roman"/>
          <w:color w:val="1D2125"/>
          <w:sz w:val="36"/>
          <w:szCs w:val="36"/>
          <w:shd w:val="clear" w:color="auto" w:fill="FFFFFF"/>
        </w:rPr>
        <w:t>Changemakers: Creativity and Value Creation</w:t>
      </w:r>
    </w:p>
    <w:p w14:paraId="14CA8628" w14:textId="6654FBEE" w:rsidR="00FB2EF8" w:rsidRDefault="005D5970" w:rsidP="00D374FF">
      <w:pPr>
        <w:jc w:val="center"/>
        <w:rPr>
          <w:rStyle w:val="Strong"/>
          <w:rFonts w:cs="Times New Roman"/>
          <w:color w:val="1D2125"/>
          <w:sz w:val="36"/>
          <w:szCs w:val="36"/>
        </w:rPr>
      </w:pPr>
      <w:r w:rsidRPr="005D5970">
        <w:rPr>
          <w:rStyle w:val="Strong"/>
          <w:rFonts w:cs="Times New Roman"/>
          <w:color w:val="1D2125"/>
          <w:sz w:val="36"/>
          <w:szCs w:val="36"/>
        </w:rPr>
        <w:t>Professions (BMHP5014)</w:t>
      </w:r>
    </w:p>
    <w:p w14:paraId="6551C3A2" w14:textId="0CCB0674" w:rsidR="00D374FF" w:rsidRDefault="00D374FF" w:rsidP="00D374FF">
      <w:pPr>
        <w:jc w:val="center"/>
        <w:rPr>
          <w:rStyle w:val="Strong"/>
          <w:rFonts w:cs="Times New Roman"/>
          <w:color w:val="1D2125"/>
          <w:sz w:val="36"/>
          <w:szCs w:val="36"/>
        </w:rPr>
      </w:pPr>
    </w:p>
    <w:p w14:paraId="63C3597E" w14:textId="2FB22F96" w:rsidR="00D374FF" w:rsidRDefault="00D374FF" w:rsidP="00D374FF">
      <w:pPr>
        <w:jc w:val="center"/>
        <w:rPr>
          <w:rStyle w:val="Strong"/>
          <w:rFonts w:cs="Times New Roman"/>
          <w:color w:val="1D2125"/>
          <w:sz w:val="36"/>
          <w:szCs w:val="36"/>
        </w:rPr>
      </w:pPr>
      <w:r>
        <w:rPr>
          <w:rStyle w:val="Strong"/>
          <w:rFonts w:cs="Times New Roman"/>
          <w:color w:val="1D2125"/>
          <w:sz w:val="36"/>
          <w:szCs w:val="36"/>
        </w:rPr>
        <w:t>Student Name:</w:t>
      </w:r>
      <w:r w:rsidR="00A7000E" w:rsidRPr="00A7000E">
        <w:rPr>
          <w:rFonts w:ascii="Helvetica" w:hAnsi="Helvetica" w:cs="Helvetica"/>
          <w:color w:val="1F1F1F"/>
          <w:sz w:val="33"/>
          <w:szCs w:val="33"/>
          <w:shd w:val="clear" w:color="auto" w:fill="FFFFFF"/>
        </w:rPr>
        <w:t xml:space="preserve"> </w:t>
      </w:r>
      <w:proofErr w:type="spellStart"/>
      <w:r w:rsidR="00A7000E" w:rsidRPr="00A7000E">
        <w:rPr>
          <w:rFonts w:cs="Times New Roman"/>
          <w:b/>
          <w:bCs/>
          <w:color w:val="1D2125"/>
          <w:sz w:val="36"/>
          <w:szCs w:val="36"/>
        </w:rPr>
        <w:t>Grecischin</w:t>
      </w:r>
      <w:proofErr w:type="spellEnd"/>
      <w:r w:rsidR="00A7000E" w:rsidRPr="00A7000E">
        <w:rPr>
          <w:rFonts w:cs="Times New Roman"/>
          <w:b/>
          <w:bCs/>
          <w:color w:val="1D2125"/>
          <w:sz w:val="36"/>
          <w:szCs w:val="36"/>
        </w:rPr>
        <w:t xml:space="preserve"> Dina</w:t>
      </w:r>
    </w:p>
    <w:p w14:paraId="580E2796" w14:textId="2CEF4B4A" w:rsidR="00D374FF" w:rsidRDefault="00D374FF" w:rsidP="00D374FF">
      <w:pPr>
        <w:jc w:val="center"/>
        <w:rPr>
          <w:rStyle w:val="Strong"/>
          <w:rFonts w:cs="Times New Roman"/>
          <w:color w:val="1D2125"/>
          <w:sz w:val="36"/>
          <w:szCs w:val="36"/>
        </w:rPr>
      </w:pPr>
      <w:r>
        <w:rPr>
          <w:rStyle w:val="Strong"/>
          <w:rFonts w:cs="Times New Roman"/>
          <w:color w:val="1D2125"/>
          <w:sz w:val="36"/>
          <w:szCs w:val="36"/>
        </w:rPr>
        <w:t>ID:</w:t>
      </w:r>
      <w:r w:rsidR="001C6243">
        <w:rPr>
          <w:rStyle w:val="Strong"/>
          <w:rFonts w:cs="Times New Roman"/>
          <w:color w:val="1D2125"/>
          <w:sz w:val="36"/>
          <w:szCs w:val="36"/>
        </w:rPr>
        <w:t>2429930</w:t>
      </w:r>
    </w:p>
    <w:p w14:paraId="54F885CC" w14:textId="77777777" w:rsidR="00FB2EF8" w:rsidRDefault="00FB2EF8" w:rsidP="00D374FF">
      <w:pPr>
        <w:spacing w:after="160"/>
        <w:jc w:val="left"/>
        <w:rPr>
          <w:rStyle w:val="Strong"/>
          <w:rFonts w:cs="Times New Roman"/>
          <w:color w:val="1D2125"/>
          <w:sz w:val="36"/>
          <w:szCs w:val="36"/>
        </w:rPr>
      </w:pPr>
      <w:r>
        <w:rPr>
          <w:rStyle w:val="Strong"/>
          <w:rFonts w:cs="Times New Roman"/>
          <w:color w:val="1D2125"/>
          <w:sz w:val="36"/>
          <w:szCs w:val="36"/>
        </w:rPr>
        <w:br w:type="page"/>
      </w:r>
    </w:p>
    <w:sdt>
      <w:sdtPr>
        <w:rPr>
          <w:rFonts w:eastAsiaTheme="minorHAnsi" w:cstheme="minorBidi"/>
          <w:b w:val="0"/>
          <w:color w:val="auto"/>
          <w:sz w:val="24"/>
          <w:szCs w:val="24"/>
          <w:lang w:val="en-GB"/>
        </w:rPr>
        <w:id w:val="-373624573"/>
        <w:docPartObj>
          <w:docPartGallery w:val="Table of Contents"/>
          <w:docPartUnique/>
        </w:docPartObj>
      </w:sdtPr>
      <w:sdtEndPr>
        <w:rPr>
          <w:bCs/>
          <w:noProof/>
        </w:rPr>
      </w:sdtEndPr>
      <w:sdtContent>
        <w:p w14:paraId="4CAED813" w14:textId="52718A22" w:rsidR="00FB2EF8" w:rsidRDefault="00FB2EF8" w:rsidP="00D374FF">
          <w:pPr>
            <w:pStyle w:val="TOCHeading"/>
            <w:spacing w:line="360" w:lineRule="auto"/>
            <w:jc w:val="center"/>
          </w:pPr>
          <w:r>
            <w:t>Table of Contents</w:t>
          </w:r>
        </w:p>
        <w:p w14:paraId="2743DAC8" w14:textId="6339AC96" w:rsidR="00FB2EF8" w:rsidRDefault="00FB2EF8" w:rsidP="00D374FF">
          <w:pPr>
            <w:pStyle w:val="TOC1"/>
            <w:tabs>
              <w:tab w:val="right" w:leader="dot" w:pos="9350"/>
            </w:tabs>
            <w:rPr>
              <w:noProof/>
            </w:rPr>
          </w:pPr>
          <w:r>
            <w:fldChar w:fldCharType="begin"/>
          </w:r>
          <w:r>
            <w:instrText xml:space="preserve"> TOC \o "1-3" \h \z \u </w:instrText>
          </w:r>
          <w:r>
            <w:fldChar w:fldCharType="separate"/>
          </w:r>
          <w:hyperlink w:anchor="_Toc236356539" w:history="1">
            <w:r w:rsidRPr="007C06D3">
              <w:rPr>
                <w:rStyle w:val="Hyperlink"/>
                <w:noProof/>
              </w:rPr>
              <w:t>Task 1: Defining Key Concepts in Practice</w:t>
            </w:r>
            <w:r>
              <w:rPr>
                <w:noProof/>
                <w:webHidden/>
              </w:rPr>
              <w:tab/>
            </w:r>
            <w:r>
              <w:rPr>
                <w:noProof/>
                <w:webHidden/>
              </w:rPr>
              <w:fldChar w:fldCharType="begin"/>
            </w:r>
            <w:r>
              <w:rPr>
                <w:noProof/>
                <w:webHidden/>
              </w:rPr>
              <w:instrText xml:space="preserve"> PAGEREF _Toc236356539 \h </w:instrText>
            </w:r>
            <w:r>
              <w:rPr>
                <w:noProof/>
                <w:webHidden/>
              </w:rPr>
            </w:r>
            <w:r>
              <w:rPr>
                <w:noProof/>
                <w:webHidden/>
              </w:rPr>
              <w:fldChar w:fldCharType="separate"/>
            </w:r>
            <w:r w:rsidR="00D374FF">
              <w:rPr>
                <w:noProof/>
                <w:webHidden/>
              </w:rPr>
              <w:t>3</w:t>
            </w:r>
            <w:r>
              <w:rPr>
                <w:noProof/>
                <w:webHidden/>
              </w:rPr>
              <w:fldChar w:fldCharType="end"/>
            </w:r>
          </w:hyperlink>
        </w:p>
        <w:p w14:paraId="712CF655" w14:textId="26473EDA" w:rsidR="00FB2EF8" w:rsidRDefault="00FB2EF8" w:rsidP="00D374FF">
          <w:pPr>
            <w:pStyle w:val="TOC1"/>
            <w:tabs>
              <w:tab w:val="right" w:leader="dot" w:pos="9350"/>
            </w:tabs>
            <w:rPr>
              <w:noProof/>
            </w:rPr>
          </w:pPr>
          <w:hyperlink w:anchor="_Toc236356540" w:history="1">
            <w:r w:rsidRPr="007C06D3">
              <w:rPr>
                <w:rStyle w:val="Hyperlink"/>
                <w:noProof/>
              </w:rPr>
              <w:t>Task 2: Mind Map</w:t>
            </w:r>
            <w:r>
              <w:rPr>
                <w:noProof/>
                <w:webHidden/>
              </w:rPr>
              <w:tab/>
            </w:r>
            <w:r>
              <w:rPr>
                <w:noProof/>
                <w:webHidden/>
              </w:rPr>
              <w:fldChar w:fldCharType="begin"/>
            </w:r>
            <w:r>
              <w:rPr>
                <w:noProof/>
                <w:webHidden/>
              </w:rPr>
              <w:instrText xml:space="preserve"> PAGEREF _Toc236356540 \h </w:instrText>
            </w:r>
            <w:r>
              <w:rPr>
                <w:noProof/>
                <w:webHidden/>
              </w:rPr>
            </w:r>
            <w:r>
              <w:rPr>
                <w:noProof/>
                <w:webHidden/>
              </w:rPr>
              <w:fldChar w:fldCharType="separate"/>
            </w:r>
            <w:r w:rsidR="00D374FF">
              <w:rPr>
                <w:noProof/>
                <w:webHidden/>
              </w:rPr>
              <w:t>4</w:t>
            </w:r>
            <w:r>
              <w:rPr>
                <w:noProof/>
                <w:webHidden/>
              </w:rPr>
              <w:fldChar w:fldCharType="end"/>
            </w:r>
          </w:hyperlink>
        </w:p>
        <w:p w14:paraId="64F30640" w14:textId="5283CE0D" w:rsidR="00FB2EF8" w:rsidRDefault="00FB2EF8" w:rsidP="00D374FF">
          <w:pPr>
            <w:pStyle w:val="TOC1"/>
            <w:tabs>
              <w:tab w:val="right" w:leader="dot" w:pos="9350"/>
            </w:tabs>
            <w:rPr>
              <w:noProof/>
            </w:rPr>
          </w:pPr>
          <w:hyperlink w:anchor="_Toc236356541" w:history="1">
            <w:r w:rsidRPr="007C06D3">
              <w:rPr>
                <w:rStyle w:val="Hyperlink"/>
                <w:noProof/>
              </w:rPr>
              <w:t>Task 3: Self-Reflection of Group Activity</w:t>
            </w:r>
            <w:r>
              <w:rPr>
                <w:noProof/>
                <w:webHidden/>
              </w:rPr>
              <w:tab/>
            </w:r>
            <w:r>
              <w:rPr>
                <w:noProof/>
                <w:webHidden/>
              </w:rPr>
              <w:fldChar w:fldCharType="begin"/>
            </w:r>
            <w:r>
              <w:rPr>
                <w:noProof/>
                <w:webHidden/>
              </w:rPr>
              <w:instrText xml:space="preserve"> PAGEREF _Toc236356541 \h </w:instrText>
            </w:r>
            <w:r>
              <w:rPr>
                <w:noProof/>
                <w:webHidden/>
              </w:rPr>
            </w:r>
            <w:r>
              <w:rPr>
                <w:noProof/>
                <w:webHidden/>
              </w:rPr>
              <w:fldChar w:fldCharType="separate"/>
            </w:r>
            <w:r w:rsidR="00D374FF">
              <w:rPr>
                <w:noProof/>
                <w:webHidden/>
              </w:rPr>
              <w:t>5</w:t>
            </w:r>
            <w:r>
              <w:rPr>
                <w:noProof/>
                <w:webHidden/>
              </w:rPr>
              <w:fldChar w:fldCharType="end"/>
            </w:r>
          </w:hyperlink>
        </w:p>
        <w:p w14:paraId="5A43AA54" w14:textId="42043D87" w:rsidR="00FB2EF8" w:rsidRDefault="00FB2EF8" w:rsidP="00D374FF">
          <w:pPr>
            <w:pStyle w:val="TOC1"/>
            <w:tabs>
              <w:tab w:val="right" w:leader="dot" w:pos="9350"/>
            </w:tabs>
            <w:rPr>
              <w:noProof/>
            </w:rPr>
          </w:pPr>
          <w:hyperlink w:anchor="_Toc236356542" w:history="1">
            <w:r w:rsidRPr="007C06D3">
              <w:rPr>
                <w:rStyle w:val="Hyperlink"/>
                <w:noProof/>
              </w:rPr>
              <w:t>Task 4: Case Study Analysis of a UK Innovation</w:t>
            </w:r>
            <w:r>
              <w:rPr>
                <w:noProof/>
                <w:webHidden/>
              </w:rPr>
              <w:tab/>
            </w:r>
            <w:r>
              <w:rPr>
                <w:noProof/>
                <w:webHidden/>
              </w:rPr>
              <w:fldChar w:fldCharType="begin"/>
            </w:r>
            <w:r>
              <w:rPr>
                <w:noProof/>
                <w:webHidden/>
              </w:rPr>
              <w:instrText xml:space="preserve"> PAGEREF _Toc236356542 \h </w:instrText>
            </w:r>
            <w:r>
              <w:rPr>
                <w:noProof/>
                <w:webHidden/>
              </w:rPr>
            </w:r>
            <w:r>
              <w:rPr>
                <w:noProof/>
                <w:webHidden/>
              </w:rPr>
              <w:fldChar w:fldCharType="separate"/>
            </w:r>
            <w:r w:rsidR="00D374FF">
              <w:rPr>
                <w:noProof/>
                <w:webHidden/>
              </w:rPr>
              <w:t>6</w:t>
            </w:r>
            <w:r>
              <w:rPr>
                <w:noProof/>
                <w:webHidden/>
              </w:rPr>
              <w:fldChar w:fldCharType="end"/>
            </w:r>
          </w:hyperlink>
        </w:p>
        <w:p w14:paraId="70EA33A0" w14:textId="17FA0FF2" w:rsidR="00FB2EF8" w:rsidRDefault="00FB2EF8" w:rsidP="00D374FF">
          <w:pPr>
            <w:pStyle w:val="TOC1"/>
            <w:tabs>
              <w:tab w:val="right" w:leader="dot" w:pos="9350"/>
            </w:tabs>
            <w:rPr>
              <w:noProof/>
            </w:rPr>
          </w:pPr>
          <w:hyperlink w:anchor="_Toc236356543" w:history="1">
            <w:r w:rsidRPr="007C06D3">
              <w:rPr>
                <w:rStyle w:val="Hyperlink"/>
                <w:noProof/>
              </w:rPr>
              <w:t>Task 5: Research Task</w:t>
            </w:r>
            <w:r>
              <w:rPr>
                <w:noProof/>
                <w:webHidden/>
              </w:rPr>
              <w:tab/>
            </w:r>
            <w:r>
              <w:rPr>
                <w:noProof/>
                <w:webHidden/>
              </w:rPr>
              <w:fldChar w:fldCharType="begin"/>
            </w:r>
            <w:r>
              <w:rPr>
                <w:noProof/>
                <w:webHidden/>
              </w:rPr>
              <w:instrText xml:space="preserve"> PAGEREF _Toc236356543 \h </w:instrText>
            </w:r>
            <w:r>
              <w:rPr>
                <w:noProof/>
                <w:webHidden/>
              </w:rPr>
            </w:r>
            <w:r>
              <w:rPr>
                <w:noProof/>
                <w:webHidden/>
              </w:rPr>
              <w:fldChar w:fldCharType="separate"/>
            </w:r>
            <w:r w:rsidR="00D374FF">
              <w:rPr>
                <w:noProof/>
                <w:webHidden/>
              </w:rPr>
              <w:t>7</w:t>
            </w:r>
            <w:r>
              <w:rPr>
                <w:noProof/>
                <w:webHidden/>
              </w:rPr>
              <w:fldChar w:fldCharType="end"/>
            </w:r>
          </w:hyperlink>
        </w:p>
        <w:p w14:paraId="63CB7C88" w14:textId="2551F18E" w:rsidR="00FB2EF8" w:rsidRDefault="00FB2EF8" w:rsidP="00D374FF">
          <w:pPr>
            <w:pStyle w:val="TOC1"/>
            <w:tabs>
              <w:tab w:val="right" w:leader="dot" w:pos="9350"/>
            </w:tabs>
            <w:rPr>
              <w:noProof/>
            </w:rPr>
          </w:pPr>
          <w:hyperlink w:anchor="_Toc236356544" w:history="1">
            <w:r w:rsidRPr="007C06D3">
              <w:rPr>
                <w:rStyle w:val="Hyperlink"/>
                <w:noProof/>
              </w:rPr>
              <w:t>Task 6: Exploring Digital Innovation in Health and Social Care</w:t>
            </w:r>
            <w:r>
              <w:rPr>
                <w:noProof/>
                <w:webHidden/>
              </w:rPr>
              <w:tab/>
            </w:r>
            <w:r>
              <w:rPr>
                <w:noProof/>
                <w:webHidden/>
              </w:rPr>
              <w:fldChar w:fldCharType="begin"/>
            </w:r>
            <w:r>
              <w:rPr>
                <w:noProof/>
                <w:webHidden/>
              </w:rPr>
              <w:instrText xml:space="preserve"> PAGEREF _Toc236356544 \h </w:instrText>
            </w:r>
            <w:r>
              <w:rPr>
                <w:noProof/>
                <w:webHidden/>
              </w:rPr>
            </w:r>
            <w:r>
              <w:rPr>
                <w:noProof/>
                <w:webHidden/>
              </w:rPr>
              <w:fldChar w:fldCharType="separate"/>
            </w:r>
            <w:r w:rsidR="00D374FF">
              <w:rPr>
                <w:noProof/>
                <w:webHidden/>
              </w:rPr>
              <w:t>8</w:t>
            </w:r>
            <w:r>
              <w:rPr>
                <w:noProof/>
                <w:webHidden/>
              </w:rPr>
              <w:fldChar w:fldCharType="end"/>
            </w:r>
          </w:hyperlink>
        </w:p>
        <w:p w14:paraId="10754D8B" w14:textId="61EA249C" w:rsidR="00FB2EF8" w:rsidRDefault="00FB2EF8" w:rsidP="00D374FF">
          <w:pPr>
            <w:pStyle w:val="TOC1"/>
            <w:tabs>
              <w:tab w:val="right" w:leader="dot" w:pos="9350"/>
            </w:tabs>
            <w:rPr>
              <w:noProof/>
            </w:rPr>
          </w:pPr>
          <w:hyperlink w:anchor="_Toc236356545" w:history="1">
            <w:r w:rsidRPr="007C06D3">
              <w:rPr>
                <w:rStyle w:val="Hyperlink"/>
                <w:noProof/>
              </w:rPr>
              <w:t>Task 7: Understanding the NHS Leadership Framework</w:t>
            </w:r>
            <w:r>
              <w:rPr>
                <w:noProof/>
                <w:webHidden/>
              </w:rPr>
              <w:tab/>
            </w:r>
            <w:r>
              <w:rPr>
                <w:noProof/>
                <w:webHidden/>
              </w:rPr>
              <w:fldChar w:fldCharType="begin"/>
            </w:r>
            <w:r>
              <w:rPr>
                <w:noProof/>
                <w:webHidden/>
              </w:rPr>
              <w:instrText xml:space="preserve"> PAGEREF _Toc236356545 \h </w:instrText>
            </w:r>
            <w:r>
              <w:rPr>
                <w:noProof/>
                <w:webHidden/>
              </w:rPr>
            </w:r>
            <w:r>
              <w:rPr>
                <w:noProof/>
                <w:webHidden/>
              </w:rPr>
              <w:fldChar w:fldCharType="separate"/>
            </w:r>
            <w:r w:rsidR="00D374FF">
              <w:rPr>
                <w:noProof/>
                <w:webHidden/>
              </w:rPr>
              <w:t>9</w:t>
            </w:r>
            <w:r>
              <w:rPr>
                <w:noProof/>
                <w:webHidden/>
              </w:rPr>
              <w:fldChar w:fldCharType="end"/>
            </w:r>
          </w:hyperlink>
        </w:p>
        <w:p w14:paraId="7F2C82B1" w14:textId="126D8BB5" w:rsidR="00FB2EF8" w:rsidRDefault="00FB2EF8" w:rsidP="00D374FF">
          <w:pPr>
            <w:pStyle w:val="TOC1"/>
            <w:tabs>
              <w:tab w:val="right" w:leader="dot" w:pos="9350"/>
            </w:tabs>
            <w:rPr>
              <w:noProof/>
            </w:rPr>
          </w:pPr>
          <w:hyperlink w:anchor="_Toc236356546" w:history="1">
            <w:r w:rsidRPr="007C06D3">
              <w:rPr>
                <w:rStyle w:val="Hyperlink"/>
                <w:noProof/>
              </w:rPr>
              <w:t>Task 8: Self-Reflection Journal Entry</w:t>
            </w:r>
            <w:r>
              <w:rPr>
                <w:noProof/>
                <w:webHidden/>
              </w:rPr>
              <w:tab/>
            </w:r>
            <w:r>
              <w:rPr>
                <w:noProof/>
                <w:webHidden/>
              </w:rPr>
              <w:fldChar w:fldCharType="begin"/>
            </w:r>
            <w:r>
              <w:rPr>
                <w:noProof/>
                <w:webHidden/>
              </w:rPr>
              <w:instrText xml:space="preserve"> PAGEREF _Toc236356546 \h </w:instrText>
            </w:r>
            <w:r>
              <w:rPr>
                <w:noProof/>
                <w:webHidden/>
              </w:rPr>
            </w:r>
            <w:r>
              <w:rPr>
                <w:noProof/>
                <w:webHidden/>
              </w:rPr>
              <w:fldChar w:fldCharType="separate"/>
            </w:r>
            <w:r w:rsidR="00D374FF">
              <w:rPr>
                <w:noProof/>
                <w:webHidden/>
              </w:rPr>
              <w:t>10</w:t>
            </w:r>
            <w:r>
              <w:rPr>
                <w:noProof/>
                <w:webHidden/>
              </w:rPr>
              <w:fldChar w:fldCharType="end"/>
            </w:r>
          </w:hyperlink>
        </w:p>
        <w:p w14:paraId="699EBF27" w14:textId="3EB5BEC5" w:rsidR="00FB2EF8" w:rsidRDefault="00FB2EF8" w:rsidP="00D374FF">
          <w:pPr>
            <w:pStyle w:val="TOC1"/>
            <w:tabs>
              <w:tab w:val="right" w:leader="dot" w:pos="9350"/>
            </w:tabs>
            <w:rPr>
              <w:noProof/>
            </w:rPr>
          </w:pPr>
          <w:hyperlink w:anchor="_Toc236356547" w:history="1">
            <w:r w:rsidRPr="007C06D3">
              <w:rPr>
                <w:rStyle w:val="Hyperlink"/>
                <w:noProof/>
                <w:lang w:val="en-US"/>
              </w:rPr>
              <w:t>References</w:t>
            </w:r>
            <w:r>
              <w:rPr>
                <w:noProof/>
                <w:webHidden/>
              </w:rPr>
              <w:tab/>
            </w:r>
            <w:r>
              <w:rPr>
                <w:noProof/>
                <w:webHidden/>
              </w:rPr>
              <w:fldChar w:fldCharType="begin"/>
            </w:r>
            <w:r>
              <w:rPr>
                <w:noProof/>
                <w:webHidden/>
              </w:rPr>
              <w:instrText xml:space="preserve"> PAGEREF _Toc236356547 \h </w:instrText>
            </w:r>
            <w:r>
              <w:rPr>
                <w:noProof/>
                <w:webHidden/>
              </w:rPr>
            </w:r>
            <w:r>
              <w:rPr>
                <w:noProof/>
                <w:webHidden/>
              </w:rPr>
              <w:fldChar w:fldCharType="separate"/>
            </w:r>
            <w:r w:rsidR="00D374FF">
              <w:rPr>
                <w:noProof/>
                <w:webHidden/>
              </w:rPr>
              <w:t>11</w:t>
            </w:r>
            <w:r>
              <w:rPr>
                <w:noProof/>
                <w:webHidden/>
              </w:rPr>
              <w:fldChar w:fldCharType="end"/>
            </w:r>
          </w:hyperlink>
        </w:p>
        <w:p w14:paraId="6AA431A2" w14:textId="7F7BFBA3" w:rsidR="00FB2EF8" w:rsidRDefault="00FB2EF8" w:rsidP="00D374FF">
          <w:r>
            <w:rPr>
              <w:b/>
              <w:bCs/>
              <w:noProof/>
            </w:rPr>
            <w:fldChar w:fldCharType="end"/>
          </w:r>
        </w:p>
      </w:sdtContent>
    </w:sdt>
    <w:p w14:paraId="38460FF0" w14:textId="77777777" w:rsidR="005D5970" w:rsidRPr="005D5970" w:rsidRDefault="005D5970" w:rsidP="00D374FF">
      <w:pPr>
        <w:jc w:val="center"/>
        <w:rPr>
          <w:rStyle w:val="Strong"/>
          <w:rFonts w:cs="Times New Roman"/>
          <w:color w:val="1D2125"/>
          <w:sz w:val="36"/>
          <w:szCs w:val="36"/>
        </w:rPr>
      </w:pPr>
    </w:p>
    <w:p w14:paraId="5951A8CF" w14:textId="5ED85957" w:rsidR="00121F58" w:rsidRDefault="00121F58" w:rsidP="00D374FF">
      <w:pPr>
        <w:spacing w:after="160"/>
        <w:jc w:val="left"/>
      </w:pPr>
      <w:r>
        <w:br w:type="page"/>
      </w:r>
    </w:p>
    <w:p w14:paraId="5CB1A55C" w14:textId="77777777" w:rsidR="005D5970" w:rsidRDefault="005D5970" w:rsidP="00D374FF">
      <w:pPr>
        <w:pStyle w:val="Heading1"/>
      </w:pPr>
      <w:bookmarkStart w:id="0" w:name="_Toc236356539"/>
      <w:r>
        <w:lastRenderedPageBreak/>
        <w:t>Task 1: Defining Key Concepts in Practice</w:t>
      </w:r>
      <w:bookmarkEnd w:id="0"/>
    </w:p>
    <w:p w14:paraId="26219636" w14:textId="4553C880" w:rsidR="005D5970" w:rsidRDefault="005D5970" w:rsidP="00D374FF">
      <w:r>
        <w:t>Innovation refers to the addition of a new idea, service, product or process that enhances practice. Innovation is relevant in health and social care due to the increased demand and limited resources, as well as complicated patient requirements for services. It assists organisations to enhance access, quality and safety of care. As an example, virtual wards enable certain patients to enjoy hospital-level care at home as a result of remote monitoring. The Diffusion of Innovation Theory by Rogers describes the process of the spread of new ideas and technologies across organisations and acceptance by employees (García-Avilés, 2020).</w:t>
      </w:r>
    </w:p>
    <w:p w14:paraId="718C5CA6" w14:textId="2E1EF5D4" w:rsidR="005D5970" w:rsidRDefault="005D5970" w:rsidP="00D374FF">
      <w:r>
        <w:t>Creativity implies generating original and useful ideas. It is significant in health and social care since employees frequently must resolve issues in pragmatic ways. Person-centred care, improved communication and improved service design are some of the aspects that can be supported by creative thinking. As an illustration, a care home can adopt the use of music, visual reminders or memory boxes to assist dementia residents. According to the Componential Theory of Creativity by Amabile, creativity rises when people blend information, expertise and drive to come up with valuable novel thoughts (Amabile, 2012).</w:t>
      </w:r>
    </w:p>
    <w:p w14:paraId="30CB2DA3" w14:textId="2B4675C7" w:rsidR="005D5970" w:rsidRDefault="005D5970" w:rsidP="00D374FF">
      <w:r>
        <w:t>Value creation refers to the increase in output in terms of service users, staff or communities with the use of resources in an efficient manner. Value in health and social care is not just monetary. It entails improved health, dignity, independence, safety and satisfaction. As an illustration, a falls-prevention programme is capable of decreasing the number of hospital admissions and enhancing the confidence of older people. According to Porter, value is created in healthcare whereby the services end up benefiting the patient in comparison to the cost of care delivery (Porter, 2010).</w:t>
      </w:r>
    </w:p>
    <w:p w14:paraId="7DA29E41" w14:textId="796A2D8B" w:rsidR="005D5970" w:rsidRDefault="005D5970" w:rsidP="00D374FF">
      <w:r>
        <w:t>Change is a process of leaving what we are doing to adopt a better way of doing things. It is significant since the health and social care systems should react to the new technology, policy, population needs and inequalities. To illustrate, the implementation of electronic health records alters the process of information sharing and coordination among professionals. According to Lewin's Change Management Model, change takes place by unfreezing the existing practice, introducing new behaviours and stabilising the improvement (Morrison, 2014).</w:t>
      </w:r>
    </w:p>
    <w:p w14:paraId="629E0DDC" w14:textId="77777777" w:rsidR="005D5970" w:rsidRDefault="005D5970" w:rsidP="00D374FF">
      <w:pPr>
        <w:pStyle w:val="Heading1"/>
      </w:pPr>
      <w:bookmarkStart w:id="1" w:name="_Toc236356540"/>
      <w:r>
        <w:lastRenderedPageBreak/>
        <w:t>Task 2: Mind Map</w:t>
      </w:r>
      <w:bookmarkEnd w:id="1"/>
    </w:p>
    <w:p w14:paraId="317FF32C" w14:textId="77777777" w:rsidR="005D5970" w:rsidRDefault="005D5970" w:rsidP="00D374FF">
      <w:pPr>
        <w:pStyle w:val="NormalWeb"/>
        <w:keepNext/>
        <w:spacing w:line="360" w:lineRule="auto"/>
        <w:jc w:val="center"/>
      </w:pPr>
      <w:r>
        <w:rPr>
          <w:noProof/>
          <w:lang w:val="en-US" w:eastAsia="en-US"/>
        </w:rPr>
        <w:drawing>
          <wp:inline distT="0" distB="0" distL="0" distR="0" wp14:anchorId="34DCEB2E" wp14:editId="11BCE1C8">
            <wp:extent cx="3869113" cy="5157577"/>
            <wp:effectExtent l="3493" t="0" r="1587" b="1588"/>
            <wp:docPr id="596978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16200000">
                      <a:off x="0" y="0"/>
                      <a:ext cx="3871241" cy="5160414"/>
                    </a:xfrm>
                    <a:prstGeom prst="rect">
                      <a:avLst/>
                    </a:prstGeom>
                    <a:noFill/>
                    <a:ln>
                      <a:noFill/>
                    </a:ln>
                  </pic:spPr>
                </pic:pic>
              </a:graphicData>
            </a:graphic>
          </wp:inline>
        </w:drawing>
      </w:r>
    </w:p>
    <w:p w14:paraId="6486A0A3" w14:textId="28CE6E1D" w:rsidR="005D5970" w:rsidRDefault="005D5970" w:rsidP="00D374FF">
      <w:pPr>
        <w:pStyle w:val="Caption"/>
        <w:spacing w:line="360" w:lineRule="auto"/>
        <w:jc w:val="center"/>
      </w:pPr>
      <w:r>
        <w:t xml:space="preserve">Figure </w:t>
      </w:r>
      <w:fldSimple w:instr=" SEQ Figure \* ARABIC ">
        <w:r>
          <w:rPr>
            <w:noProof/>
          </w:rPr>
          <w:t>1</w:t>
        </w:r>
      </w:fldSimple>
      <w:r>
        <w:t xml:space="preserve"> </w:t>
      </w:r>
      <w:r w:rsidRPr="00870804">
        <w:t>Mind Map</w:t>
      </w:r>
    </w:p>
    <w:p w14:paraId="7E8719C5" w14:textId="236BD33D" w:rsidR="005D5970" w:rsidRPr="005D5970" w:rsidRDefault="005D5970" w:rsidP="00D374FF">
      <w:pPr>
        <w:jc w:val="center"/>
        <w:rPr>
          <w:b/>
          <w:bCs/>
          <w:sz w:val="22"/>
          <w:szCs w:val="22"/>
        </w:rPr>
      </w:pPr>
      <w:r w:rsidRPr="005D5970">
        <w:rPr>
          <w:b/>
          <w:bCs/>
          <w:sz w:val="22"/>
          <w:szCs w:val="22"/>
        </w:rPr>
        <w:t>Source: (Group-Made)</w:t>
      </w:r>
    </w:p>
    <w:p w14:paraId="332825B6" w14:textId="35F5EAA7" w:rsidR="005D5970" w:rsidRDefault="005D5970" w:rsidP="00D374FF">
      <w:r>
        <w:t>High childhood obesity in Barking and Dagenham is the problem presented in the mind map. This is a significant issue as it predisposes one to physical and mental health issues, such as type 2 diabetes, heart disease and low self-esteem. As depicted in the mind map, childhood obesity is affected by a number of interrelated aspects such as deprivation, ethnic disparities, unhealthy food environments, physical inactivity and family lifestyle. To illustrate, lack of access to nutritious food, fast-food restaurants, low health literacy and lack of access to recreational areas may contribute to a higher risk of obesity. Systems Thinking Approach indicates that health issues are caused by a series of interrelated factors and not a single one (Meadows, 2008). Unless this problem is resolved, disparities in health can continue to grow, especially among children residing in deprived communities.</w:t>
      </w:r>
    </w:p>
    <w:p w14:paraId="37F38C3F" w14:textId="12046C42" w:rsidR="00C25AC3" w:rsidRPr="00C25AC3" w:rsidRDefault="00C25AC3" w:rsidP="00D374FF">
      <w:pPr>
        <w:pStyle w:val="Heading1"/>
      </w:pPr>
      <w:bookmarkStart w:id="2" w:name="_Toc236356541"/>
      <w:r w:rsidRPr="00C25AC3">
        <w:lastRenderedPageBreak/>
        <w:t>Task 3</w:t>
      </w:r>
      <w:r w:rsidR="00FB2EF8">
        <w:t>:</w:t>
      </w:r>
      <w:r w:rsidRPr="00C25AC3">
        <w:t xml:space="preserve"> Self-Reflection of Group Activity</w:t>
      </w:r>
      <w:bookmarkEnd w:id="2"/>
    </w:p>
    <w:p w14:paraId="3314DEBB" w14:textId="275FBF0A" w:rsidR="00FB2EF8" w:rsidRDefault="00FB2EF8" w:rsidP="00D374FF">
      <w:r>
        <w:t>This reflection employs Gibbs Reflective Cycle (1988). As part of the convergent and divergent thinking task, my group investigated concepts to solve a problem of obesity in children within Barking and Dagenham. Divergent thinking consisted of the formation of numerous creative ideas without any evaluation, whereas convergent thinking was aimed at the identification of the most feasible and effective solutions. Divergent thinking proved to be a more natural way of thinking to me as I liked proposing various community-based solutions, such as school health campaigns and family cooking workshops. Nevertheless, in moments when our group could not agree on the most appropriate solution, I offered to make a list of pros and cons and contrast every idea. This assisted the group in coming to a common decision and enhanced our discussion.</w:t>
      </w:r>
    </w:p>
    <w:p w14:paraId="42B16D7F" w14:textId="7DCAB609" w:rsidR="00FB2EF8" w:rsidRDefault="00FB2EF8" w:rsidP="00D374FF">
      <w:r>
        <w:t>When I was thinking about the activity, I realised that I can make the most contribution when I provide participation encouragement and assist in organising the ideas. I also discovered that it is more effective in making decisions when I listen and consider the other opinions rather than just going with my own proposals. According to Gibbs (1988), reflection helps in sustaining learning through evaluation of the experiences and making future practice better. In future, I will invite those group members who talk less to express more ideas at the beginning of the discussion to ensure that our ultimate solution has a richer diversity of viewpoints.</w:t>
      </w:r>
    </w:p>
    <w:p w14:paraId="6A307089" w14:textId="77777777" w:rsidR="00D374FF" w:rsidRDefault="00D374FF">
      <w:pPr>
        <w:spacing w:after="160" w:line="259" w:lineRule="auto"/>
        <w:jc w:val="left"/>
        <w:rPr>
          <w:rFonts w:eastAsiaTheme="majorEastAsia" w:cstheme="majorBidi"/>
          <w:b/>
          <w:sz w:val="32"/>
          <w:szCs w:val="32"/>
        </w:rPr>
      </w:pPr>
      <w:bookmarkStart w:id="3" w:name="_Toc236356542"/>
      <w:r>
        <w:br w:type="page"/>
      </w:r>
    </w:p>
    <w:p w14:paraId="2BC27881" w14:textId="66F826AC" w:rsidR="00FB2EF8" w:rsidRDefault="001C6243" w:rsidP="00D374FF">
      <w:pPr>
        <w:pStyle w:val="Heading1"/>
      </w:pPr>
      <w:r>
        <w:rPr>
          <w:noProof/>
          <w14:ligatures w14:val="standardContextual"/>
        </w:rPr>
        <w:lastRenderedPageBreak/>
        <w:drawing>
          <wp:inline distT="0" distB="0" distL="0" distR="0" wp14:anchorId="58F079B6" wp14:editId="30C8DA0B">
            <wp:extent cx="5943600" cy="7924800"/>
            <wp:effectExtent l="0" t="0" r="0" b="0"/>
            <wp:docPr id="665565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565045" name="Picture 665565045"/>
                    <pic:cNvPicPr/>
                  </pic:nvPicPr>
                  <pic:blipFill>
                    <a:blip r:embed="rId7">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r w:rsidR="00FB2EF8">
        <w:lastRenderedPageBreak/>
        <w:t>Task 4: Case Study Analysis of a UK Innovation</w:t>
      </w:r>
      <w:bookmarkEnd w:id="3"/>
    </w:p>
    <w:p w14:paraId="5E95BEC2" w14:textId="6FFBE42E" w:rsidR="00FB2EF8" w:rsidRDefault="00FB2EF8" w:rsidP="00D374FF">
      <w:r>
        <w:t>The UK innovation of NHS virtual wards is also paramount in that it lowers the pressure in hospitals and enables appropriate patients to obtain hospital-level care at home. This was necessitated by the rising admissions, bed shortages and the dangers that come with prolonged hospitalisations. Remote monitoring devices, digital communication and clinical support are innovatively combined in virtual wards. Patients note the data (blood pressure, oxygen levels and symptoms) and remote access is reviewed by medical professionals. This generates value by assisting patients to heal in a setting they know and thereby vacating hospital beds and allowing hospital staff to detect deterioration sooner. A virtual ward NHS assessment concluded that this method saved about one hospitalisation per 2.5 virtual ward hospitalisations, with potential systems-wide value (NHS England, 2024). Studies have also discovered that patients in virtual wards had reduced hospital stays, but readmission chances need to be closely considered and followed to select and monitor patients (Jalilian et al., 2024). Adoption is more likely to rise when the innovation proves to be practical and more beneficial than the existing practice, which is the Diffusion of Innovation Theory proposed by Rogers (SAHIN, 2006). Virtual wards could be extended to other areas, but access should be digital, and staff, as well as patient safety, should be taken into account.</w:t>
      </w:r>
    </w:p>
    <w:p w14:paraId="2036BEC2" w14:textId="5389F13F" w:rsidR="00D374FF" w:rsidRDefault="00D374FF">
      <w:pPr>
        <w:spacing w:after="160" w:line="259" w:lineRule="auto"/>
        <w:jc w:val="left"/>
        <w:rPr>
          <w:rFonts w:eastAsiaTheme="majorEastAsia" w:cstheme="majorBidi"/>
          <w:b/>
          <w:sz w:val="32"/>
          <w:szCs w:val="32"/>
        </w:rPr>
      </w:pPr>
      <w:bookmarkStart w:id="4" w:name="_Toc236356543"/>
      <w:r>
        <w:br w:type="page"/>
      </w:r>
    </w:p>
    <w:p w14:paraId="31C406C6" w14:textId="5B867A4A" w:rsidR="00FB2EF8" w:rsidRDefault="00BC3ABF" w:rsidP="00D374FF">
      <w:pPr>
        <w:pStyle w:val="Heading1"/>
      </w:pPr>
      <w:r>
        <w:rPr>
          <w:noProof/>
          <w14:ligatures w14:val="standardContextual"/>
        </w:rPr>
        <w:lastRenderedPageBreak/>
        <w:drawing>
          <wp:inline distT="0" distB="0" distL="0" distR="0" wp14:anchorId="510E6051" wp14:editId="63F0F8AA">
            <wp:extent cx="5943600" cy="7924800"/>
            <wp:effectExtent l="0" t="0" r="0" b="0"/>
            <wp:docPr id="11276461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646194" name="Picture 112764619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r w:rsidR="00FB2EF8">
        <w:lastRenderedPageBreak/>
        <w:t>Task 5: Research Task</w:t>
      </w:r>
      <w:bookmarkEnd w:id="4"/>
    </w:p>
    <w:p w14:paraId="48449BCB" w14:textId="77777777" w:rsidR="00FB2EF8" w:rsidRPr="00FB2EF8" w:rsidRDefault="00FB2EF8" w:rsidP="00D374FF">
      <w:pPr>
        <w:rPr>
          <w:b/>
          <w:bCs/>
        </w:rPr>
      </w:pPr>
      <w:r w:rsidRPr="00FB2EF8">
        <w:rPr>
          <w:b/>
          <w:bCs/>
        </w:rPr>
        <w:t>Issue: Staff Stress and Burnout in Health and Social Care</w:t>
      </w:r>
    </w:p>
    <w:p w14:paraId="0B1987A0" w14:textId="155D7D0E" w:rsidR="00FB2EF8" w:rsidRDefault="00FB2EF8" w:rsidP="00D374FF">
      <w:r>
        <w:t>Health and social care burnout among staff is a significant issue, which impacts on the wellbeing and quality of services and patient safety among staff. The Burnout Theory of Maslach describes the origin of burnout in terms of emotional exhaustion, depersonalisation and a lack of professional achievement (Eddu-</w:t>
      </w:r>
      <w:proofErr w:type="spellStart"/>
      <w:r>
        <w:t>Valsania</w:t>
      </w:r>
      <w:proofErr w:type="spellEnd"/>
      <w:r>
        <w:t xml:space="preserve">, </w:t>
      </w:r>
      <w:proofErr w:type="spellStart"/>
      <w:r>
        <w:t>Laguia</w:t>
      </w:r>
      <w:proofErr w:type="spellEnd"/>
      <w:r>
        <w:t xml:space="preserve"> and </w:t>
      </w:r>
      <w:proofErr w:type="spellStart"/>
      <w:r>
        <w:t>Moriano</w:t>
      </w:r>
      <w:proofErr w:type="spellEnd"/>
      <w:r>
        <w:t xml:space="preserve">, 2022). According to </w:t>
      </w:r>
      <w:proofErr w:type="spellStart"/>
      <w:r>
        <w:t>Dudecina</w:t>
      </w:r>
      <w:proofErr w:type="spellEnd"/>
      <w:r>
        <w:t xml:space="preserve"> and </w:t>
      </w:r>
      <w:proofErr w:type="spellStart"/>
      <w:r>
        <w:t>Martinsone</w:t>
      </w:r>
      <w:proofErr w:type="spellEnd"/>
      <w:r>
        <w:t xml:space="preserve"> (2025), burnout in healthcare professionals is significantly caused by the excessive workload, lack of resources and insufficient organisational support. Their research points out that workplace stress may be reduced by enhancing teamwork and leadership support.</w:t>
      </w:r>
    </w:p>
    <w:p w14:paraId="6D74C689" w14:textId="77777777" w:rsidR="00FB2EF8" w:rsidRDefault="00FB2EF8" w:rsidP="00D374FF">
      <w:r>
        <w:t>Likewise, Jalilian et al. (2024) also discovered that job demands, emotional pressure and work-life imbalance were sources of stress among healthcare workers. But where West et al. are more concerned with organisational factors, De Hert is more concerned with individual psychological impacts and coping challenges. Collectively, these experiments demonstrate that systems of workplaces and individual pressures are the causes of burnout.</w:t>
      </w:r>
    </w:p>
    <w:p w14:paraId="33F16590" w14:textId="77777777" w:rsidR="00FB2EF8" w:rsidRDefault="00FB2EF8" w:rsidP="00D374FF">
      <w:r>
        <w:t>Stress in staff can manifest in actual care environments by manifesting in the form of fatigue, decreased motivation, more absences and poorer quality of patient interactions. These results made me realise that burnout is a problem that must be addressed through ingenious organisational interventions which include supportive leadership, flexible working practices and staff wellbeing programmes.</w:t>
      </w:r>
    </w:p>
    <w:p w14:paraId="236466BF" w14:textId="77777777" w:rsidR="00D374FF" w:rsidRDefault="00D374FF">
      <w:pPr>
        <w:spacing w:after="160" w:line="259" w:lineRule="auto"/>
        <w:jc w:val="left"/>
        <w:rPr>
          <w:rFonts w:eastAsiaTheme="majorEastAsia" w:cstheme="majorBidi"/>
          <w:b/>
          <w:sz w:val="32"/>
          <w:szCs w:val="32"/>
        </w:rPr>
      </w:pPr>
      <w:bookmarkStart w:id="5" w:name="_Toc236356544"/>
      <w:r>
        <w:br w:type="page"/>
      </w:r>
    </w:p>
    <w:p w14:paraId="4ED21F73" w14:textId="25D49532" w:rsidR="00FB2EF8" w:rsidRDefault="001C6243" w:rsidP="00D374FF">
      <w:pPr>
        <w:pStyle w:val="Heading1"/>
      </w:pPr>
      <w:r>
        <w:rPr>
          <w:noProof/>
          <w14:ligatures w14:val="standardContextual"/>
        </w:rPr>
        <w:lastRenderedPageBreak/>
        <w:drawing>
          <wp:inline distT="0" distB="0" distL="0" distR="0" wp14:anchorId="676C69F1" wp14:editId="6A97FDD0">
            <wp:extent cx="5940225" cy="4533765"/>
            <wp:effectExtent l="0" t="0" r="3810" b="635"/>
            <wp:docPr id="16706900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690025" name="Picture 1670690025"/>
                    <pic:cNvPicPr/>
                  </pic:nvPicPr>
                  <pic:blipFill>
                    <a:blip r:embed="rId9">
                      <a:extLst>
                        <a:ext uri="{28A0092B-C50C-407E-A947-70E740481C1C}">
                          <a14:useLocalDpi xmlns:a14="http://schemas.microsoft.com/office/drawing/2010/main" val="0"/>
                        </a:ext>
                      </a:extLst>
                    </a:blip>
                    <a:stretch>
                      <a:fillRect/>
                    </a:stretch>
                  </pic:blipFill>
                  <pic:spPr>
                    <a:xfrm>
                      <a:off x="0" y="0"/>
                      <a:ext cx="5967926" cy="4554907"/>
                    </a:xfrm>
                    <a:prstGeom prst="rect">
                      <a:avLst/>
                    </a:prstGeom>
                  </pic:spPr>
                </pic:pic>
              </a:graphicData>
            </a:graphic>
          </wp:inline>
        </w:drawing>
      </w:r>
      <w:r w:rsidR="00FB2EF8">
        <w:t>Task 6: Exploring Digital Innovation in Health and Social Care</w:t>
      </w:r>
      <w:bookmarkEnd w:id="5"/>
    </w:p>
    <w:p w14:paraId="6E0D6C52" w14:textId="77777777" w:rsidR="00FB2EF8" w:rsidRPr="00FB2EF8" w:rsidRDefault="00FB2EF8" w:rsidP="00D374FF">
      <w:pPr>
        <w:rPr>
          <w:b/>
          <w:bCs/>
        </w:rPr>
      </w:pPr>
      <w:r w:rsidRPr="00FB2EF8">
        <w:rPr>
          <w:b/>
          <w:bCs/>
        </w:rPr>
        <w:t>Wearable Health Technologies</w:t>
      </w:r>
    </w:p>
    <w:p w14:paraId="14017510" w14:textId="28DD44E5" w:rsidR="00FB2EF8" w:rsidRDefault="00FB2EF8" w:rsidP="00D374FF">
      <w:r>
        <w:t>Smart devices, including smartwatches and fitness trackers, help in the management of chronic diseases, enabling the constant monitoring of health-related data. The devices are able to detect heart rate and physical activity, sleep patterns and, to some extent, the oxygen levels in blood. As an illustration, wearables can assist individuals with heart diseases to detect abnormal alterations and seek medical assistance sooner. This enhances patient participation as people are able to take care of themselves. Technology Acceptance Model is an approach that indicates that individuals tend to embrace the use of digital tools when they become convinced that they are helpful and accessible (Ma and Liu, 2005). Nevertheless, medical institutions should take into account the privacy of data and accessibility on the Internet to provide equal advantages to all customers of the services.</w:t>
      </w:r>
    </w:p>
    <w:p w14:paraId="16F49040" w14:textId="77777777" w:rsidR="00FB2EF8" w:rsidRPr="00FB2EF8" w:rsidRDefault="00FB2EF8" w:rsidP="00D374FF">
      <w:pPr>
        <w:rPr>
          <w:b/>
          <w:bCs/>
        </w:rPr>
      </w:pPr>
      <w:r w:rsidRPr="00FB2EF8">
        <w:rPr>
          <w:b/>
          <w:bCs/>
        </w:rPr>
        <w:t>Electronic Health Records (EHRs)</w:t>
      </w:r>
    </w:p>
    <w:p w14:paraId="3F4EABE2" w14:textId="61E2BE67" w:rsidR="00FB2EF8" w:rsidRDefault="00FB2EF8" w:rsidP="00D374FF">
      <w:r>
        <w:lastRenderedPageBreak/>
        <w:t>Electronic Health Records facilitate better communication and collaboration through the ability of authorised healthcare professionals to gain access to correct patient data across various services. To illustrate, a patient transitioning between a GP, a hospital and a community care provider will have EHRs to help ensure that he or she has access to critical medical history, medication details and treatment plans. This minimises repeats, enhances decision-making and promotes safer care. Multidisciplinary teams, too, are promoted to work together as a result of EHRs offering a common platform of information. Nevertheless, to implement it successfully, staff education and efficient cybersecurity mechanisms are needed to ensure confidentiality.</w:t>
      </w:r>
    </w:p>
    <w:p w14:paraId="4824E5A0" w14:textId="77777777" w:rsidR="00FB2EF8" w:rsidRPr="00FB2EF8" w:rsidRDefault="00FB2EF8" w:rsidP="00D374FF">
      <w:pPr>
        <w:rPr>
          <w:b/>
          <w:bCs/>
        </w:rPr>
      </w:pPr>
      <w:r w:rsidRPr="00FB2EF8">
        <w:rPr>
          <w:b/>
          <w:bCs/>
        </w:rPr>
        <w:t>Digital Technology for Preventative Care and Health Promotion</w:t>
      </w:r>
    </w:p>
    <w:p w14:paraId="4A8A13E0" w14:textId="436857AD" w:rsidR="00FB2EF8" w:rsidRDefault="00FB2EF8" w:rsidP="00D374FF">
      <w:r>
        <w:t>Digital technology can be used to facilitate preventative care by assisting individuals to track risks and have health information before issues get severe. As an example, a health mobile application can help families and children with nutrition tips, activity monitoring and healthy lifestyle reminders to decrease childhood obesity. This technology helps in the prevention of early intervention and promotes healthier behaviours. The studies indicate that digital health interventions have the potential to enhance engagement and self-management provided that the interventions are user-centred (</w:t>
      </w:r>
      <w:proofErr w:type="spellStart"/>
      <w:r>
        <w:t>Edú-Valsania</w:t>
      </w:r>
      <w:proofErr w:type="spellEnd"/>
      <w:r>
        <w:t xml:space="preserve">, </w:t>
      </w:r>
      <w:proofErr w:type="spellStart"/>
      <w:r>
        <w:t>Laguía</w:t>
      </w:r>
      <w:proofErr w:type="spellEnd"/>
      <w:r>
        <w:t xml:space="preserve"> and </w:t>
      </w:r>
      <w:proofErr w:type="spellStart"/>
      <w:r>
        <w:t>Moriano</w:t>
      </w:r>
      <w:proofErr w:type="spellEnd"/>
      <w:r>
        <w:t>, 2022). Digital platforms may help in aiding schools, families, and healthcare professionals to lead healthier lifestyles and minimise health inequalities in the context of Barking and Dagenham.</w:t>
      </w:r>
    </w:p>
    <w:p w14:paraId="2E294FAB" w14:textId="556BD595" w:rsidR="00FB2EF8" w:rsidRDefault="00FB2EF8" w:rsidP="00D374FF">
      <w:pPr>
        <w:pStyle w:val="Heading1"/>
      </w:pPr>
      <w:bookmarkStart w:id="6" w:name="_Toc236356545"/>
      <w:r>
        <w:t>Task 7: Understanding the NHS Leadership Framework</w:t>
      </w:r>
      <w:bookmarkEnd w:id="6"/>
    </w:p>
    <w:p w14:paraId="01E21E0E" w14:textId="11D13505" w:rsidR="00FB2EF8" w:rsidRDefault="00FB2EF8" w:rsidP="00D374FF">
      <w:r>
        <w:t>The NHS Leadership Framework outlines important behaviours essential in effective health and social care leadership. It pays attention to such areas as inspiring shared purpose, leading with care, assessing information, connecting services, sharing responsibility and impacting others. The framework assists professionals to acquire leadership ability that enhances teamwork, decision-making, as well as care quality. Leadership is also necessary as complex health issues need to be tackled by integrating the efforts of other individuals, as well as by fostering innovation and constant improvement (</w:t>
      </w:r>
      <w:proofErr w:type="spellStart"/>
      <w:r>
        <w:t>Edú-Valsania</w:t>
      </w:r>
      <w:proofErr w:type="spellEnd"/>
      <w:r>
        <w:t xml:space="preserve">, </w:t>
      </w:r>
      <w:proofErr w:type="spellStart"/>
      <w:r>
        <w:t>Laguía</w:t>
      </w:r>
      <w:proofErr w:type="spellEnd"/>
      <w:r>
        <w:t xml:space="preserve"> and </w:t>
      </w:r>
      <w:proofErr w:type="spellStart"/>
      <w:r>
        <w:t>Moriano</w:t>
      </w:r>
      <w:proofErr w:type="spellEnd"/>
      <w:r>
        <w:t>, 2022). It also helps leaders to provide favourable conditions in which the staff has the courage to pitch ideas and enhance services.</w:t>
      </w:r>
    </w:p>
    <w:p w14:paraId="5AA7A4C6" w14:textId="113FABB3" w:rsidR="00FB2EF8" w:rsidRDefault="00FB2EF8" w:rsidP="00D374FF">
      <w:r>
        <w:t xml:space="preserve">The inspiration of shared purpose is one such behaviour. This behaviour can be applied by leaders through establishing a clear vision and motivating employees to collaborate in order to achieve shared goals. To illustrate, a health manager focusing on childhood obesity might engage the nurses, schools and communities in establishing innovative prevention programs. This practice is </w:t>
      </w:r>
      <w:r>
        <w:lastRenderedPageBreak/>
        <w:t>a transformational leadership style, and leaders inspire others by influencing them with their common values and creativity (Bass and Avolio, 1994).</w:t>
      </w:r>
    </w:p>
    <w:p w14:paraId="6C6927C8" w14:textId="77777777" w:rsidR="00FB2EF8" w:rsidRPr="00FB2EF8" w:rsidRDefault="00FB2EF8" w:rsidP="00D374FF">
      <w:pPr>
        <w:rPr>
          <w:b/>
          <w:bCs/>
        </w:rPr>
      </w:pPr>
      <w:r w:rsidRPr="00FB2EF8">
        <w:rPr>
          <w:b/>
          <w:bCs/>
        </w:rPr>
        <w:t>Reflective Journal Entry</w:t>
      </w:r>
    </w:p>
    <w:p w14:paraId="19280B0F" w14:textId="14837C04" w:rsidR="00FB2EF8" w:rsidRDefault="00FB2EF8" w:rsidP="00D374FF">
      <w:r>
        <w:t>The lessons during this module have informed my perception of creativity and innovation from merely the process of coming up with new ideas to a more critical perception of them as a means of generating meaningful value to health and social care. The convergent and divergent thinking exercise taught me that when attempting to find creative solutions, not only imagination but also critical evaluation is necessary. The innovation theories, leadership, and digital technology made me see the ways of introducing improvements in a new light. I am now aware that value creation entails enhancing results for users of the services provided, staff and communities instead of merely cutting costs. To enhance the quality of care in my future practice, I will use creative thinking, collaborative leadership, and evidence-based decision-making to come up with solutions to this problem.</w:t>
      </w:r>
    </w:p>
    <w:p w14:paraId="215EAEDA" w14:textId="77777777" w:rsidR="00D374FF" w:rsidRDefault="00D374FF">
      <w:pPr>
        <w:spacing w:after="160" w:line="259" w:lineRule="auto"/>
        <w:jc w:val="left"/>
        <w:rPr>
          <w:rFonts w:eastAsiaTheme="majorEastAsia" w:cstheme="majorBidi"/>
          <w:b/>
          <w:sz w:val="32"/>
          <w:szCs w:val="32"/>
        </w:rPr>
      </w:pPr>
      <w:bookmarkStart w:id="7" w:name="_Toc236356546"/>
      <w:r>
        <w:br w:type="page"/>
      </w:r>
    </w:p>
    <w:p w14:paraId="303D0B67" w14:textId="5DC6740B" w:rsidR="00FB2EF8" w:rsidRDefault="00FB2EF8" w:rsidP="00D374FF">
      <w:pPr>
        <w:pStyle w:val="Heading1"/>
      </w:pPr>
      <w:r>
        <w:lastRenderedPageBreak/>
        <w:t>Task 8: Self-Reflection Journal Entry</w:t>
      </w:r>
      <w:bookmarkEnd w:id="7"/>
    </w:p>
    <w:p w14:paraId="6506F322" w14:textId="71F08BE2" w:rsidR="006F47AC" w:rsidRPr="006F47AC" w:rsidRDefault="00FB2EF8" w:rsidP="00D374FF">
      <w:r>
        <w:t>This module transformed my perception of innovation beyond just developing new ideas to creating practical solutions that add value to individuals and communities. The case study and creative thinking activity on childhood obesity made me realise that to come up with effective solutions, it is necessary to be creative and assess the problem. Employing the Reflective Cycle by Gibbs assisted me in examining my learning experience and determining my areas of weakness (Gibbs, 1988). I am aware today that creativity, leadership, and technology are interrelated to enhance health and social care outcomes. These skills will be used in my future professional work in assisting collaborative problem-solving and creating person-centred strategies that enhance service quality and wellbeing.</w:t>
      </w:r>
    </w:p>
    <w:p w14:paraId="1F75DB79" w14:textId="77777777" w:rsidR="00C25AC3" w:rsidRDefault="00C25AC3" w:rsidP="00D374FF"/>
    <w:p w14:paraId="3637E8BA" w14:textId="77777777" w:rsidR="005D5970" w:rsidRDefault="005D5970" w:rsidP="00D374FF">
      <w:pPr>
        <w:spacing w:after="160"/>
        <w:jc w:val="left"/>
      </w:pPr>
      <w:r>
        <w:br w:type="page"/>
      </w:r>
    </w:p>
    <w:p w14:paraId="7E1CBC51" w14:textId="2D3818C2" w:rsidR="005D5970" w:rsidRPr="005D5970" w:rsidRDefault="005D5970" w:rsidP="00D374FF">
      <w:pPr>
        <w:pStyle w:val="Heading1"/>
        <w:rPr>
          <w:lang w:val="en-US"/>
        </w:rPr>
      </w:pPr>
      <w:bookmarkStart w:id="8" w:name="_Toc236356547"/>
      <w:r w:rsidRPr="005D5970">
        <w:rPr>
          <w:lang w:val="en-US"/>
        </w:rPr>
        <w:lastRenderedPageBreak/>
        <w:t>Reference</w:t>
      </w:r>
      <w:r>
        <w:rPr>
          <w:lang w:val="en-US"/>
        </w:rPr>
        <w:t>s</w:t>
      </w:r>
      <w:bookmarkEnd w:id="8"/>
    </w:p>
    <w:p w14:paraId="5CF51E90" w14:textId="77777777" w:rsidR="00FB2EF8" w:rsidRPr="005D5970" w:rsidRDefault="00FB2EF8" w:rsidP="00D374FF">
      <w:pPr>
        <w:rPr>
          <w:lang w:val="en-US"/>
        </w:rPr>
      </w:pPr>
      <w:r w:rsidRPr="005D5970">
        <w:rPr>
          <w:lang w:val="en-US"/>
        </w:rPr>
        <w:t xml:space="preserve">Amabile, T. (2012). </w:t>
      </w:r>
      <w:r w:rsidRPr="005D5970">
        <w:rPr>
          <w:i/>
          <w:iCs/>
          <w:lang w:val="en-US"/>
        </w:rPr>
        <w:t>Componential Theory of Creativity</w:t>
      </w:r>
      <w:r w:rsidRPr="005D5970">
        <w:rPr>
          <w:lang w:val="en-US"/>
        </w:rPr>
        <w:t xml:space="preserve">. [online] Harvard Business School. Available at: </w:t>
      </w:r>
      <w:hyperlink r:id="rId10" w:history="1">
        <w:r w:rsidRPr="005D5970">
          <w:rPr>
            <w:rStyle w:val="Hyperlink"/>
            <w:lang w:val="en-US"/>
          </w:rPr>
          <w:t>https://www.hbs.edu/ris/Publication%20Files/12-096.pdf</w:t>
        </w:r>
      </w:hyperlink>
      <w:r w:rsidRPr="005D5970">
        <w:rPr>
          <w:lang w:val="en-US"/>
        </w:rPr>
        <w:t>.</w:t>
      </w:r>
    </w:p>
    <w:p w14:paraId="42A26935" w14:textId="77777777" w:rsidR="00FB2EF8" w:rsidRPr="00FB2EF8" w:rsidRDefault="00FB2EF8" w:rsidP="00D374FF">
      <w:proofErr w:type="spellStart"/>
      <w:r w:rsidRPr="00FB2EF8">
        <w:t>Dūdiņa</w:t>
      </w:r>
      <w:proofErr w:type="spellEnd"/>
      <w:r w:rsidRPr="00FB2EF8">
        <w:t xml:space="preserve">, K. and </w:t>
      </w:r>
      <w:proofErr w:type="spellStart"/>
      <w:r w:rsidRPr="00FB2EF8">
        <w:t>Martinsone</w:t>
      </w:r>
      <w:proofErr w:type="spellEnd"/>
      <w:r w:rsidRPr="00FB2EF8">
        <w:t xml:space="preserve">, B. (2025). Psychosocial risks and protective factors for healthcare worker burnout during the post-acute phase of the COVID-19 pandemic. </w:t>
      </w:r>
      <w:r w:rsidRPr="00FB2EF8">
        <w:rPr>
          <w:i/>
          <w:iCs/>
        </w:rPr>
        <w:t>European Journal of Investigation in Health, Psychology and Education</w:t>
      </w:r>
      <w:r w:rsidRPr="00FB2EF8">
        <w:t>, 15(9), p.186. doi:10.3390/ejihpe15090186.</w:t>
      </w:r>
    </w:p>
    <w:p w14:paraId="6BAAE97F" w14:textId="77777777" w:rsidR="00FB2EF8" w:rsidRPr="00FB2EF8" w:rsidRDefault="00FB2EF8" w:rsidP="00D374FF">
      <w:proofErr w:type="spellStart"/>
      <w:r w:rsidRPr="00FB2EF8">
        <w:t>Edú-Valsania</w:t>
      </w:r>
      <w:proofErr w:type="spellEnd"/>
      <w:r w:rsidRPr="00FB2EF8">
        <w:t xml:space="preserve">, S., </w:t>
      </w:r>
      <w:proofErr w:type="spellStart"/>
      <w:r w:rsidRPr="00FB2EF8">
        <w:t>Laguía</w:t>
      </w:r>
      <w:proofErr w:type="spellEnd"/>
      <w:r w:rsidRPr="00FB2EF8">
        <w:t xml:space="preserve">, A. and </w:t>
      </w:r>
      <w:proofErr w:type="spellStart"/>
      <w:r w:rsidRPr="00FB2EF8">
        <w:t>Moriano</w:t>
      </w:r>
      <w:proofErr w:type="spellEnd"/>
      <w:r w:rsidRPr="00FB2EF8">
        <w:t xml:space="preserve">, J.A. (2022). Burnout: A Review of Theory and Measurement. </w:t>
      </w:r>
      <w:r w:rsidRPr="00FB2EF8">
        <w:rPr>
          <w:i/>
          <w:iCs/>
        </w:rPr>
        <w:t>International Journal of Environmental Research and Public Health</w:t>
      </w:r>
      <w:r w:rsidRPr="00FB2EF8">
        <w:t>, [online] 19(3), pp.1–27. doi:10.3390/ijerph19031780.</w:t>
      </w:r>
    </w:p>
    <w:p w14:paraId="16CCA5C6" w14:textId="77777777" w:rsidR="00FB2EF8" w:rsidRPr="005D5970" w:rsidRDefault="00FB2EF8" w:rsidP="00D374FF">
      <w:pPr>
        <w:rPr>
          <w:lang w:val="en-US"/>
        </w:rPr>
      </w:pPr>
      <w:r w:rsidRPr="005D5970">
        <w:rPr>
          <w:lang w:val="en-US"/>
        </w:rPr>
        <w:t xml:space="preserve">García-Avilés, J.A. (2020). </w:t>
      </w:r>
      <w:r w:rsidRPr="005D5970">
        <w:rPr>
          <w:i/>
          <w:iCs/>
          <w:lang w:val="en-US"/>
        </w:rPr>
        <w:t>Diffusion of Innovation</w:t>
      </w:r>
      <w:r w:rsidRPr="005D5970">
        <w:rPr>
          <w:lang w:val="en-US"/>
        </w:rPr>
        <w:t xml:space="preserve">. [online] ResearchGate. Available at: </w:t>
      </w:r>
      <w:hyperlink r:id="rId11" w:history="1">
        <w:r w:rsidRPr="005D5970">
          <w:rPr>
            <w:rStyle w:val="Hyperlink"/>
            <w:lang w:val="en-US"/>
          </w:rPr>
          <w:t>https://www.researchgate.net/publication/344338279_Diffusion_of_Innovation</w:t>
        </w:r>
      </w:hyperlink>
      <w:r w:rsidRPr="005D5970">
        <w:rPr>
          <w:lang w:val="en-US"/>
        </w:rPr>
        <w:t>.</w:t>
      </w:r>
    </w:p>
    <w:p w14:paraId="4400617D" w14:textId="77777777" w:rsidR="00FB2EF8" w:rsidRPr="00FB2EF8" w:rsidRDefault="00FB2EF8" w:rsidP="00D374FF">
      <w:r w:rsidRPr="00FB2EF8">
        <w:t xml:space="preserve">Gibbs, G. (1988). </w:t>
      </w:r>
      <w:r w:rsidRPr="00FB2EF8">
        <w:rPr>
          <w:i/>
          <w:iCs/>
        </w:rPr>
        <w:t>Teaching Students to Learn: A Student-Centred Approach</w:t>
      </w:r>
      <w:r w:rsidRPr="00FB2EF8">
        <w:t>. Milton Keynes: Open University Press.</w:t>
      </w:r>
    </w:p>
    <w:p w14:paraId="5DA8D9F7" w14:textId="77777777" w:rsidR="00FB2EF8" w:rsidRPr="00FB2EF8" w:rsidRDefault="00FB2EF8" w:rsidP="00D374FF">
      <w:r w:rsidRPr="00FB2EF8">
        <w:t xml:space="preserve">Jalilian, A., </w:t>
      </w:r>
      <w:proofErr w:type="spellStart"/>
      <w:r w:rsidRPr="00FB2EF8">
        <w:t>Sedda</w:t>
      </w:r>
      <w:proofErr w:type="spellEnd"/>
      <w:r w:rsidRPr="00FB2EF8">
        <w:t xml:space="preserve">, L., Unsworth, A. and Farrier, M. (2024). Length of stay and economic sustainability of virtual ward care in a medium-sized hospital of the UK: A retrospective longitudinal study. </w:t>
      </w:r>
      <w:r w:rsidRPr="00FB2EF8">
        <w:rPr>
          <w:i/>
          <w:iCs/>
        </w:rPr>
        <w:t>BMJ Open</w:t>
      </w:r>
      <w:r w:rsidRPr="00FB2EF8">
        <w:t xml:space="preserve">, 14(1), </w:t>
      </w:r>
      <w:proofErr w:type="gramStart"/>
      <w:r w:rsidRPr="00FB2EF8">
        <w:t>pp.e</w:t>
      </w:r>
      <w:proofErr w:type="gramEnd"/>
      <w:r w:rsidRPr="00FB2EF8">
        <w:t>081378-e081378. doi:10.1136/bmjopen-2023-081378.</w:t>
      </w:r>
    </w:p>
    <w:p w14:paraId="31BEC59A" w14:textId="77777777" w:rsidR="00FB2EF8" w:rsidRPr="00FB2EF8" w:rsidRDefault="00FB2EF8" w:rsidP="00D374FF">
      <w:r w:rsidRPr="00FB2EF8">
        <w:t xml:space="preserve">Ma, Q. and Liu, L. (2005). </w:t>
      </w:r>
      <w:r w:rsidRPr="00FB2EF8">
        <w:rPr>
          <w:i/>
          <w:iCs/>
        </w:rPr>
        <w:t>The Technology Acceptance Model</w:t>
      </w:r>
      <w:r w:rsidRPr="00FB2EF8">
        <w:t xml:space="preserve">. [online] </w:t>
      </w:r>
      <w:r w:rsidRPr="00FB2EF8">
        <w:rPr>
          <w:i/>
          <w:iCs/>
        </w:rPr>
        <w:t>ResearchGate</w:t>
      </w:r>
      <w:r w:rsidRPr="00FB2EF8">
        <w:t>. Available at: https://www.researchgate.net/publication/314410967_The_Technology_Acceptance_Model [Accessed 31 July 2026].</w:t>
      </w:r>
    </w:p>
    <w:p w14:paraId="7EAF7BDC" w14:textId="77777777" w:rsidR="00FB2EF8" w:rsidRPr="005D5970" w:rsidRDefault="00FB2EF8" w:rsidP="00D374FF">
      <w:pPr>
        <w:rPr>
          <w:lang w:val="en-US"/>
        </w:rPr>
      </w:pPr>
      <w:r w:rsidRPr="005D5970">
        <w:rPr>
          <w:lang w:val="en-US"/>
        </w:rPr>
        <w:t xml:space="preserve">Morrison, M. (2014). </w:t>
      </w:r>
      <w:r w:rsidRPr="005D5970">
        <w:rPr>
          <w:i/>
          <w:iCs/>
          <w:lang w:val="en-US"/>
        </w:rPr>
        <w:t xml:space="preserve">Kurt Lewin change theory </w:t>
      </w:r>
      <w:r>
        <w:rPr>
          <w:i/>
          <w:iCs/>
          <w:lang w:val="en-US"/>
        </w:rPr>
        <w:t>three-step</w:t>
      </w:r>
      <w:r w:rsidRPr="005D5970">
        <w:rPr>
          <w:i/>
          <w:iCs/>
          <w:lang w:val="en-US"/>
        </w:rPr>
        <w:t xml:space="preserve"> model – unfreeze, change, freeze</w:t>
      </w:r>
      <w:r w:rsidRPr="005D5970">
        <w:rPr>
          <w:lang w:val="en-US"/>
        </w:rPr>
        <w:t xml:space="preserve">. [online] RapidBI. Available at: </w:t>
      </w:r>
      <w:hyperlink r:id="rId12" w:history="1">
        <w:r w:rsidRPr="005D5970">
          <w:rPr>
            <w:rStyle w:val="Hyperlink"/>
            <w:lang w:val="en-US"/>
          </w:rPr>
          <w:t>https://rapidbi.com/kurt-lewin-three-step-change-theory/</w:t>
        </w:r>
      </w:hyperlink>
      <w:r w:rsidRPr="005D5970">
        <w:rPr>
          <w:lang w:val="en-US"/>
        </w:rPr>
        <w:t>.</w:t>
      </w:r>
    </w:p>
    <w:p w14:paraId="2D2F9BBD" w14:textId="77777777" w:rsidR="00FB2EF8" w:rsidRPr="00FB2EF8" w:rsidRDefault="00FB2EF8" w:rsidP="00D374FF">
      <w:r w:rsidRPr="00FB2EF8">
        <w:t xml:space="preserve">NHS England (2024). </w:t>
      </w:r>
      <w:r w:rsidRPr="00FB2EF8">
        <w:rPr>
          <w:i/>
          <w:iCs/>
        </w:rPr>
        <w:t>NHS England » NHS plan to cut avoidable admissions to further boost efforts to reduce waiting times</w:t>
      </w:r>
      <w:r w:rsidRPr="00FB2EF8">
        <w:t xml:space="preserve">. [online] </w:t>
      </w:r>
      <w:r w:rsidRPr="00FB2EF8">
        <w:rPr>
          <w:i/>
          <w:iCs/>
        </w:rPr>
        <w:t>www.england.nhs.uk</w:t>
      </w:r>
      <w:r w:rsidRPr="00FB2EF8">
        <w:t>. Available at: https://www.england.nhs.uk/2024/05/nhs-plan-to-cut-avoidable-admissions-to-further-boost-efforts-to-reduce-waiting-times/ [Accessed 31 July 2026].</w:t>
      </w:r>
    </w:p>
    <w:p w14:paraId="16765C08" w14:textId="77777777" w:rsidR="00FB2EF8" w:rsidRPr="005D5970" w:rsidRDefault="00FB2EF8" w:rsidP="00D374FF">
      <w:pPr>
        <w:rPr>
          <w:lang w:val="en-US"/>
        </w:rPr>
      </w:pPr>
      <w:r w:rsidRPr="005D5970">
        <w:rPr>
          <w:lang w:val="en-US"/>
        </w:rPr>
        <w:t xml:space="preserve">Porter, M.E. (2010). What Is Value in Health Care? </w:t>
      </w:r>
      <w:r w:rsidRPr="005D5970">
        <w:rPr>
          <w:i/>
          <w:iCs/>
          <w:lang w:val="en-US"/>
        </w:rPr>
        <w:t>New England Journal of Medicine</w:t>
      </w:r>
      <w:r w:rsidRPr="005D5970">
        <w:rPr>
          <w:lang w:val="en-US"/>
        </w:rPr>
        <w:t>, [online] 363(26), pp.2477–2481. doi:</w:t>
      </w:r>
      <w:hyperlink r:id="rId13" w:history="1">
        <w:r w:rsidRPr="005D5970">
          <w:rPr>
            <w:rStyle w:val="Hyperlink"/>
            <w:lang w:val="en-US"/>
          </w:rPr>
          <w:t>https://doi.org/10.1056/nejmp1011024</w:t>
        </w:r>
      </w:hyperlink>
      <w:r w:rsidRPr="005D5970">
        <w:rPr>
          <w:lang w:val="en-US"/>
        </w:rPr>
        <w:t>.</w:t>
      </w:r>
    </w:p>
    <w:p w14:paraId="55B5657D" w14:textId="77777777" w:rsidR="00FB2EF8" w:rsidRPr="00FB2EF8" w:rsidRDefault="00FB2EF8" w:rsidP="00D374FF">
      <w:r w:rsidRPr="00FB2EF8">
        <w:t xml:space="preserve">SAHIN, I. (2006). </w:t>
      </w:r>
      <w:r w:rsidRPr="00FB2EF8">
        <w:rPr>
          <w:i/>
          <w:iCs/>
        </w:rPr>
        <w:t>Detailed Review of Rogers” Diffusion of Innovations Theory and Educational Technology-Related Studies Based on Rogers” Theory</w:t>
      </w:r>
      <w:r w:rsidRPr="00FB2EF8">
        <w:t xml:space="preserve">. [online] </w:t>
      </w:r>
      <w:r w:rsidRPr="00FB2EF8">
        <w:rPr>
          <w:i/>
          <w:iCs/>
        </w:rPr>
        <w:t>ResearchGate</w:t>
      </w:r>
      <w:r w:rsidRPr="00FB2EF8">
        <w:t>. Available at: https://www.researchgate.net/publication/284675572_Detailed_review_of_Rogers [Accessed 31 July 2026].</w:t>
      </w:r>
    </w:p>
    <w:p w14:paraId="0AD55A4D" w14:textId="77777777" w:rsidR="00121F58" w:rsidRDefault="00121F58" w:rsidP="00D374FF"/>
    <w:sectPr w:rsidR="00121F58" w:rsidSect="002B75E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1F58"/>
    <w:rsid w:val="00030414"/>
    <w:rsid w:val="000C23F1"/>
    <w:rsid w:val="001009A0"/>
    <w:rsid w:val="00121F58"/>
    <w:rsid w:val="001239EE"/>
    <w:rsid w:val="00137737"/>
    <w:rsid w:val="001847A3"/>
    <w:rsid w:val="00192AA1"/>
    <w:rsid w:val="001C6243"/>
    <w:rsid w:val="001E63FB"/>
    <w:rsid w:val="00207D6F"/>
    <w:rsid w:val="0027098B"/>
    <w:rsid w:val="002B75EE"/>
    <w:rsid w:val="002F2DF1"/>
    <w:rsid w:val="003128C9"/>
    <w:rsid w:val="0037403A"/>
    <w:rsid w:val="003C061D"/>
    <w:rsid w:val="00430EC4"/>
    <w:rsid w:val="004D7B1B"/>
    <w:rsid w:val="00573088"/>
    <w:rsid w:val="005D5970"/>
    <w:rsid w:val="005F20A9"/>
    <w:rsid w:val="006516B5"/>
    <w:rsid w:val="006A6722"/>
    <w:rsid w:val="006B2800"/>
    <w:rsid w:val="006F47AC"/>
    <w:rsid w:val="0088109F"/>
    <w:rsid w:val="008C33EB"/>
    <w:rsid w:val="008F5256"/>
    <w:rsid w:val="009705CB"/>
    <w:rsid w:val="009B1675"/>
    <w:rsid w:val="00A7000E"/>
    <w:rsid w:val="00A76591"/>
    <w:rsid w:val="00A77CB9"/>
    <w:rsid w:val="00BC3ABF"/>
    <w:rsid w:val="00C21755"/>
    <w:rsid w:val="00C25AC3"/>
    <w:rsid w:val="00C738F5"/>
    <w:rsid w:val="00CA119C"/>
    <w:rsid w:val="00D24204"/>
    <w:rsid w:val="00D374FF"/>
    <w:rsid w:val="00D550E0"/>
    <w:rsid w:val="00D67334"/>
    <w:rsid w:val="00D86404"/>
    <w:rsid w:val="00D95AED"/>
    <w:rsid w:val="00DD06AE"/>
    <w:rsid w:val="00DD6020"/>
    <w:rsid w:val="00DF7C00"/>
    <w:rsid w:val="00E1653B"/>
    <w:rsid w:val="00E71AF4"/>
    <w:rsid w:val="00E83A91"/>
    <w:rsid w:val="00E83C66"/>
    <w:rsid w:val="00F70821"/>
    <w:rsid w:val="00FB2EF8"/>
    <w:rsid w:val="00FD0F17"/>
    <w:rsid w:val="00FD57A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BE169"/>
  <w15:chartTrackingRefBased/>
  <w15:docId w15:val="{F5C26339-6E47-4BF5-9430-F41779088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D6F"/>
    <w:pPr>
      <w:spacing w:after="0" w:line="360" w:lineRule="auto"/>
      <w:jc w:val="both"/>
    </w:pPr>
    <w:rPr>
      <w:rFonts w:ascii="Times New Roman" w:hAnsi="Times New Roman"/>
      <w:sz w:val="24"/>
      <w:szCs w:val="24"/>
      <w14:ligatures w14:val="none"/>
    </w:rPr>
  </w:style>
  <w:style w:type="paragraph" w:styleId="Heading1">
    <w:name w:val="heading 1"/>
    <w:basedOn w:val="Normal"/>
    <w:next w:val="Normal"/>
    <w:link w:val="Heading1Char"/>
    <w:uiPriority w:val="9"/>
    <w:qFormat/>
    <w:rsid w:val="009705CB"/>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D0F17"/>
    <w:pPr>
      <w:keepNext/>
      <w:keepLines/>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30EC4"/>
    <w:pPr>
      <w:keepNext/>
      <w:keepLines/>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121F58"/>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1F58"/>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121F5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21F5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21F5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21F5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5CB"/>
    <w:rPr>
      <w:rFonts w:ascii="Times New Roman" w:eastAsiaTheme="majorEastAsia" w:hAnsi="Times New Roman" w:cstheme="majorBidi"/>
      <w:b/>
      <w:sz w:val="32"/>
      <w:szCs w:val="32"/>
      <w14:ligatures w14:val="none"/>
    </w:rPr>
  </w:style>
  <w:style w:type="character" w:customStyle="1" w:styleId="Heading2Char">
    <w:name w:val="Heading 2 Char"/>
    <w:basedOn w:val="DefaultParagraphFont"/>
    <w:link w:val="Heading2"/>
    <w:uiPriority w:val="9"/>
    <w:rsid w:val="00FD0F17"/>
    <w:rPr>
      <w:rFonts w:ascii="Times New Roman" w:eastAsiaTheme="majorEastAsia" w:hAnsi="Times New Roman" w:cstheme="majorBidi"/>
      <w:b/>
      <w:sz w:val="28"/>
      <w:szCs w:val="26"/>
      <w14:ligatures w14:val="none"/>
    </w:rPr>
  </w:style>
  <w:style w:type="paragraph" w:styleId="Title">
    <w:name w:val="Title"/>
    <w:basedOn w:val="Normal"/>
    <w:next w:val="Normal"/>
    <w:link w:val="TitleChar"/>
    <w:uiPriority w:val="10"/>
    <w:qFormat/>
    <w:rsid w:val="00A76591"/>
    <w:pPr>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A76591"/>
    <w:rPr>
      <w:rFonts w:ascii="Times New Roman" w:eastAsiaTheme="majorEastAsia" w:hAnsi="Times New Roman" w:cstheme="majorBidi"/>
      <w:b/>
      <w:color w:val="000000" w:themeColor="text1"/>
      <w:spacing w:val="-10"/>
      <w:kern w:val="28"/>
      <w:sz w:val="52"/>
      <w:szCs w:val="56"/>
    </w:rPr>
  </w:style>
  <w:style w:type="paragraph" w:styleId="Caption">
    <w:name w:val="caption"/>
    <w:basedOn w:val="Normal"/>
    <w:next w:val="Normal"/>
    <w:uiPriority w:val="35"/>
    <w:unhideWhenUsed/>
    <w:qFormat/>
    <w:rsid w:val="009B1675"/>
    <w:pPr>
      <w:spacing w:before="120" w:after="200" w:line="240" w:lineRule="auto"/>
    </w:pPr>
    <w:rPr>
      <w:b/>
      <w:iCs/>
      <w:color w:val="000000" w:themeColor="text1"/>
      <w:sz w:val="22"/>
      <w:szCs w:val="18"/>
    </w:rPr>
  </w:style>
  <w:style w:type="character" w:customStyle="1" w:styleId="Heading3Char">
    <w:name w:val="Heading 3 Char"/>
    <w:basedOn w:val="DefaultParagraphFont"/>
    <w:link w:val="Heading3"/>
    <w:uiPriority w:val="9"/>
    <w:semiHidden/>
    <w:rsid w:val="00430EC4"/>
    <w:rPr>
      <w:rFonts w:eastAsiaTheme="majorEastAsia" w:cstheme="majorBidi"/>
      <w:color w:val="365F91" w:themeColor="accent1" w:themeShade="BF"/>
      <w:sz w:val="28"/>
      <w:szCs w:val="28"/>
      <w14:ligatures w14:val="none"/>
    </w:rPr>
  </w:style>
  <w:style w:type="paragraph" w:styleId="TOCHeading">
    <w:name w:val="TOC Heading"/>
    <w:basedOn w:val="Heading1"/>
    <w:next w:val="Normal"/>
    <w:uiPriority w:val="39"/>
    <w:unhideWhenUsed/>
    <w:qFormat/>
    <w:rsid w:val="003128C9"/>
    <w:pPr>
      <w:spacing w:before="240" w:line="259" w:lineRule="auto"/>
      <w:jc w:val="left"/>
      <w:outlineLvl w:val="9"/>
    </w:pPr>
    <w:rPr>
      <w:color w:val="000000" w:themeColor="text1"/>
      <w:lang w:val="en-US"/>
    </w:rPr>
  </w:style>
  <w:style w:type="character" w:customStyle="1" w:styleId="Heading4Char">
    <w:name w:val="Heading 4 Char"/>
    <w:basedOn w:val="DefaultParagraphFont"/>
    <w:link w:val="Heading4"/>
    <w:uiPriority w:val="9"/>
    <w:semiHidden/>
    <w:rsid w:val="00121F58"/>
    <w:rPr>
      <w:rFonts w:eastAsiaTheme="majorEastAsia" w:cstheme="majorBidi"/>
      <w:i/>
      <w:iCs/>
      <w:color w:val="365F91" w:themeColor="accent1" w:themeShade="BF"/>
      <w:sz w:val="24"/>
      <w:szCs w:val="24"/>
      <w14:ligatures w14:val="none"/>
    </w:rPr>
  </w:style>
  <w:style w:type="character" w:customStyle="1" w:styleId="Heading5Char">
    <w:name w:val="Heading 5 Char"/>
    <w:basedOn w:val="DefaultParagraphFont"/>
    <w:link w:val="Heading5"/>
    <w:uiPriority w:val="9"/>
    <w:semiHidden/>
    <w:rsid w:val="00121F58"/>
    <w:rPr>
      <w:rFonts w:eastAsiaTheme="majorEastAsia" w:cstheme="majorBidi"/>
      <w:color w:val="365F91" w:themeColor="accent1" w:themeShade="BF"/>
      <w:sz w:val="24"/>
      <w:szCs w:val="24"/>
      <w14:ligatures w14:val="none"/>
    </w:rPr>
  </w:style>
  <w:style w:type="character" w:customStyle="1" w:styleId="Heading6Char">
    <w:name w:val="Heading 6 Char"/>
    <w:basedOn w:val="DefaultParagraphFont"/>
    <w:link w:val="Heading6"/>
    <w:uiPriority w:val="9"/>
    <w:semiHidden/>
    <w:rsid w:val="00121F58"/>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121F58"/>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121F58"/>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121F58"/>
    <w:rPr>
      <w:rFonts w:eastAsiaTheme="majorEastAsia" w:cstheme="majorBidi"/>
      <w:color w:val="272727" w:themeColor="text1" w:themeTint="D8"/>
      <w:sz w:val="24"/>
      <w:szCs w:val="24"/>
      <w14:ligatures w14:val="none"/>
    </w:rPr>
  </w:style>
  <w:style w:type="paragraph" w:styleId="Subtitle">
    <w:name w:val="Subtitle"/>
    <w:basedOn w:val="Normal"/>
    <w:next w:val="Normal"/>
    <w:link w:val="SubtitleChar"/>
    <w:uiPriority w:val="11"/>
    <w:qFormat/>
    <w:rsid w:val="00121F5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1F58"/>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121F5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21F58"/>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121F58"/>
    <w:pPr>
      <w:ind w:left="720"/>
      <w:contextualSpacing/>
    </w:pPr>
  </w:style>
  <w:style w:type="character" w:styleId="IntenseEmphasis">
    <w:name w:val="Intense Emphasis"/>
    <w:basedOn w:val="DefaultParagraphFont"/>
    <w:uiPriority w:val="21"/>
    <w:qFormat/>
    <w:rsid w:val="00121F58"/>
    <w:rPr>
      <w:i/>
      <w:iCs/>
      <w:color w:val="365F91" w:themeColor="accent1" w:themeShade="BF"/>
    </w:rPr>
  </w:style>
  <w:style w:type="paragraph" w:styleId="IntenseQuote">
    <w:name w:val="Intense Quote"/>
    <w:basedOn w:val="Normal"/>
    <w:next w:val="Normal"/>
    <w:link w:val="IntenseQuoteChar"/>
    <w:uiPriority w:val="30"/>
    <w:qFormat/>
    <w:rsid w:val="00121F58"/>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121F58"/>
    <w:rPr>
      <w:rFonts w:ascii="Times New Roman" w:hAnsi="Times New Roman"/>
      <w:i/>
      <w:iCs/>
      <w:color w:val="365F91" w:themeColor="accent1" w:themeShade="BF"/>
      <w:sz w:val="24"/>
      <w:szCs w:val="24"/>
      <w14:ligatures w14:val="none"/>
    </w:rPr>
  </w:style>
  <w:style w:type="character" w:styleId="IntenseReference">
    <w:name w:val="Intense Reference"/>
    <w:basedOn w:val="DefaultParagraphFont"/>
    <w:uiPriority w:val="32"/>
    <w:qFormat/>
    <w:rsid w:val="00121F58"/>
    <w:rPr>
      <w:b/>
      <w:bCs/>
      <w:smallCaps/>
      <w:color w:val="365F91" w:themeColor="accent1" w:themeShade="BF"/>
      <w:spacing w:val="5"/>
    </w:rPr>
  </w:style>
  <w:style w:type="paragraph" w:styleId="NormalWeb">
    <w:name w:val="Normal (Web)"/>
    <w:basedOn w:val="Normal"/>
    <w:uiPriority w:val="99"/>
    <w:unhideWhenUsed/>
    <w:rsid w:val="005D5970"/>
    <w:pPr>
      <w:spacing w:before="100" w:beforeAutospacing="1" w:after="100" w:afterAutospacing="1" w:line="240" w:lineRule="auto"/>
      <w:jc w:val="left"/>
    </w:pPr>
    <w:rPr>
      <w:rFonts w:eastAsia="Times New Roman" w:cs="Times New Roman"/>
      <w:lang w:eastAsia="en-GB"/>
    </w:rPr>
  </w:style>
  <w:style w:type="character" w:styleId="Strong">
    <w:name w:val="Strong"/>
    <w:basedOn w:val="DefaultParagraphFont"/>
    <w:uiPriority w:val="22"/>
    <w:qFormat/>
    <w:rsid w:val="005D5970"/>
    <w:rPr>
      <w:b/>
      <w:bCs/>
    </w:rPr>
  </w:style>
  <w:style w:type="character" w:styleId="Hyperlink">
    <w:name w:val="Hyperlink"/>
    <w:basedOn w:val="DefaultParagraphFont"/>
    <w:uiPriority w:val="99"/>
    <w:unhideWhenUsed/>
    <w:rsid w:val="005D5970"/>
    <w:rPr>
      <w:color w:val="0000FF" w:themeColor="hyperlink"/>
      <w:u w:val="single"/>
    </w:rPr>
  </w:style>
  <w:style w:type="character" w:customStyle="1" w:styleId="UnresolvedMention1">
    <w:name w:val="Unresolved Mention1"/>
    <w:basedOn w:val="DefaultParagraphFont"/>
    <w:uiPriority w:val="99"/>
    <w:semiHidden/>
    <w:unhideWhenUsed/>
    <w:rsid w:val="005D5970"/>
    <w:rPr>
      <w:color w:val="605E5C"/>
      <w:shd w:val="clear" w:color="auto" w:fill="E1DFDD"/>
    </w:rPr>
  </w:style>
  <w:style w:type="paragraph" w:styleId="TOC1">
    <w:name w:val="toc 1"/>
    <w:basedOn w:val="Normal"/>
    <w:next w:val="Normal"/>
    <w:autoRedefine/>
    <w:uiPriority w:val="39"/>
    <w:unhideWhenUsed/>
    <w:rsid w:val="00FB2EF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doi.org/10.1056/nejmp1011024"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rapidbi.com/kurt-lewin-three-step-change-theor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www.researchgate.net/publication/344338279_Diffusion_of_Innovation"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www.hbs.edu/ris/Publication%20Files/12-096.pdf"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2FF77F-EA03-4BA4-8508-4502209DD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2610</Words>
  <Characters>14877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Anwer Hosain Shakib</dc:creator>
  <cp:keywords/>
  <dc:description/>
  <cp:lastModifiedBy>Grecișchin Dina</cp:lastModifiedBy>
  <cp:revision>2</cp:revision>
  <dcterms:created xsi:type="dcterms:W3CDTF">2026-07-31T07:29:00Z</dcterms:created>
  <dcterms:modified xsi:type="dcterms:W3CDTF">2026-07-31T07:29:00Z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c58bc556-2e8b-40dc-ba18-9a11499a409d</vt:lpwstr>
  </property>
</Properties>
</file>