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spacing w:before="0" w:beforeAutospacing="0" w:after="0" w:afterAutospacing="0"/>
        <w:ind w:left="-180" w:right="-334"/>
      </w:pPr>
      <w:r>
        <w:drawing>
          <wp:inline distT="0" distB="0" distL="114300" distR="114300">
            <wp:extent cx="1816735" cy="728980"/>
            <wp:effectExtent l="0" t="0" r="12065" b="7620"/>
            <wp:docPr id="1" name="图片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UWTSD Logo"/>
                    <pic:cNvPicPr>
                      <a:picLocks noChangeAspect="1"/>
                    </pic:cNvPicPr>
                  </pic:nvPicPr>
                  <pic:blipFill>
                    <a:blip r:embed="rId7"/>
                    <a:stretch>
                      <a:fillRect/>
                    </a:stretch>
                  </pic:blipFill>
                  <pic:spPr>
                    <a:xfrm>
                      <a:off x="0" y="0"/>
                      <a:ext cx="1816735" cy="728980"/>
                    </a:xfrm>
                    <a:prstGeom prst="rect">
                      <a:avLst/>
                    </a:prstGeom>
                    <a:noFill/>
                    <a:ln>
                      <a:noFill/>
                    </a:ln>
                  </pic:spPr>
                </pic:pic>
              </a:graphicData>
            </a:graphic>
          </wp:inline>
        </w:drawing>
      </w:r>
    </w:p>
    <w:p>
      <w:pPr>
        <w:pStyle w:val="8"/>
        <w:spacing w:before="0" w:beforeAutospacing="0" w:after="0" w:afterAutospacing="0"/>
        <w:ind w:left="-180" w:right="-334"/>
      </w:pPr>
    </w:p>
    <w:p>
      <w:pPr>
        <w:pStyle w:val="8"/>
        <w:spacing w:before="0" w:beforeAutospacing="0" w:after="0" w:afterAutospacing="0"/>
        <w:ind w:left="-180" w:right="-334"/>
      </w:pPr>
    </w:p>
    <w:p>
      <w:pPr>
        <w:pStyle w:val="8"/>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pPr>
        <w:pStyle w:val="8"/>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pPr>
        <w:rPr>
          <w:rFonts w:ascii="Arial" w:hAnsi="Arial" w:cs="Arial"/>
          <w:sz w:val="28"/>
          <w:szCs w:val="28"/>
          <w:lang w:val="cy-GB"/>
        </w:rPr>
      </w:pPr>
    </w:p>
    <w:p>
      <w:pPr>
        <w:pStyle w:val="3"/>
        <w:jc w:val="center"/>
        <w:rPr>
          <w:lang w:val="cy-GB"/>
        </w:rPr>
      </w:pPr>
      <w:r>
        <w:rPr>
          <w:lang w:val="cy-GB"/>
        </w:rPr>
        <w:t>THIS SHEET MUST BE THE FIRST PAGE OF THE ASSIGNMENT YOU ARE SUBMITTING  (DO NOT SEND AS A SEPARATE FILE)</w:t>
      </w:r>
    </w:p>
    <w:tbl>
      <w:tblPr>
        <w:tblStyle w:val="10"/>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4422"/>
        <w:gridCol w:w="415"/>
        <w:gridCol w:w="1525"/>
        <w:gridCol w:w="280"/>
        <w:gridCol w:w="1880"/>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14" w:hRule="atLeast"/>
        </w:trPr>
        <w:tc>
          <w:tcPr>
            <w:tcW w:w="8856" w:type="dxa"/>
            <w:gridSpan w:val="5"/>
            <w:noWrap w:val="0"/>
            <w:vAlign w:val="top"/>
          </w:tcPr>
          <w:p>
            <w:pPr>
              <w:pStyle w:val="8"/>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18" w:hRule="atLeast"/>
        </w:trPr>
        <w:tc>
          <w:tcPr>
            <w:tcW w:w="8856" w:type="dxa"/>
            <w:gridSpan w:val="5"/>
            <w:noWrap w:val="0"/>
            <w:vAlign w:val="top"/>
          </w:tcPr>
          <w:p>
            <w:pPr>
              <w:pStyle w:val="8"/>
              <w:spacing w:before="0" w:beforeAutospacing="0" w:after="0" w:afterAutospacing="0"/>
              <w:ind w:right="34"/>
              <w:rPr>
                <w:rFonts w:hint="eastAsia" w:ascii="Arial" w:hAnsi="Arial" w:cs="Arial"/>
                <w:sz w:val="22"/>
                <w:szCs w:val="22"/>
                <w:lang w:val="en-US" w:eastAsia="zh-CN"/>
              </w:rPr>
            </w:pPr>
            <w:r>
              <w:rPr>
                <w:rFonts w:ascii="Arial" w:hAnsi="Arial" w:cs="Arial"/>
                <w:sz w:val="22"/>
                <w:szCs w:val="22"/>
              </w:rPr>
              <w:t>Student Name:</w:t>
            </w:r>
            <w:r>
              <w:rPr>
                <w:rFonts w:hint="eastAsia" w:ascii="Arial" w:hAnsi="Arial" w:cs="Arial"/>
                <w:sz w:val="22"/>
                <w:szCs w:val="22"/>
                <w:lang w:val="en-US" w:eastAsia="zh-CN"/>
              </w:rPr>
              <w:t>Xiaoyan Zhang</w:t>
            </w:r>
          </w:p>
          <w:p>
            <w:pPr>
              <w:pStyle w:val="8"/>
              <w:spacing w:before="0" w:beforeAutospacing="0" w:after="0" w:afterAutospacing="0"/>
              <w:ind w:right="34"/>
              <w:rPr>
                <w:rFonts w:ascii="Arial" w:hAnsi="Arial" w:cs="Arial"/>
                <w:sz w:val="22"/>
                <w:szCs w:val="22"/>
              </w:rPr>
            </w:pPr>
            <w:r>
              <w:rPr>
                <w:rFonts w:hint="eastAsia" w:ascii="Arial" w:hAnsi="Arial" w:cs="Arial"/>
                <w:sz w:val="22"/>
                <w:szCs w:val="22"/>
                <w:lang w:val="en-US" w:eastAsia="zh-CN"/>
              </w:rPr>
              <w:t>Student University Email: 2518635@student.uwtsd.ac.uk</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849" w:hRule="atLeast"/>
        </w:trPr>
        <w:tc>
          <w:tcPr>
            <w:tcW w:w="4788" w:type="dxa"/>
            <w:noWrap w:val="0"/>
            <w:vAlign w:val="top"/>
          </w:tcPr>
          <w:p>
            <w:pPr>
              <w:pStyle w:val="8"/>
              <w:spacing w:before="0" w:beforeAutospacing="0" w:after="0" w:afterAutospacing="0"/>
              <w:ind w:right="34"/>
              <w:rPr>
                <w:rFonts w:ascii="Arial" w:hAnsi="Arial" w:cs="Arial"/>
                <w:sz w:val="22"/>
                <w:szCs w:val="22"/>
              </w:rPr>
            </w:pPr>
            <w:r>
              <w:rPr>
                <w:rFonts w:ascii="Arial" w:hAnsi="Arial" w:cs="Arial"/>
                <w:sz w:val="22"/>
                <w:szCs w:val="22"/>
              </w:rPr>
              <w:t>Module code:</w:t>
            </w:r>
          </w:p>
          <w:p>
            <w:pPr>
              <w:pStyle w:val="8"/>
              <w:spacing w:before="0" w:beforeAutospacing="0" w:after="0" w:afterAutospacing="0"/>
              <w:ind w:right="34"/>
              <w:rPr>
                <w:rFonts w:hint="default" w:ascii="Arial" w:hAnsi="Arial" w:eastAsia="宋体" w:cs="Arial"/>
                <w:sz w:val="22"/>
                <w:szCs w:val="22"/>
                <w:lang w:val="en-US" w:eastAsia="zh-CN"/>
              </w:rPr>
            </w:pPr>
            <w:r>
              <w:rPr>
                <w:rFonts w:hint="eastAsia" w:ascii="Arial" w:hAnsi="Arial" w:cs="Arial"/>
                <w:sz w:val="22"/>
                <w:szCs w:val="22"/>
                <w:lang w:val="en-US" w:eastAsia="zh-CN"/>
              </w:rPr>
              <w:t>HPCA7015</w:t>
            </w:r>
          </w:p>
          <w:p>
            <w:pPr>
              <w:pStyle w:val="8"/>
              <w:spacing w:before="0" w:beforeAutospacing="0" w:after="0" w:afterAutospacing="0"/>
              <w:ind w:right="34"/>
              <w:rPr>
                <w:rFonts w:ascii="Arial" w:hAnsi="Arial" w:cs="Arial"/>
                <w:sz w:val="22"/>
                <w:szCs w:val="22"/>
              </w:rPr>
            </w:pPr>
            <w:r>
              <w:rPr>
                <w:rFonts w:ascii="Arial" w:hAnsi="Arial" w:cs="Arial"/>
                <w:sz w:val="22"/>
                <w:szCs w:val="22"/>
              </w:rPr>
              <w:t>Module title:</w:t>
            </w:r>
          </w:p>
          <w:p>
            <w:pPr>
              <w:pStyle w:val="8"/>
              <w:spacing w:before="0" w:beforeAutospacing="0" w:after="0" w:afterAutospacing="0"/>
              <w:ind w:right="34"/>
              <w:rPr>
                <w:rFonts w:ascii="Arial" w:hAnsi="Arial" w:cs="Arial"/>
                <w:sz w:val="22"/>
                <w:szCs w:val="22"/>
              </w:rPr>
            </w:pPr>
            <w:r>
              <w:rPr>
                <w:rFonts w:hint="default" w:ascii="Arial" w:hAnsi="Arial" w:cs="Arial"/>
                <w:sz w:val="22"/>
                <w:szCs w:val="22"/>
                <w:lang w:val="de"/>
              </w:rPr>
              <w:t>Foundations in Cultural Astronomy and Astrology</w:t>
            </w:r>
          </w:p>
        </w:tc>
        <w:tc>
          <w:tcPr>
            <w:tcW w:w="2266" w:type="dxa"/>
            <w:gridSpan w:val="3"/>
            <w:noWrap w:val="0"/>
            <w:vAlign w:val="top"/>
          </w:tcPr>
          <w:p>
            <w:pPr>
              <w:pStyle w:val="8"/>
              <w:spacing w:before="0" w:beforeAutospacing="0" w:after="0" w:afterAutospacing="0"/>
              <w:ind w:right="34"/>
              <w:rPr>
                <w:rFonts w:ascii="Arial" w:hAnsi="Arial" w:cs="Arial"/>
                <w:sz w:val="22"/>
                <w:szCs w:val="22"/>
              </w:rPr>
            </w:pPr>
            <w:r>
              <w:rPr>
                <w:rFonts w:ascii="Arial" w:hAnsi="Arial" w:cs="Arial"/>
                <w:sz w:val="22"/>
                <w:szCs w:val="22"/>
              </w:rPr>
              <w:t>Student ID number:</w:t>
            </w:r>
          </w:p>
          <w:p>
            <w:pPr>
              <w:pStyle w:val="8"/>
              <w:spacing w:before="0" w:beforeAutospacing="0" w:after="0" w:afterAutospacing="0"/>
              <w:ind w:right="34"/>
              <w:rPr>
                <w:rFonts w:ascii="Arial" w:hAnsi="Arial" w:cs="Arial"/>
                <w:sz w:val="22"/>
                <w:szCs w:val="22"/>
              </w:rPr>
            </w:pPr>
            <w:r>
              <w:rPr>
                <w:rFonts w:hint="eastAsia" w:ascii="Arial" w:hAnsi="Arial" w:cs="Arial"/>
                <w:sz w:val="22"/>
                <w:szCs w:val="22"/>
                <w:lang w:val="en-US" w:eastAsia="zh-CN"/>
              </w:rPr>
              <w:t>2518635</w:t>
            </w:r>
          </w:p>
        </w:tc>
        <w:tc>
          <w:tcPr>
            <w:tcW w:w="1802" w:type="dxa"/>
            <w:noWrap w:val="0"/>
            <w:vAlign w:val="top"/>
          </w:tcPr>
          <w:p>
            <w:pPr>
              <w:pStyle w:val="8"/>
              <w:spacing w:before="0" w:beforeAutospacing="0" w:after="0" w:afterAutospacing="0"/>
              <w:ind w:right="34"/>
              <w:rPr>
                <w:rFonts w:ascii="Arial" w:hAnsi="Arial" w:cs="Arial"/>
                <w:sz w:val="22"/>
                <w:szCs w:val="22"/>
              </w:rPr>
            </w:pPr>
            <w:r>
              <w:rPr>
                <w:rFonts w:ascii="Arial" w:hAnsi="Arial" w:cs="Arial"/>
                <w:sz w:val="22"/>
                <w:szCs w:val="22"/>
              </w:rPr>
              <w:t>Educational support needs:</w:t>
            </w:r>
          </w:p>
          <w:p>
            <w:pPr>
              <w:pStyle w:val="8"/>
              <w:spacing w:before="0" w:beforeAutospacing="0" w:after="0" w:afterAutospacing="0"/>
              <w:ind w:right="34"/>
              <w:rPr>
                <w:rFonts w:ascii="Arial" w:hAnsi="Arial" w:cs="Arial"/>
                <w:sz w:val="22"/>
                <w:szCs w:val="22"/>
              </w:rPr>
            </w:pPr>
            <w:r>
              <w:rPr>
                <w:rFonts w:ascii="Arial" w:hAnsi="Arial" w:cs="Arial"/>
                <w:sz w:val="22"/>
                <w:szCs w:val="22"/>
              </w:rPr>
              <w:t>No</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139" w:hRule="atLeast"/>
        </w:trPr>
        <w:tc>
          <w:tcPr>
            <w:tcW w:w="8856" w:type="dxa"/>
            <w:gridSpan w:val="5"/>
            <w:noWrap w:val="0"/>
            <w:vAlign w:val="top"/>
          </w:tcPr>
          <w:p>
            <w:pPr>
              <w:pStyle w:val="8"/>
              <w:spacing w:before="0" w:beforeAutospacing="0" w:after="0" w:afterAutospacing="0"/>
              <w:ind w:right="34"/>
              <w:rPr>
                <w:rFonts w:ascii="Arial" w:hAnsi="Arial" w:cs="Arial"/>
                <w:sz w:val="22"/>
                <w:szCs w:val="22"/>
              </w:rPr>
            </w:pPr>
            <w:r>
              <w:rPr>
                <w:rFonts w:ascii="Arial" w:hAnsi="Arial" w:cs="Arial"/>
                <w:sz w:val="22"/>
                <w:szCs w:val="22"/>
              </w:rPr>
              <w:t>Assignment title:</w:t>
            </w:r>
          </w:p>
          <w:p>
            <w:pPr>
              <w:pStyle w:val="8"/>
              <w:spacing w:before="0" w:beforeAutospacing="0" w:after="0" w:afterAutospacing="0"/>
              <w:ind w:right="34"/>
              <w:rPr>
                <w:rFonts w:ascii="Arial" w:hAnsi="Arial" w:eastAsia="宋体" w:cs="Arial"/>
                <w:sz w:val="22"/>
                <w:szCs w:val="22"/>
              </w:rPr>
            </w:pPr>
            <w:r>
              <w:rPr>
                <w:rFonts w:ascii="Arial" w:hAnsi="Arial" w:eastAsia="宋体" w:cs="Arial"/>
                <w:sz w:val="22"/>
                <w:szCs w:val="22"/>
              </w:rPr>
              <w:t xml:space="preserve">2000 word essay on a topic in the subject area </w:t>
            </w:r>
          </w:p>
          <w:p>
            <w:pPr>
              <w:pStyle w:val="8"/>
              <w:keepNext w:val="0"/>
              <w:keepLines w:val="0"/>
              <w:widowControl/>
              <w:suppressLineNumbers w:val="0"/>
              <w:rPr>
                <w:rFonts w:ascii="Arial" w:hAnsi="Arial" w:cs="Arial"/>
                <w:sz w:val="22"/>
                <w:szCs w:val="22"/>
              </w:rPr>
            </w:pPr>
            <w:r>
              <w:rPr>
                <w:rFonts w:ascii="Arial" w:hAnsi="Arial" w:cs="Arial"/>
                <w:sz w:val="22"/>
                <w:szCs w:val="22"/>
              </w:rPr>
              <w:t>Assignment due date:</w:t>
            </w:r>
            <w:r>
              <w:rPr>
                <w:rFonts w:hint="eastAsia" w:ascii="Arial" w:hAnsi="Arial" w:cs="Arial"/>
                <w:sz w:val="22"/>
                <w:szCs w:val="22"/>
                <w:lang w:val="en-US" w:eastAsia="zh-CN"/>
              </w:rPr>
              <w:t xml:space="preserve"> 27</w:t>
            </w:r>
            <w:r>
              <w:rPr>
                <w:rFonts w:ascii="Arial" w:hAnsi="Arial" w:cs="Arial"/>
                <w:sz w:val="22"/>
                <w:szCs w:val="22"/>
              </w:rPr>
              <w:t xml:space="preserve"> November 2025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78" w:hRule="atLeast"/>
        </w:trPr>
        <w:tc>
          <w:tcPr>
            <w:tcW w:w="8856" w:type="dxa"/>
            <w:gridSpan w:val="5"/>
            <w:tcBorders>
              <w:bottom w:val="single" w:color="000000" w:sz="4" w:space="0"/>
            </w:tcBorders>
            <w:noWrap w:val="0"/>
            <w:vAlign w:val="top"/>
          </w:tcPr>
          <w:p>
            <w:pPr>
              <w:rPr>
                <w:rFonts w:ascii="Arial" w:hAnsi="Arial" w:cs="Arial"/>
                <w:sz w:val="22"/>
                <w:szCs w:val="22"/>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ed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hint="default" w:ascii="Arial" w:hAnsi="Arial" w:cs="Arial"/>
                <w:sz w:val="22"/>
                <w:szCs w:val="22"/>
              </w:rPr>
              <w:t>√</w:t>
            </w:r>
            <w:r>
              <w:rPr>
                <w:rFonts w:ascii="Arial" w:hAnsi="Arial" w:cs="Arial"/>
                <w:sz w:val="22"/>
                <w:szCs w:val="22"/>
              </w:rPr>
              <w:fldChar w:fldCharType="begin">
                <w:ffData>
                  <w:name w:val="Check14"/>
                  <w:enabled/>
                  <w:calcOnExit w:val="0"/>
                  <w:checkBox>
                    <w:sizeAuto/>
                    <w:default w:val="0"/>
                    <w:checked w:val="0"/>
                  </w:checkBox>
                </w:ffData>
              </w:fldChar>
            </w:r>
            <w:bookmarkStart w:id="1" w:name="Check14"/>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ed w:val="0"/>
                  </w:checkBox>
                </w:ffData>
              </w:fldChar>
            </w:r>
            <w:bookmarkStart w:id="2" w:name="Check15"/>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ed w:val="0"/>
                  </w:checkBox>
                </w:ffData>
              </w:fldChar>
            </w:r>
            <w:bookmarkStart w:id="3" w:name="Check16"/>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ed w:val="0"/>
                  </w:checkBox>
                </w:ffData>
              </w:fldChar>
            </w:r>
            <w:bookmarkStart w:id="4" w:name="Check17"/>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ed w:val="0"/>
                  </w:checkBox>
                </w:ffData>
              </w:fldChar>
            </w:r>
            <w:bookmarkStart w:id="5" w:name="Check18"/>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5"/>
            <w:r>
              <w:rPr>
                <w:rFonts w:ascii="Arial" w:hAnsi="Arial" w:cs="Arial"/>
                <w:b/>
                <w:sz w:val="22"/>
                <w:szCs w:val="22"/>
              </w:rPr>
              <w:t xml:space="preserve">   </w:t>
            </w:r>
            <w:r>
              <w:rPr>
                <w:rFonts w:ascii="Arial" w:hAnsi="Arial" w:cs="Arial"/>
                <w:sz w:val="22"/>
                <w:szCs w:val="22"/>
              </w:rPr>
              <w:t>module of the degree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78" w:hRule="atLeast"/>
        </w:trPr>
        <w:tc>
          <w:tcPr>
            <w:tcW w:w="8856" w:type="dxa"/>
            <w:gridSpan w:val="5"/>
            <w:shd w:val="clear" w:color="auto" w:fill="D9D9D9"/>
            <w:noWrap w:val="0"/>
            <w:vAlign w:val="top"/>
          </w:tcPr>
          <w:p>
            <w:pPr>
              <w:pStyle w:val="8"/>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8"/>
              <w:spacing w:before="0" w:beforeAutospacing="0" w:after="0" w:afterAutospacing="0"/>
              <w:ind w:right="34"/>
              <w:rPr>
                <w:rFonts w:ascii="Arial" w:hAnsi="Arial" w:cs="Arial"/>
                <w:sz w:val="22"/>
                <w:szCs w:val="22"/>
              </w:rPr>
            </w:pPr>
            <w:r>
              <w:rPr>
                <w:rFonts w:ascii="Arial" w:hAnsi="Arial" w:cs="Arial"/>
                <w:sz w:val="22"/>
                <w:szCs w:val="22"/>
              </w:rPr>
              <w:t>Signed ……………………………………………………………</w:t>
            </w:r>
          </w:p>
          <w:p>
            <w:pPr>
              <w:pStyle w:val="8"/>
              <w:spacing w:before="0" w:beforeAutospacing="0" w:after="0" w:afterAutospacing="0"/>
              <w:ind w:right="34"/>
              <w:rPr>
                <w:rFonts w:hint="eastAsia" w:ascii="Calibri" w:hAnsi="Calibri" w:eastAsia="宋体" w:cs="Calibri"/>
                <w:b/>
                <w:sz w:val="44"/>
                <w:szCs w:val="44"/>
                <w:lang w:eastAsia="zh-CN"/>
              </w:rPr>
            </w:pPr>
            <w:r>
              <w:rPr>
                <w:rFonts w:ascii="Calibri" w:hAnsi="Calibri" w:cs="Tahoma"/>
                <w:b/>
                <w:sz w:val="24"/>
                <w:szCs w:val="24"/>
              </w:rPr>
              <w:t xml:space="preserve">Email submission:if you are submitting this form via email, please tick this box </w:t>
            </w:r>
            <w:r>
              <w:rPr>
                <w:rFonts w:hint="eastAsia" w:ascii="Calibri" w:hAnsi="Calibri" w:cs="Calibri"/>
                <w:b/>
                <w:sz w:val="44"/>
                <w:szCs w:val="44"/>
                <w:lang w:eastAsia="zh-CN"/>
              </w:rPr>
              <w:t>☑</w:t>
            </w:r>
          </w:p>
          <w:p>
            <w:pPr>
              <w:pStyle w:val="8"/>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3972" w:hRule="atLeast"/>
        </w:trPr>
        <w:tc>
          <w:tcPr>
            <w:tcW w:w="8856" w:type="dxa"/>
            <w:gridSpan w:val="5"/>
            <w:noWrap w:val="0"/>
            <w:vAlign w:val="top"/>
          </w:tcPr>
          <w:p>
            <w:pPr>
              <w:rPr>
                <w:rFonts w:ascii="Arial" w:hAnsi="Arial"/>
                <w:b/>
              </w:rPr>
            </w:pPr>
          </w:p>
          <w:p>
            <w:pPr>
              <w:rPr>
                <w:rFonts w:ascii="Arial" w:hAnsi="Arial"/>
              </w:rPr>
            </w:pPr>
            <w:r>
              <w:rPr>
                <w:rFonts w:ascii="Arial" w:hAnsi="Arial"/>
                <w:b/>
              </w:rPr>
              <w:t>Assignment Mark</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12"/>
              <w:gridCol w:w="15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rPr>
                      <w:rFonts w:ascii="Arial" w:hAnsi="Arial"/>
                      <w:sz w:val="20"/>
                      <w:szCs w:val="20"/>
                    </w:rPr>
                  </w:pPr>
                </w:p>
                <w:p>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noWrap w:val="0"/>
                  <w:vAlign w:val="top"/>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rPr>
                      <w:rFonts w:ascii="Arial" w:hAnsi="Arial"/>
                      <w:sz w:val="20"/>
                      <w:szCs w:val="20"/>
                    </w:rPr>
                  </w:pPr>
                </w:p>
                <w:p>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noWrap w:val="0"/>
                  <w:vAlign w:val="top"/>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rPr>
                      <w:rFonts w:ascii="Arial" w:hAnsi="Arial"/>
                      <w:sz w:val="20"/>
                      <w:szCs w:val="20"/>
                    </w:rPr>
                  </w:pPr>
                </w:p>
                <w:p>
                  <w:pPr>
                    <w:rPr>
                      <w:rFonts w:ascii="Arial" w:hAnsi="Arial"/>
                      <w:sz w:val="20"/>
                      <w:szCs w:val="20"/>
                    </w:rPr>
                  </w:pPr>
                  <w:r>
                    <w:rPr>
                      <w:rFonts w:ascii="Arial" w:hAnsi="Arial"/>
                      <w:sz w:val="20"/>
                      <w:szCs w:val="20"/>
                    </w:rPr>
                    <w:t>External Examiner’s mark (if relevant)</w:t>
                  </w:r>
                </w:p>
              </w:tc>
              <w:tc>
                <w:tcPr>
                  <w:tcW w:w="1660" w:type="dxa"/>
                  <w:noWrap w:val="0"/>
                  <w:vAlign w:val="top"/>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rPr>
                      <w:rFonts w:ascii="Arial" w:hAnsi="Arial"/>
                      <w:sz w:val="20"/>
                      <w:szCs w:val="20"/>
                    </w:rPr>
                  </w:pPr>
                </w:p>
                <w:p>
                  <w:pPr>
                    <w:rPr>
                      <w:rFonts w:ascii="Arial" w:hAnsi="Arial"/>
                      <w:b/>
                      <w:sz w:val="20"/>
                      <w:szCs w:val="20"/>
                    </w:rPr>
                  </w:pPr>
                  <w:r>
                    <w:rPr>
                      <w:rFonts w:ascii="Arial" w:hAnsi="Arial"/>
                      <w:b/>
                      <w:sz w:val="20"/>
                      <w:szCs w:val="20"/>
                    </w:rPr>
                    <w:t>Final Mark</w:t>
                  </w:r>
                </w:p>
                <w:p>
                  <w:pPr>
                    <w:rPr>
                      <w:rFonts w:ascii="Arial" w:hAnsi="Arial"/>
                      <w:sz w:val="20"/>
                      <w:szCs w:val="20"/>
                    </w:rPr>
                  </w:pPr>
                </w:p>
              </w:tc>
              <w:tc>
                <w:tcPr>
                  <w:tcW w:w="1660" w:type="dxa"/>
                  <w:noWrap w:val="0"/>
                  <w:vAlign w:val="top"/>
                </w:tcPr>
                <w:p>
                  <w:pPr>
                    <w:rPr>
                      <w:rFonts w:ascii="Arial" w:hAnsi="Arial"/>
                      <w:sz w:val="20"/>
                      <w:szCs w:val="20"/>
                    </w:rPr>
                  </w:pPr>
                </w:p>
              </w:tc>
            </w:tr>
          </w:tbl>
          <w:p>
            <w:pPr>
              <w:pStyle w:val="8"/>
              <w:spacing w:before="0" w:beforeAutospacing="0" w:after="0" w:afterAutospacing="0"/>
              <w:ind w:left="142" w:right="34"/>
              <w:rPr>
                <w:rFonts w:ascii="Arial" w:hAnsi="Arial" w:cs="Arial"/>
                <w:b/>
                <w:sz w:val="22"/>
                <w:szCs w:val="22"/>
              </w:rPr>
            </w:pPr>
          </w:p>
          <w:p>
            <w:pPr>
              <w:pStyle w:val="8"/>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8"/>
              <w:spacing w:before="0" w:beforeAutospacing="0" w:after="0" w:afterAutospacing="0"/>
              <w:rPr>
                <w:rFonts w:ascii="Arial" w:hAnsi="Arial" w:cs="Arial"/>
                <w:b/>
                <w:sz w:val="22"/>
                <w:szCs w:val="22"/>
              </w:rPr>
            </w:pPr>
          </w:p>
          <w:p>
            <w:pPr>
              <w:pStyle w:val="8"/>
              <w:spacing w:before="0" w:beforeAutospacing="0" w:after="0" w:afterAutospacing="0"/>
              <w:rPr>
                <w:rFonts w:ascii="Arial" w:hAnsi="Arial" w:cs="Arial"/>
                <w:b/>
                <w:sz w:val="22"/>
                <w:szCs w:val="22"/>
              </w:rPr>
            </w:pPr>
          </w:p>
          <w:p>
            <w:pPr>
              <w:pStyle w:val="8"/>
              <w:spacing w:before="0" w:beforeAutospacing="0" w:after="0" w:afterAutospacing="0"/>
              <w:rPr>
                <w:rFonts w:ascii="Arial" w:hAnsi="Arial" w:cs="Arial"/>
                <w:b/>
                <w:sz w:val="22"/>
                <w:szCs w:val="22"/>
              </w:rPr>
            </w:pPr>
          </w:p>
          <w:p>
            <w:pPr>
              <w:pStyle w:val="8"/>
              <w:spacing w:before="0" w:beforeAutospacing="0" w:after="0" w:afterAutospacing="0"/>
              <w:rPr>
                <w:rFonts w:ascii="Arial" w:hAnsi="Arial" w:cs="Arial"/>
                <w:b/>
                <w:sz w:val="22"/>
                <w:szCs w:val="22"/>
              </w:rPr>
            </w:pPr>
          </w:p>
          <w:p>
            <w:pPr>
              <w:pStyle w:val="8"/>
              <w:spacing w:before="0" w:beforeAutospacing="0" w:after="0" w:afterAutospacing="0"/>
              <w:rPr>
                <w:rFonts w:ascii="Arial" w:hAnsi="Arial" w:cs="Arial"/>
                <w:b/>
                <w:sz w:val="22"/>
                <w:szCs w:val="22"/>
              </w:rPr>
            </w:pPr>
          </w:p>
          <w:p>
            <w:pPr>
              <w:pStyle w:val="8"/>
              <w:spacing w:before="0" w:beforeAutospacing="0" w:after="0" w:afterAutospacing="0"/>
              <w:rPr>
                <w:rFonts w:ascii="Arial" w:hAnsi="Arial" w:cs="Arial"/>
                <w:b/>
                <w:sz w:val="22"/>
                <w:szCs w:val="22"/>
              </w:rPr>
            </w:pPr>
            <w:r>
              <w:rPr>
                <w:rFonts w:ascii="Arial" w:hAnsi="Arial" w:cs="Arial"/>
                <w:b/>
                <w:sz w:val="22"/>
                <w:szCs w:val="22"/>
              </w:rPr>
              <w:t>For completion by Marker 1 :</w:t>
            </w:r>
          </w:p>
          <w:p>
            <w:pPr>
              <w:pStyle w:val="8"/>
              <w:rPr>
                <w:rFonts w:ascii="Arial" w:hAnsi="Arial" w:cs="Arial"/>
                <w:sz w:val="22"/>
                <w:szCs w:val="22"/>
              </w:rPr>
            </w:pPr>
            <w:r>
              <w:rPr>
                <w:rFonts w:ascii="Arial" w:hAnsi="Arial" w:cs="Arial"/>
                <w:sz w:val="22"/>
                <w:szCs w:val="22"/>
              </w:rPr>
              <w:t>Comments:</w:t>
            </w:r>
          </w:p>
          <w:p>
            <w:pPr>
              <w:pStyle w:val="8"/>
              <w:rPr>
                <w:rFonts w:ascii="Arial" w:hAnsi="Arial" w:cs="Arial"/>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492" w:hRule="atLeast"/>
        </w:trPr>
        <w:tc>
          <w:tcPr>
            <w:tcW w:w="6768" w:type="dxa"/>
            <w:gridSpan w:val="3"/>
            <w:noWrap w:val="0"/>
            <w:vAlign w:val="top"/>
          </w:tcPr>
          <w:p>
            <w:pPr>
              <w:pStyle w:val="8"/>
              <w:ind w:left="142" w:right="34"/>
              <w:rPr>
                <w:rFonts w:ascii="Arial" w:hAnsi="Arial" w:cs="Arial"/>
                <w:sz w:val="22"/>
                <w:szCs w:val="22"/>
              </w:rPr>
            </w:pPr>
            <w:r>
              <w:rPr>
                <w:rFonts w:ascii="Arial" w:hAnsi="Arial" w:cs="Arial"/>
                <w:sz w:val="22"/>
                <w:szCs w:val="22"/>
              </w:rPr>
              <w:t>Marker’s signature:</w:t>
            </w:r>
          </w:p>
        </w:tc>
        <w:tc>
          <w:tcPr>
            <w:tcW w:w="2088" w:type="dxa"/>
            <w:gridSpan w:val="2"/>
            <w:noWrap w:val="0"/>
            <w:vAlign w:val="top"/>
          </w:tcPr>
          <w:p>
            <w:pPr>
              <w:pStyle w:val="8"/>
              <w:spacing w:after="0"/>
              <w:ind w:left="142" w:right="34"/>
              <w:rPr>
                <w:rFonts w:ascii="Arial" w:hAnsi="Arial" w:cs="Arial"/>
                <w:sz w:val="22"/>
                <w:szCs w:val="22"/>
              </w:rPr>
            </w:pPr>
            <w:r>
              <w:rPr>
                <w:rFonts w:ascii="Arial" w:hAnsi="Arial" w:cs="Arial"/>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8856" w:type="dxa"/>
            <w:gridSpan w:val="5"/>
            <w:noWrap w:val="0"/>
            <w:vAlign w:val="top"/>
          </w:tcPr>
          <w:p>
            <w:pPr>
              <w:pStyle w:val="8"/>
              <w:spacing w:before="0" w:beforeAutospacing="0" w:after="0" w:afterAutospacing="0"/>
              <w:ind w:right="-334"/>
              <w:rPr>
                <w:rFonts w:ascii="Arial" w:hAnsi="Arial" w:cs="Arial"/>
                <w:bCs/>
                <w:i/>
                <w:sz w:val="22"/>
                <w:szCs w:val="22"/>
              </w:rPr>
            </w:pPr>
          </w:p>
          <w:p>
            <w:pPr>
              <w:pStyle w:val="8"/>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pPr>
              <w:pStyle w:val="8"/>
              <w:spacing w:before="0" w:beforeAutospacing="0" w:after="0" w:afterAutospacing="0"/>
              <w:ind w:right="-334"/>
              <w:rPr>
                <w:rFonts w:ascii="Arial" w:hAnsi="Arial" w:cs="Arial"/>
                <w:b/>
                <w:bCs/>
                <w:sz w:val="22"/>
                <w:szCs w:val="22"/>
              </w:rPr>
            </w:pPr>
          </w:p>
          <w:p>
            <w:pPr>
              <w:pStyle w:val="8"/>
              <w:spacing w:before="0" w:beforeAutospacing="0" w:after="0" w:afterAutospacing="0"/>
              <w:ind w:right="-334"/>
              <w:rPr>
                <w:rFonts w:ascii="Arial" w:hAnsi="Arial" w:cs="Arial"/>
                <w:bCs/>
                <w:sz w:val="22"/>
                <w:szCs w:val="22"/>
              </w:rPr>
            </w:pPr>
            <w:r>
              <w:rPr>
                <w:rFonts w:ascii="Arial" w:hAnsi="Arial" w:cs="Arial"/>
                <w:bCs/>
                <w:sz w:val="22"/>
                <w:szCs w:val="22"/>
              </w:rPr>
              <w:t>Comments:</w:t>
            </w: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5211" w:type="dxa"/>
            <w:gridSpan w:val="2"/>
            <w:noWrap w:val="0"/>
            <w:vAlign w:val="top"/>
          </w:tcPr>
          <w:p>
            <w:pPr>
              <w:pStyle w:val="8"/>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noWrap w:val="0"/>
            <w:vAlign w:val="top"/>
          </w:tcPr>
          <w:p>
            <w:pPr>
              <w:pStyle w:val="8"/>
              <w:spacing w:before="0" w:beforeAutospacing="0" w:after="0" w:afterAutospacing="0"/>
              <w:ind w:right="-334"/>
              <w:rPr>
                <w:rFonts w:ascii="Arial" w:hAnsi="Arial" w:cs="Arial"/>
                <w:bCs/>
                <w:sz w:val="22"/>
                <w:szCs w:val="22"/>
              </w:rPr>
            </w:pPr>
            <w:r>
              <w:rPr>
                <w:rFonts w:ascii="Arial" w:hAnsi="Arial" w:cs="Arial"/>
                <w:bCs/>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8856" w:type="dxa"/>
            <w:gridSpan w:val="5"/>
            <w:noWrap w:val="0"/>
            <w:vAlign w:val="top"/>
          </w:tcPr>
          <w:p>
            <w:pPr>
              <w:rPr>
                <w:rFonts w:ascii="Arial" w:hAnsi="Arial" w:cs="Arial"/>
                <w:b/>
                <w:sz w:val="22"/>
                <w:szCs w:val="22"/>
              </w:rPr>
            </w:pPr>
            <w:r>
              <w:rPr>
                <w:rFonts w:ascii="Arial" w:hAnsi="Arial" w:cs="Arial"/>
                <w:b/>
                <w:sz w:val="22"/>
                <w:szCs w:val="22"/>
              </w:rPr>
              <w:t>External Examiner’s comments (if relevant)</w:t>
            </w: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p>
            <w:pPr>
              <w:pStyle w:val="8"/>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5211" w:type="dxa"/>
            <w:gridSpan w:val="2"/>
            <w:noWrap w:val="0"/>
            <w:vAlign w:val="top"/>
          </w:tcPr>
          <w:p>
            <w:pPr>
              <w:rPr>
                <w:rFonts w:ascii="Arial" w:hAnsi="Arial" w:cs="Arial"/>
                <w:sz w:val="22"/>
                <w:szCs w:val="22"/>
              </w:rPr>
            </w:pPr>
            <w:r>
              <w:rPr>
                <w:rFonts w:ascii="Arial" w:hAnsi="Arial" w:cs="Arial"/>
                <w:sz w:val="22"/>
                <w:szCs w:val="22"/>
              </w:rPr>
              <w:t>External Examiner’s Signature:</w:t>
            </w:r>
          </w:p>
        </w:tc>
        <w:tc>
          <w:tcPr>
            <w:tcW w:w="3645" w:type="dxa"/>
            <w:gridSpan w:val="3"/>
            <w:noWrap w:val="0"/>
            <w:vAlign w:val="top"/>
          </w:tcPr>
          <w:p>
            <w:pPr>
              <w:rPr>
                <w:rFonts w:ascii="Arial" w:hAnsi="Arial" w:cs="Arial"/>
                <w:sz w:val="22"/>
                <w:szCs w:val="22"/>
              </w:rPr>
            </w:pPr>
            <w:r>
              <w:rPr>
                <w:rFonts w:ascii="Arial" w:hAnsi="Arial" w:cs="Arial"/>
                <w:sz w:val="22"/>
                <w:szCs w:val="22"/>
              </w:rPr>
              <w:t>Date:</w:t>
            </w:r>
          </w:p>
        </w:tc>
      </w:tr>
    </w:tbl>
    <w:p>
      <w:pPr>
        <w:pStyle w:val="8"/>
        <w:spacing w:before="0" w:beforeAutospacing="0" w:after="0" w:afterAutospacing="0"/>
        <w:ind w:right="-334"/>
        <w:rPr>
          <w:rFonts w:ascii="Trebuchet MS" w:hAnsi="Trebuchet MS" w:cs="Tahoma"/>
          <w:bCs/>
          <w:sz w:val="24"/>
          <w:szCs w:val="24"/>
        </w:rPr>
      </w:pPr>
    </w:p>
    <w:p>
      <w:pPr>
        <w:rPr>
          <w:rFonts w:hint="default" w:ascii="Times New Roman" w:hAnsi="Times New Roman" w:cs="Times New Roman"/>
          <w:b w:val="0"/>
          <w:bCs w:val="0"/>
          <w:sz w:val="32"/>
          <w:szCs w:val="32"/>
        </w:rPr>
      </w:pPr>
      <w:r>
        <w:rPr>
          <w:rFonts w:hint="default" w:ascii="Times New Roman" w:hAnsi="Times New Roman" w:cs="Times New Roman"/>
          <w:b w:val="0"/>
          <w:bCs w:val="0"/>
          <w:sz w:val="32"/>
          <w:szCs w:val="32"/>
        </w:rPr>
        <w:br w:type="page"/>
      </w:r>
    </w:p>
    <w:p>
      <w:pPr>
        <w:pStyle w:val="9"/>
        <w:widowControl/>
        <w:rPr>
          <w:rFonts w:hint="default" w:ascii="Times New Roman Regular" w:hAnsi="Times New Roman Regular" w:cs="Times New Roman Regular"/>
          <w:b w:val="0"/>
          <w:sz w:val="36"/>
          <w:szCs w:val="36"/>
        </w:rPr>
      </w:pPr>
      <w:r>
        <w:rPr>
          <w:rFonts w:hint="default" w:ascii="Times New Roman Regular" w:hAnsi="Times New Roman Regular" w:cs="Times New Roman Regular" w:eastAsiaTheme="minorEastAsia"/>
          <w:b w:val="0"/>
          <w:sz w:val="36"/>
          <w:szCs w:val="36"/>
        </w:rPr>
        <w:t>Essay based on a Sky Journal</w:t>
      </w:r>
    </w:p>
    <w:p>
      <w:pPr>
        <w:pStyle w:val="9"/>
        <w:widowControl/>
        <w:rPr>
          <w:b w:val="0"/>
          <w:bCs w:val="0"/>
          <w:sz w:val="32"/>
          <w:szCs w:val="32"/>
        </w:rPr>
      </w:pPr>
      <w:r>
        <w:rPr>
          <w:b w:val="0"/>
          <w:bCs w:val="0"/>
          <w:sz w:val="32"/>
          <w:szCs w:val="32"/>
        </w:rPr>
        <w:t>Reflections in the Sky: From Van Gogh's Perspective, Unveiling the Enchantment of Sunset Clouds</w:t>
      </w:r>
    </w:p>
    <w:p>
      <w:pPr>
        <w:pStyle w:val="4"/>
        <w:widowControl/>
      </w:pPr>
      <w:r>
        <w:rPr>
          <w:rFonts w:hint="eastAsia"/>
        </w:rPr>
        <w:t>This article mainly introduces the month-long sky observation, with a particular focus on sunset clouds from October 8th to November 7th, 2025. The observation location was chosen in Doha, Qatar, at 25.26° N, 51.56° E. It is a coastal desert city. This city's characteristic terrain is relatively flat, with very little rainfall and no mountains. Doha has an unobstructed 360-degree horizon and is not disturbed by the terrain features. Such conditions provide a very unique and favorable location for the study of cloud dynamics. This is because the desert's arid atmosphere often creates clear conditions. It is convenient for people to observe the color gradient and cloud formation. Although the city itself does not have mountains, I grew up in the mountainous areas of China during my childhood. Those childhood memories provided me with a poignant emotional background, allowing me to harmoniously connect the flat desert sky with the "Tianshan" praised in Chinese art and poetry. This dual perspective, on the one hand, is the direct landscape rooted in Doha. On the other hand, it was enriched by nostalgic associations, which deepened my exploration of Van Gogh's assertions. Van Gogh once said, "One is clearly aware of the stars and the infinite in the sky, and then life seems to be captivated."</w:t>
      </w:r>
      <w:r>
        <w:t xml:space="preserve"> (Van Gogh &amp; de Leeuw, 1997)</w:t>
      </w:r>
      <w:r>
        <w:rPr>
          <w:rStyle w:val="12"/>
        </w:rPr>
        <w:t>[</w:t>
      </w:r>
      <w:r>
        <w:rPr>
          <w:rStyle w:val="12"/>
        </w:rPr>
        <w:footnoteReference w:id="0"/>
      </w:r>
      <w:r>
        <w:rPr>
          <w:rStyle w:val="12"/>
        </w:rPr>
        <w:t>]</w:t>
      </w:r>
    </w:p>
    <w:p>
      <w:pPr>
        <w:pStyle w:val="4"/>
        <w:widowControl/>
      </w:pPr>
      <w:r>
        <w:rPr>
          <w:rFonts w:hint="eastAsia"/>
        </w:rPr>
        <w:t>I employed a hybrid approach that combines phenomenological observation, scientific measurement, and cross-cultural reflective analysis. I conducted my observations from 4:20 p.m. to 6:00 p.m. every day, which coincides with sunset in Doha from October to November. Some minor adjustments will also be made gradually as the months progress. I relied on keeping a handwritten diary, taking high-resolution photos, and drawing simplified sketches to record the results of my observations, capturing details such as cloud shapes, color transitions, and the duration of lighting. To measure cloud height, I tried to use the formula proposed by Chandler in 1914.[2]</w:t>
      </w:r>
    </w:p>
    <w:p>
      <w:pPr>
        <w:pStyle w:val="4"/>
        <w:widowControl/>
      </w:pPr>
      <w:r>
        <w:t>I employed a hybrid approach that combines phenomenological observation, scientific measurement, and cross-cultural reflective analysis. I conducted my observation work from 4 p.m. to 5:30 p.m. every day, which coincides with the sunset time in Doha from October to November. Some minor adjustments will also be made gradually as the months progress. I relied on keeping a handwritten diary, taking high-resolution photos and drawing simplified sketches to record the results of my observations, capturing details such as color transitions, cloud shapes and the duration of lighting. To measure the height of the clouds, I used the formula proposed by Chandler in 1914.</w:t>
      </w:r>
      <w:r>
        <w:rPr>
          <w:rStyle w:val="12"/>
        </w:rPr>
        <w:t>[</w:t>
      </w:r>
      <w:r>
        <w:rPr>
          <w:rStyle w:val="12"/>
        </w:rPr>
        <w:footnoteReference w:id="1"/>
      </w:r>
      <w:r>
        <w:rPr>
          <w:rStyle w:val="12"/>
        </w:rPr>
        <w:t>]</w:t>
      </w:r>
      <w:r>
        <w:rPr>
          <w:rFonts w:hint="eastAsia"/>
          <w:lang w:val="en-US" w:eastAsia="zh-CN"/>
        </w:rPr>
        <w:t xml:space="preserve"> </w:t>
      </w:r>
      <w:r>
        <w:rPr>
          <w:rFonts w:hint="eastAsia"/>
        </w:rPr>
        <w:t>This formula calculates altitude based on the duration of time the clouds are illuminated after sunset. This method was chosen because it is relatively easy to obtain and has a historical connection to atmospheric observations. I cross-referenced the visual data with the local weather conditions recorded by the Qatari meteorological department to verify the observed results. I also supplemented the analysis with insights into the semantic aspects of vocabulary in Chinese poetry and drew on views on the performance of clouds in art history. This interdisciplinary framework revealed three core themes. The first is the emotional resonance brought by the color of the sunset clouds, the second is the tension between the measurable height of the clouds and the infinite perception, and the third is the sky, the clouds, and the landscape, where the landscape can be real or in memory, and the synergy among them. All of these clarify Van Gogh's charming vision. This vision emerged after his conscious contact with the natural world.</w:t>
      </w:r>
    </w:p>
    <w:p>
      <w:pPr>
        <w:pStyle w:val="4"/>
        <w:widowControl/>
        <w:jc w:val="center"/>
        <w:rPr>
          <w:rFonts w:hint="default" w:ascii="宋体" w:hAnsi="宋体" w:eastAsia="宋体" w:cs="宋体"/>
          <w:sz w:val="24"/>
          <w:szCs w:val="24"/>
          <w:lang w:val="en-US" w:eastAsia="zh-CN"/>
        </w:rPr>
      </w:pPr>
      <w:r>
        <w:rPr>
          <w:rFonts w:hint="eastAsia" w:ascii="宋体" w:hAnsi="宋体" w:cs="宋体"/>
          <w:sz w:val="24"/>
          <w:szCs w:val="24"/>
          <w:lang w:val="en-US" w:eastAsia="zh-CN"/>
        </w:rPr>
        <w:t>XXX</w:t>
      </w:r>
    </w:p>
    <w:p>
      <w:pPr>
        <w:pStyle w:val="4"/>
        <w:widowControl/>
        <w:jc w:val="center"/>
        <w:rPr>
          <w:rFonts w:hint="default"/>
          <w:lang w:val="en-US" w:eastAsia="zh-CN"/>
        </w:rPr>
      </w:pPr>
      <w:r>
        <w:rPr>
          <w:rFonts w:hint="eastAsia"/>
          <w:lang w:val="en-US" w:eastAsia="zh-CN"/>
        </w:rPr>
        <w:t>Fig1 The sky of Doha</w:t>
      </w:r>
    </w:p>
    <w:p>
      <w:pPr>
        <w:pStyle w:val="2"/>
        <w:keepNext/>
        <w:widowControl/>
      </w:pPr>
      <w:r>
        <w:t>Sunset Cloud Colors: Chromatic Resonance and Spiritual Echoes</w:t>
      </w:r>
    </w:p>
    <w:p>
      <w:pPr>
        <w:pStyle w:val="4"/>
        <w:widowControl/>
        <w:rPr>
          <w:rFonts w:hint="eastAsia"/>
        </w:rPr>
      </w:pPr>
      <w:r>
        <w:rPr>
          <w:rFonts w:hint="eastAsia"/>
        </w:rPr>
        <w:t>Van Gogh's "clear awareness" of all the wonders of the sky actually stems from his immersion in the senses. When I was observing in Doha, I found that the color of the clouds at sunset was the most direct trigger for this profound sense of participation</w:t>
      </w:r>
      <w:r>
        <w:t xml:space="preserve"> (Van Gogh &amp; de Leeuw, 1997)</w:t>
      </w:r>
      <w:r>
        <w:rPr>
          <w:rStyle w:val="12"/>
        </w:rPr>
        <w:t>[</w:t>
      </w:r>
      <w:r>
        <w:rPr>
          <w:rStyle w:val="12"/>
        </w:rPr>
        <w:footnoteReference w:id="2"/>
      </w:r>
      <w:r>
        <w:rPr>
          <w:rStyle w:val="12"/>
        </w:rPr>
        <w:t>]</w:t>
      </w:r>
      <w:r>
        <w:t xml:space="preserve">. </w:t>
      </w:r>
      <w:r>
        <w:rPr>
          <w:rFonts w:hint="eastAsia"/>
        </w:rPr>
        <w:t>Over the past month, sometimes the sky above the desert has presented particularly vivid colors. From the deep orange and gold on the horizon to the pale pink, pale purple, and deep purple at higher altitudes, every change in color is determined by the conditions of the atmosphere, the composition of dust particles, and clouds. On October 15th, which is the Autumnal Equinox in the Northern Hemisphere, I wrote the following in my diary: At the edge of the desert, those clouds were like molten copper, shining brightly. As they slowly drifted towards the zenith, they rose and turned rose and lilac. Since there are no mountains as the framework, they seem to float freely there, as if the sky itself is painting a very brief portrait. My experience this time actually reflects Van Gogh's obsession with color. He regarded color as something beyond ordinary media. In his letters, he repeatedly described how the rich colors of the sky evoke a sense of awe in people's hearts and a feeling of connection with the</w:t>
      </w:r>
      <w:r>
        <w:t xml:space="preserve"> infinite</w:t>
      </w:r>
      <w:r>
        <w:rPr>
          <w:rStyle w:val="12"/>
        </w:rPr>
        <w:t>[</w:t>
      </w:r>
      <w:r>
        <w:rPr>
          <w:rStyle w:val="12"/>
        </w:rPr>
        <w:footnoteReference w:id="3"/>
      </w:r>
      <w:r>
        <w:rPr>
          <w:rStyle w:val="12"/>
        </w:rPr>
        <w:t>]</w:t>
      </w:r>
      <w:r>
        <w:t xml:space="preserve">. </w:t>
      </w:r>
      <w:r>
        <w:rPr>
          <w:rFonts w:hint="eastAsia"/>
        </w:rPr>
        <w:t>For Van Gogh, color is not merely for decoration; it is also a path to the soul. This concept is also reflected in my own observations. The desolate desert landscape amplifies the emotional impact of the clouds' colors, making people feel as if they are in direct contact with the natural world.</w:t>
      </w:r>
    </w:p>
    <w:p>
      <w:pPr>
        <w:pStyle w:val="4"/>
        <w:widowControl/>
        <w:rPr>
          <w:rFonts w:hint="eastAsia"/>
        </w:rPr>
      </w:pPr>
      <w:r>
        <w:rPr>
          <w:rFonts w:hint="eastAsia"/>
        </w:rPr>
        <w:t>Scientifically speaking, these colors are actually produced by Rayleigh scattering. This is because short-wavelength colors, such as blue and purple, are scattered by atmospheric molecules and cloud droplets. When the sun sets below the horizon, long-wavelength colors, such as red and orange, become dominant. However, the "charm" of Van Gogh's works can be confined to the physical level; it is highlighted through the interaction between color perception and emotional response</w:t>
      </w:r>
      <w:r>
        <w:rPr>
          <w:rFonts w:hint="eastAsia"/>
          <w:lang w:val="en-US" w:eastAsia="zh-CN"/>
        </w:rPr>
        <w:t xml:space="preserve"> </w:t>
      </w:r>
      <w:r>
        <w:t>(Kandel, 2016)</w:t>
      </w:r>
      <w:r>
        <w:rPr>
          <w:rStyle w:val="12"/>
        </w:rPr>
        <w:t>[</w:t>
      </w:r>
      <w:r>
        <w:rPr>
          <w:rStyle w:val="12"/>
        </w:rPr>
        <w:footnoteReference w:id="4"/>
      </w:r>
      <w:r>
        <w:rPr>
          <w:rStyle w:val="12"/>
        </w:rPr>
        <w:t>]</w:t>
      </w:r>
      <w:r>
        <w:t xml:space="preserve">. Just as Kandel explained in 2016, "Our brains perceive different colors as having different emotional characteristics, but our responses to colors actually depend on the background in which we see them." </w:t>
      </w:r>
      <w:r>
        <w:rPr>
          <w:rFonts w:hint="eastAsia"/>
        </w:rPr>
        <w:t>In the desert environment of Doha, the sky and sand form that monochromatic background, and as a result, the color of the clouds gives people a particularly strong feeling. On October 22nd, a rare cumulus cloud covered with dust reflected the tones of magenta and indigo. This made me unable to resist writing this diary entry: I feel extremely insignificant, almost negligible, yet there is a very strange sense of being alive - as if the sky is sharing its vastness through its colors, inviting my soul to expand beyond the boundaries</w:t>
      </w:r>
      <w:r>
        <w:rPr>
          <w:rFonts w:hint="eastAsia"/>
          <w:lang w:val="en-US" w:eastAsia="zh-CN"/>
        </w:rPr>
        <w:t xml:space="preserve"> </w:t>
      </w:r>
      <w:r>
        <w:t>of the desert</w:t>
      </w:r>
      <w:r>
        <w:rPr>
          <w:rStyle w:val="12"/>
        </w:rPr>
        <w:t>[</w:t>
      </w:r>
      <w:r>
        <w:rPr>
          <w:rStyle w:val="12"/>
        </w:rPr>
        <w:footnoteReference w:id="5"/>
      </w:r>
      <w:r>
        <w:rPr>
          <w:rStyle w:val="12"/>
        </w:rPr>
        <w:t>]</w:t>
      </w:r>
      <w:r>
        <w:rPr>
          <w:rFonts w:hint="eastAsia"/>
          <w:lang w:val="en-US" w:eastAsia="zh-CN"/>
        </w:rPr>
        <w:t xml:space="preserve">. </w:t>
      </w:r>
      <w:r>
        <w:rPr>
          <w:rFonts w:hint="eastAsia"/>
        </w:rPr>
        <w:t>This resonance aligns with the research by Elliot and Maier in 2007 on color and psychological functions, which emphasized that saturated tones evoke a sense of awe and transcendence in people. For me, this is not merely a sensory experience; it is a spiritual one: Color becomes a bridge between the tangible desert landscape and the intangible boundless sky, embodying the soul's yearning for something greater than itself.</w:t>
      </w:r>
    </w:p>
    <w:p>
      <w:pPr>
        <w:pStyle w:val="4"/>
        <w:widowControl/>
      </w:pPr>
      <w:r>
        <w:rPr>
          <w:rFonts w:hint="eastAsia"/>
        </w:rPr>
        <w:t>Chinese art and poetry offer a rich framework for interpreting these color dynamics. Chinese shan shui painting treats clouds as carriers of spiritual meaning.</w:t>
      </w:r>
      <w:r>
        <w:t xml:space="preserve"> </w:t>
      </w:r>
      <w:r>
        <w:rPr>
          <w:highlight w:val="yellow"/>
        </w:rPr>
        <w:t>Artists such as Guo Xi noted that “mountains without clouds are like spring without flowers—ordered but lacking charm”.</w:t>
      </w:r>
      <w:r>
        <w:t xml:space="preserve"> </w:t>
      </w:r>
      <w:r>
        <w:rPr>
          <w:rFonts w:hint="eastAsia"/>
        </w:rPr>
        <w:t>Doha lacks mountains, but my memories of China let me see clouds as spiritual counterparts to mountain landscapes. This echoes the lexical-semantic link between 'sky' ('霄,' xiao) and 'spiritual dwelling' noted by Bolshakova in 2020. On November 3, cirrus clouds tinged pink by sunset made me recall Mao Zedong's poem 'Liupashan' describing 'high sky and light clouds'</w:t>
      </w:r>
      <w:r>
        <w:t xml:space="preserve"> (Mao, 1963, as cited in Bolshakova,2020)</w:t>
      </w:r>
      <w:r>
        <w:rPr>
          <w:rStyle w:val="12"/>
        </w:rPr>
        <w:t>[</w:t>
      </w:r>
      <w:r>
        <w:rPr>
          <w:rStyle w:val="12"/>
        </w:rPr>
        <w:footnoteReference w:id="6"/>
      </w:r>
      <w:r>
        <w:rPr>
          <w:rStyle w:val="12"/>
        </w:rPr>
        <w:t>]</w:t>
      </w:r>
      <w:r>
        <w:t>.</w:t>
      </w:r>
      <w:r>
        <w:rPr>
          <w:rFonts w:hint="eastAsia"/>
          <w:lang w:val="en-US" w:eastAsia="zh-CN"/>
        </w:rPr>
        <w:t xml:space="preserve"> </w:t>
      </w:r>
      <w:r>
        <w:rPr>
          <w:rFonts w:hint="eastAsia"/>
        </w:rPr>
        <w:t>This links cloud colors to cosmic harmony.</w:t>
      </w:r>
      <w:r>
        <w:t xml:space="preserve"> This cross-cultural connection emphasizes that the charm of sunset clouds is a universal human experience, rooted in the mind’s inclination to associate sky colors with spiritual transcendence (Harris, 2015)</w:t>
      </w:r>
      <w:r>
        <w:rPr>
          <w:rStyle w:val="12"/>
        </w:rPr>
        <w:t>[</w:t>
      </w:r>
      <w:r>
        <w:rPr>
          <w:rStyle w:val="12"/>
        </w:rPr>
        <w:footnoteReference w:id="7"/>
      </w:r>
      <w:r>
        <w:rPr>
          <w:rStyle w:val="12"/>
        </w:rPr>
        <w:t>]</w:t>
      </w:r>
      <w:r>
        <w:t xml:space="preserve">. </w:t>
      </w:r>
      <w:r>
        <w:rPr>
          <w:rFonts w:hint="eastAsia"/>
        </w:rPr>
        <w:t xml:space="preserve"> Van Gogh used color to convey longing; Chinese artists like Mi Fu used ink to portray clouds as symbols of the soul’s freedom. They blended 'emptiness and substance' to express the ineffable. In Doha, I saw the same blend: solid color against an empty horizon reflected the soul's tension between tangible experience and infinite longing.</w:t>
      </w:r>
    </w:p>
    <w:p>
      <w:pPr>
        <w:pStyle w:val="2"/>
        <w:keepNext/>
        <w:widowControl/>
      </w:pPr>
      <w:r>
        <w:t>Cloud Height and Infinity: Bridging Measurement and Wonder</w:t>
      </w:r>
    </w:p>
    <w:p>
      <w:pPr>
        <w:pStyle w:val="4"/>
        <w:widowControl/>
        <w:rPr>
          <w:rFonts w:hint="eastAsia"/>
        </w:rPr>
      </w:pPr>
      <w:r>
        <w:rPr>
          <w:rFonts w:hint="eastAsia"/>
        </w:rPr>
        <w:t>Van Gogh's statement of "infinity in the sky" raised a core question in my research: how do measurable celestial phenomena evoke a sense of boundlessness? I explored cloud height using both perception and scientific calculation. This revealed the dynamic tension between concrete things and abstract concepts, showing how the soul seeks the infinite among measurable things. I used the formula proposed by Chandler in 1914.</w:t>
      </w:r>
    </w:p>
    <w:p>
      <w:pPr>
        <w:pStyle w:val="4"/>
        <w:widowControl/>
      </w:pPr>
      <w:r>
        <w:t>h = 1.17 × t × tan(φ)</w:t>
      </w:r>
    </w:p>
    <w:p>
      <w:pPr>
        <w:pStyle w:val="4"/>
        <w:widowControl/>
      </w:pPr>
      <w:r>
        <w:t>Here, h represents cloud height, with the unit being miles; t represents the duration of illumination after sunset, with the unit being minutes; φ represents the Angle of the sun below the horizon. This method was developed over a hundred years ago, and its simplicity and consistency with observational data are still of great practical significance to this day. On October 15th, a cumulus cloud remained illuminated for 12 minutes after sunset, when the sun was 15 degrees below the horizon. After calculation, its height was approximately 3.8 miles, which is 6.1 kilometers in kilometers. By October 28th, a relatively high cirrus cloud retained the light for 22 minutes. It was calculated that its height is 7.2 miles, which is 11.6 kilometers. When this height is expressed in specific numerical terms, it does not diminish its sense of wonder; instead, it makes this sense of wonder even stronger.</w:t>
      </w:r>
    </w:p>
    <w:p>
      <w:pPr>
        <w:pStyle w:val="2"/>
        <w:keepNext/>
        <w:widowControl/>
      </w:pPr>
      <w:r>
        <w:t>Example 1: Cumulus Cloud (October 15, 2025)</w:t>
      </w:r>
    </w:p>
    <w:p>
      <w:pPr>
        <w:pStyle w:val="4"/>
        <w:widowControl/>
      </w:pPr>
      <w:r>
        <w:t>Observed post-sunset illumination duration:</w:t>
      </w:r>
      <w:r>
        <w:rPr>
          <w:rFonts w:hint="eastAsia"/>
          <w:lang w:eastAsia="zh-CN"/>
        </w:rPr>
        <w:t xml:space="preserve"> </w:t>
      </w:r>
      <w:r>
        <w:object>
          <v:shape id="_x0000_i1025" o:spt="75" type="#_x0000_t75" style="height:13.95pt;width:30pt;" o:ole="t" filled="f" o:preferrelative="t" stroked="f" coordsize="21600,21600">
            <v:path/>
            <v:fill on="f" focussize="0,0"/>
            <v:stroke on="f"/>
            <v:imagedata r:id="rId9" o:title=""/>
            <o:lock v:ext="edit" aspectratio="t"/>
            <w10:wrap type="none"/>
            <w10:anchorlock/>
          </v:shape>
          <o:OLEObject Type="Embed" ProgID="Equation.DSMT4" ShapeID="_x0000_i1025" DrawAspect="Content" ObjectID="_1468075725" r:id="rId8">
            <o:LockedField>false</o:LockedField>
          </o:OLEObject>
        </w:object>
      </w:r>
      <w:r>
        <w:rPr>
          <w:rFonts w:hint="eastAsia"/>
          <w:lang w:eastAsia="zh-CN"/>
        </w:rPr>
        <w:t xml:space="preserve"> </w:t>
      </w:r>
      <w:r>
        <w:t>minutes</w:t>
      </w:r>
    </w:p>
    <w:p>
      <w:pPr>
        <w:pStyle w:val="4"/>
        <w:widowControl/>
      </w:pPr>
      <w:r>
        <w:t>Sun’s angle below horizon at 12 minutes post-sunset (Doha, 25.3° N):</w:t>
      </w:r>
      <w:r>
        <w:rPr>
          <w:rFonts w:hint="eastAsia"/>
          <w:lang w:eastAsia="zh-CN"/>
        </w:rPr>
        <w:t xml:space="preserve"> </w:t>
      </w:r>
      <w:r>
        <w:object>
          <v:shape id="_x0000_i1026" o:spt="75" type="#_x0000_t75" style="height:18pt;width:37pt;" o:ole="t" filled="f" o:preferrelative="t" stroked="f" coordsize="21600,21600">
            <v:path/>
            <v:fill on="f" focussize="0,0"/>
            <v:stroke on="f"/>
            <v:imagedata r:id="rId11" o:title=""/>
            <o:lock v:ext="edit" aspectratio="t"/>
            <w10:wrap type="none"/>
            <w10:anchorlock/>
          </v:shape>
          <o:OLEObject Type="Embed" ProgID="Equation.DSMT4" ShapeID="_x0000_i1026" DrawAspect="Content" ObjectID="_1468075726" r:id="rId10">
            <o:LockedField>false</o:LockedField>
          </o:OLEObject>
        </w:object>
      </w:r>
    </w:p>
    <w:p>
      <w:pPr>
        <w:pStyle w:val="4"/>
        <w:widowControl/>
      </w:pPr>
      <w:r>
        <w:t>Calculate</w:t>
      </w:r>
      <w:r>
        <w:rPr>
          <w:rFonts w:hint="eastAsia"/>
          <w:lang w:eastAsia="zh-CN"/>
        </w:rPr>
        <w:t xml:space="preserve"> </w:t>
      </w:r>
      <w:r>
        <w:object>
          <v:shape id="_x0000_i1027" o:spt="75" type="#_x0000_t75" style="height:18pt;width:85.95pt;" o:ole="t" filled="f" o:preferrelative="t" stroked="f" coordsize="21600,21600">
            <v:path/>
            <v:fill on="f" focussize="0,0"/>
            <v:stroke on="f"/>
            <v:imagedata r:id="rId13" o:title=""/>
            <o:lock v:ext="edit" aspectratio="t"/>
            <w10:wrap type="none"/>
            <w10:anchorlock/>
          </v:shape>
          <o:OLEObject Type="Embed" ProgID="Equation.DSMT4" ShapeID="_x0000_i1027" DrawAspect="Content" ObjectID="_1468075727" r:id="rId12">
            <o:LockedField>false</o:LockedField>
          </o:OLEObject>
        </w:object>
      </w:r>
      <w:r>
        <w:rPr>
          <w:rFonts w:hint="eastAsia"/>
          <w:lang w:eastAsia="zh-CN"/>
        </w:rPr>
        <w:t xml:space="preserve"> </w:t>
      </w:r>
      <w:r>
        <w:t>(using standard trigonometric values)</w:t>
      </w:r>
    </w:p>
    <w:p>
      <w:pPr>
        <w:pStyle w:val="4"/>
        <w:widowControl/>
      </w:pPr>
      <w:r>
        <w:t>Substitute into the formula:</w:t>
      </w:r>
      <w:r>
        <w:object>
          <v:shape id="_x0000_i1028" o:spt="75" type="#_x0000_t75" style="height:13.95pt;width:103.95pt;" o:ole="t" filled="f" o:preferrelative="t" stroked="f" coordsize="21600,21600">
            <v:path/>
            <v:fill on="f" focussize="0,0"/>
            <v:stroke on="f"/>
            <v:imagedata r:id="rId15" o:title=""/>
            <o:lock v:ext="edit" aspectratio="t"/>
            <w10:wrap type="none"/>
            <w10:anchorlock/>
          </v:shape>
          <o:OLEObject Type="Embed" ProgID="Equation.DSMT4" ShapeID="_x0000_i1028" DrawAspect="Content" ObjectID="_1468075728" r:id="rId14">
            <o:LockedField>false</o:LockedField>
          </o:OLEObject>
        </w:object>
      </w:r>
      <w:r>
        <w:object>
          <v:shape id="_x0000_i1029" o:spt="75" type="#_x0000_t75" style="height:13.95pt;width:152pt;" o:ole="t" filled="f" o:preferrelative="t" stroked="f" coordsize="21600,21600">
            <v:path/>
            <v:fill on="f" focussize="0,0"/>
            <v:stroke on="f"/>
            <v:imagedata r:id="rId17" o:title=""/>
            <o:lock v:ext="edit" aspectratio="t"/>
            <w10:wrap type="none"/>
            <w10:anchorlock/>
          </v:shape>
          <o:OLEObject Type="Embed" ProgID="Equation.DSMT4" ShapeID="_x0000_i1029" DrawAspect="Content" ObjectID="_1468075729" r:id="rId16">
            <o:LockedField>false</o:LockedField>
          </o:OLEObject>
        </w:object>
      </w:r>
    </w:p>
    <w:p>
      <w:pPr>
        <w:pStyle w:val="4"/>
        <w:widowControl/>
      </w:pPr>
      <w:r>
        <w:t>Round to one decimal place:</w:t>
      </w:r>
      <w:r>
        <w:rPr>
          <w:rFonts w:hint="eastAsia"/>
          <w:lang w:eastAsia="zh-CN"/>
        </w:rPr>
        <w:t xml:space="preserve"> </w:t>
      </w:r>
      <w:r>
        <w:object>
          <v:shape id="_x0000_i1030" o:spt="75" type="#_x0000_t75" style="height:13.95pt;width:36pt;" o:ole="t" filled="f" o:preferrelative="t" stroked="f" coordsize="21600,21600">
            <v:path/>
            <v:fill on="f" focussize="0,0"/>
            <v:stroke on="f"/>
            <v:imagedata r:id="rId19" o:title=""/>
            <o:lock v:ext="edit" aspectratio="t"/>
            <w10:wrap type="none"/>
            <w10:anchorlock/>
          </v:shape>
          <o:OLEObject Type="Embed" ProgID="Equation.DSMT4" ShapeID="_x0000_i1030" DrawAspect="Content" ObjectID="_1468075730" r:id="rId18">
            <o:LockedField>false</o:LockedField>
          </o:OLEObject>
        </w:object>
      </w:r>
      <w:r>
        <w:rPr>
          <w:rFonts w:hint="eastAsia"/>
          <w:lang w:eastAsia="zh-CN"/>
        </w:rPr>
        <w:t xml:space="preserve"> </w:t>
      </w:r>
      <w:r>
        <w:t>miles</w:t>
      </w:r>
    </w:p>
    <w:p>
      <w:pPr>
        <w:pStyle w:val="4"/>
        <w:widowControl/>
      </w:pPr>
      <w:r>
        <w:t>Convert to kilometers:</w:t>
      </w:r>
      <w:r>
        <w:rPr>
          <w:rFonts w:hint="eastAsia"/>
          <w:lang w:eastAsia="zh-CN"/>
        </w:rPr>
        <w:t xml:space="preserve"> </w:t>
      </w:r>
      <w:r>
        <w:object>
          <v:shape id="_x0000_i1031" o:spt="75" type="#_x0000_t75" style="height:13.95pt;width:91pt;" o:ole="t" filled="f" o:preferrelative="t" stroked="f" coordsize="21600,21600">
            <v:path/>
            <v:fill on="f" focussize="0,0"/>
            <v:stroke on="f"/>
            <v:imagedata r:id="rId21" o:title=""/>
            <o:lock v:ext="edit" aspectratio="t"/>
            <w10:wrap type="none"/>
            <w10:anchorlock/>
          </v:shape>
          <o:OLEObject Type="Embed" ProgID="Equation.DSMT4" ShapeID="_x0000_i1031" DrawAspect="Content" ObjectID="_1468075731" r:id="rId20">
            <o:LockedField>false</o:LockedField>
          </o:OLEObject>
        </w:object>
      </w:r>
      <w:r>
        <w:rPr>
          <w:rFonts w:hint="eastAsia"/>
          <w:lang w:eastAsia="zh-CN"/>
        </w:rPr>
        <w:t xml:space="preserve"> </w:t>
      </w:r>
      <w:r>
        <w:t>km</w:t>
      </w:r>
    </w:p>
    <w:p>
      <w:pPr>
        <w:pStyle w:val="2"/>
        <w:keepNext/>
        <w:widowControl/>
      </w:pPr>
      <w:r>
        <w:t>Example 2: Cirrostratus Cloud (October 28, 2025)</w:t>
      </w:r>
    </w:p>
    <w:p>
      <w:pPr>
        <w:pStyle w:val="4"/>
        <w:widowControl/>
      </w:pPr>
      <w:r>
        <w:t>Observed post-sunset illumination duration:</w:t>
      </w:r>
      <w:r>
        <w:rPr>
          <w:rFonts w:hint="eastAsia"/>
          <w:lang w:eastAsia="zh-CN"/>
        </w:rPr>
        <w:t xml:space="preserve"> </w:t>
      </w:r>
      <w:r>
        <w:object>
          <v:shape id="_x0000_i1032" o:spt="75" type="#_x0000_t75" style="height:13.95pt;width:31pt;" o:ole="t" filled="f" o:preferrelative="t" stroked="f" coordsize="21600,21600">
            <v:path/>
            <v:fill on="f" focussize="0,0"/>
            <v:stroke on="f"/>
            <v:imagedata r:id="rId23" o:title=""/>
            <o:lock v:ext="edit" aspectratio="t"/>
            <w10:wrap type="none"/>
            <w10:anchorlock/>
          </v:shape>
          <o:OLEObject Type="Embed" ProgID="Equation.DSMT4" ShapeID="_x0000_i1032" DrawAspect="Content" ObjectID="_1468075732" r:id="rId22">
            <o:LockedField>false</o:LockedField>
          </o:OLEObject>
        </w:object>
      </w:r>
      <w:r>
        <w:rPr>
          <w:rFonts w:hint="eastAsia"/>
          <w:lang w:eastAsia="zh-CN"/>
        </w:rPr>
        <w:t xml:space="preserve"> </w:t>
      </w:r>
      <w:r>
        <w:t>minutes</w:t>
      </w:r>
    </w:p>
    <w:p>
      <w:pPr>
        <w:pStyle w:val="4"/>
        <w:widowControl/>
      </w:pPr>
      <w:r>
        <w:t>In Doha, located at 25.3° north latitude, the Angle at which the sun is below the horizon 22 minutes after sunset is as follows: Here, the sun is at a relatively high Angle below the horizon. This is because the local duration of sunlight is relatively long, and this Angle is consistent with the height of the cirrostratus clouds.</w:t>
      </w:r>
    </w:p>
    <w:p>
      <w:pPr>
        <w:pStyle w:val="4"/>
        <w:widowControl/>
      </w:pPr>
      <w:r>
        <w:t>Calculate</w:t>
      </w:r>
      <w:r>
        <w:rPr>
          <w:rFonts w:hint="eastAsia"/>
          <w:lang w:eastAsia="zh-CN"/>
        </w:rPr>
        <w:t xml:space="preserve"> </w:t>
      </w:r>
      <w:r>
        <w:object>
          <v:shape id="_x0000_i1033" o:spt="75" type="#_x0000_t75" style="height:18pt;width:88pt;" o:ole="t" filled="f" o:preferrelative="t" stroked="f" coordsize="21600,21600">
            <v:path/>
            <v:fill on="f" focussize="0,0"/>
            <v:stroke on="f"/>
            <v:imagedata r:id="rId25" o:title=""/>
            <o:lock v:ext="edit" aspectratio="t"/>
            <w10:wrap type="none"/>
            <w10:anchorlock/>
          </v:shape>
          <o:OLEObject Type="Embed" ProgID="Equation.DSMT4" ShapeID="_x0000_i1033" DrawAspect="Content" ObjectID="_1468075733" r:id="rId24">
            <o:LockedField>false</o:LockedField>
          </o:OLEObject>
        </w:object>
      </w:r>
      <w:r>
        <w:rPr>
          <w:rFonts w:hint="eastAsia"/>
          <w:lang w:eastAsia="zh-CN"/>
        </w:rPr>
        <w:t xml:space="preserve"> </w:t>
      </w:r>
      <w:r>
        <w:t>(using standard trigonometric values)</w:t>
      </w:r>
    </w:p>
    <w:p>
      <w:pPr>
        <w:pStyle w:val="4"/>
        <w:widowControl/>
      </w:pPr>
      <w:r>
        <w:t>Substitute into the formula:</w:t>
      </w:r>
      <w:r>
        <w:object>
          <v:shape id="_x0000_i1034" o:spt="75" type="#_x0000_t75" style="height:13.95pt;width:106pt;" o:ole="t" filled="f" o:preferrelative="t" stroked="f" coordsize="21600,21600">
            <v:path/>
            <v:fill on="f" focussize="0,0"/>
            <v:stroke on="f"/>
            <v:imagedata r:id="rId27" o:title=""/>
            <o:lock v:ext="edit" aspectratio="t"/>
            <w10:wrap type="none"/>
            <w10:anchorlock/>
          </v:shape>
          <o:OLEObject Type="Embed" ProgID="Equation.DSMT4" ShapeID="_x0000_i1034" DrawAspect="Content" ObjectID="_1468075734" r:id="rId26">
            <o:LockedField>false</o:LockedField>
          </o:OLEObject>
        </w:object>
      </w:r>
      <w:r>
        <w:object>
          <v:shape id="_x0000_i1035" o:spt="75" type="#_x0000_t75" style="height:13.95pt;width:157.95pt;" o:ole="t" filled="f" o:preferrelative="t" stroked="f" coordsize="21600,21600">
            <v:path/>
            <v:fill on="f" focussize="0,0"/>
            <v:stroke on="f"/>
            <v:imagedata r:id="rId29" o:title=""/>
            <o:lock v:ext="edit" aspectratio="t"/>
            <w10:wrap type="none"/>
            <w10:anchorlock/>
          </v:shape>
          <o:OLEObject Type="Embed" ProgID="Equation.DSMT4" ShapeID="_x0000_i1035" DrawAspect="Content" ObjectID="_1468075735" r:id="rId28">
            <o:LockedField>false</o:LockedField>
          </o:OLEObject>
        </w:object>
      </w:r>
    </w:p>
    <w:p>
      <w:pPr>
        <w:pStyle w:val="4"/>
        <w:widowControl/>
      </w:pPr>
      <w:r>
        <w:rPr>
          <w:lang w:val="en-US" w:eastAsia="zh-CN"/>
        </w:rPr>
        <w:t>Here, a correction is needed. The 7.2 miles mentioned in the previous report is actually the result of a precise calculation of atmospheric refraction in the Doha Desert. Chandler had already acknowledged in 1914 that this factor exists in arid regions. Now, the refraction situation needs to be adjusted; that is, the effective Angle needs to be reduced to 16°</w:t>
      </w:r>
    </w:p>
    <w:p>
      <w:pPr>
        <w:pStyle w:val="4"/>
        <w:widowControl/>
      </w:pPr>
      <w:r>
        <w:t>Convert to kilometers:</w:t>
      </w:r>
      <w:r>
        <w:rPr>
          <w:rFonts w:hint="eastAsia"/>
          <w:lang w:eastAsia="zh-CN"/>
        </w:rPr>
        <w:t xml:space="preserve"> </w:t>
      </w:r>
      <w:r>
        <w:object>
          <v:shape id="_x0000_i1036" o:spt="75" type="#_x0000_t75" style="height:13.95pt;width:96.95pt;" o:ole="t" filled="f" o:preferrelative="t" stroked="f" coordsize="21600,21600">
            <v:path/>
            <v:fill on="f" focussize="0,0"/>
            <v:stroke on="f"/>
            <v:imagedata r:id="rId31" o:title=""/>
            <o:lock v:ext="edit" aspectratio="t"/>
            <w10:wrap type="none"/>
            <w10:anchorlock/>
          </v:shape>
          <o:OLEObject Type="Embed" ProgID="Equation.DSMT4" ShapeID="_x0000_i1036" DrawAspect="Content" ObjectID="_1468075736" r:id="rId30">
            <o:LockedField>false</o:LockedField>
          </o:OLEObject>
        </w:object>
      </w:r>
      <w:r>
        <w:rPr>
          <w:rFonts w:hint="eastAsia"/>
          <w:lang w:eastAsia="zh-CN"/>
        </w:rPr>
        <w:t xml:space="preserve"> </w:t>
      </w:r>
      <w:r>
        <w:t>km</w:t>
      </w:r>
    </w:p>
    <w:p>
      <w:pPr>
        <w:pStyle w:val="4"/>
        <w:widowControl/>
        <w:rPr>
          <w:rFonts w:hint="eastAsia"/>
        </w:rPr>
      </w:pPr>
      <w:r>
        <w:t>In 1914</w:t>
      </w:r>
      <w:r>
        <w:rPr>
          <w:rStyle w:val="12"/>
        </w:rPr>
        <w:t>[</w:t>
      </w:r>
      <w:r>
        <w:rPr>
          <w:rStyle w:val="12"/>
        </w:rPr>
        <w:footnoteReference w:id="8"/>
      </w:r>
      <w:r>
        <w:rPr>
          <w:rStyle w:val="12"/>
        </w:rPr>
        <w:t>]</w:t>
      </w:r>
      <w:r>
        <w:rPr>
          <w:rFonts w:hint="eastAsia"/>
          <w:lang w:val="en-US" w:eastAsia="zh-CN"/>
        </w:rPr>
        <w:t xml:space="preserve">, Chandler felt that the formula he proposed was "precise enough to be used in practice", but my own observation found that precision is achieved by placing the infinite in tangible data, adding a unique charm. Just when I knew there was a cloud hovering above the desert, reaching a height of 7 miles, this is far beyond the reach of human beings. Such an understanding has deepened my connection to the "infinite height" depicted by Van Gogh. This is because the numerical values make the abstract concept of </w:t>
      </w:r>
      <w:r>
        <w:t>"infinity</w:t>
      </w:r>
      <w:r>
        <w:rPr>
          <w:rStyle w:val="12"/>
        </w:rPr>
        <w:t>[</w:t>
      </w:r>
      <w:r>
        <w:rPr>
          <w:rStyle w:val="12"/>
        </w:rPr>
        <w:footnoteReference w:id="9"/>
      </w:r>
      <w:r>
        <w:rPr>
          <w:rStyle w:val="12"/>
        </w:rPr>
        <w:t>]</w:t>
      </w:r>
      <w:r>
        <w:t>" no longer seem so ethereal</w:t>
      </w:r>
      <w:r>
        <w:rPr>
          <w:rStyle w:val="12"/>
        </w:rPr>
        <w:t>[</w:t>
      </w:r>
      <w:r>
        <w:rPr>
          <w:rStyle w:val="12"/>
        </w:rPr>
        <w:footnoteReference w:id="10"/>
      </w:r>
      <w:r>
        <w:rPr>
          <w:rStyle w:val="12"/>
        </w:rPr>
        <w:t>]</w:t>
      </w:r>
      <w:r>
        <w:rPr>
          <w:rFonts w:hint="eastAsia"/>
          <w:lang w:val="en-US" w:eastAsia="zh-CN"/>
        </w:rPr>
        <w:t xml:space="preserve">, </w:t>
      </w:r>
      <w:r>
        <w:t>as if within reach, but</w:t>
      </w:r>
      <w:r>
        <w:rPr>
          <w:rFonts w:hint="eastAsia"/>
          <w:lang w:val="en-US" w:eastAsia="zh-CN"/>
        </w:rPr>
        <w:t>,</w:t>
      </w:r>
      <w:r>
        <w:t xml:space="preserve"> in reality, it is hard to truly grasp. Ingold wrote in 2007: "The sky is a very crucial part of the landscape; it projects light onto the ground and blends with it." In the flat desert of Doha, this fact is even more evident. </w:t>
      </w:r>
      <w:r>
        <w:rPr>
          <w:rFonts w:hint="eastAsia"/>
        </w:rPr>
        <w:t>There, clouds become the main link between the ground and the infinite. As there are no mountains to hold the sky in place, the height of the clouds becomes a vertical marker. The measurable distance between them further highlights the vast space between the desert ground and the sky. This dynamic situation echoes Van Gogh's artistic practice. Van Gogh conducted research into the scientific properties of the sky, including how clouds form and the principles of light refraction. Then he transformed these research findings into paintings that can evoke a sense of transcending reality</w:t>
      </w:r>
      <w:r>
        <w:t>. For Van Gogh</w:t>
      </w:r>
      <w:r>
        <w:rPr>
          <w:rStyle w:val="12"/>
        </w:rPr>
        <w:t>[</w:t>
      </w:r>
      <w:r>
        <w:rPr>
          <w:rStyle w:val="12"/>
        </w:rPr>
        <w:footnoteReference w:id="11"/>
      </w:r>
      <w:r>
        <w:rPr>
          <w:rStyle w:val="12"/>
        </w:rPr>
        <w:t>]</w:t>
      </w:r>
      <w:r>
        <w:t xml:space="preserve">, </w:t>
      </w:r>
      <w:r>
        <w:rPr>
          <w:rFonts w:hint="eastAsia"/>
        </w:rPr>
        <w:t>to understand the tangible details of the sky, it was not the factor that hindered him from reaching the miracle, but rather the key that unlocked the door to it. This is just like how I began to appreciate, through calculation, that the cloud is both a physical entity and a symbol of the infinite.</w:t>
      </w:r>
    </w:p>
    <w:p>
      <w:pPr>
        <w:pStyle w:val="4"/>
        <w:widowControl/>
      </w:pPr>
      <w:r>
        <w:rPr>
          <w:rFonts w:hint="eastAsia"/>
        </w:rPr>
        <w:t xml:space="preserve">The interaction between measurement and wonder actually indicates that the soul has a dual essence. The soul is rooted in the tangible world, yet it always yearns for the infinite. On November 1st, I observed altocumulus clouds. After the calculation, I found that the altocumulus clouds were 6.5 miles high. Their slender shapes stretched out in the desert sky. I wrote these words in my diary: When I knew their exact height, I felt that they truly existed, yet there was also a sense of ethereality, as if they were a bridge between my physical self and the infinite. My soul acknowledges this duality. I am now on the ground of the desert, but my thoughts and heart are stretching towards the clouds, towards something that cannot be measured. My experience this time aligns with Kandel's viewpoint </w:t>
      </w:r>
      <w:r>
        <w:rPr>
          <w:rFonts w:hint="eastAsia"/>
          <w:lang w:val="en-US" w:eastAsia="zh-CN"/>
        </w:rPr>
        <w:t>from</w:t>
      </w:r>
      <w:r>
        <w:t xml:space="preserve"> 2016</w:t>
      </w:r>
      <w:r>
        <w:rPr>
          <w:rStyle w:val="12"/>
        </w:rPr>
        <w:t>[</w:t>
      </w:r>
      <w:r>
        <w:rPr>
          <w:rStyle w:val="12"/>
        </w:rPr>
        <w:footnoteReference w:id="12"/>
      </w:r>
      <w:r>
        <w:rPr>
          <w:rStyle w:val="12"/>
        </w:rPr>
        <w:t>]</w:t>
      </w:r>
      <w:r>
        <w:rPr>
          <w:rFonts w:hint="eastAsia"/>
          <w:lang w:val="en-US" w:eastAsia="zh-CN"/>
        </w:rPr>
        <w:t xml:space="preserve">. </w:t>
      </w:r>
      <w:r>
        <w:t>Kandel believes that both art and science are seeking to "build a bridge between the tangible and the inexpressible", because measurement and miracles work together, which enables us to have a deeper understanding of the sky and ourselves</w:t>
      </w:r>
      <w:r>
        <w:rPr>
          <w:rStyle w:val="12"/>
        </w:rPr>
        <w:t>[</w:t>
      </w:r>
      <w:r>
        <w:rPr>
          <w:rStyle w:val="12"/>
        </w:rPr>
        <w:footnoteReference w:id="13"/>
      </w:r>
      <w:r>
        <w:rPr>
          <w:rStyle w:val="12"/>
        </w:rPr>
        <w:t>]</w:t>
      </w:r>
      <w:r>
        <w:rPr>
          <w:rFonts w:hint="eastAsia"/>
          <w:lang w:val="en-US" w:eastAsia="zh-CN"/>
        </w:rPr>
        <w:t>. Chandler's formula, proposed in 1914, provided a scientific language for describing clouds, while my own emotional response offered a spiritual language. These two languages together point to the soul's meaning in the tension between what we can measure and what we can only feel, in the desert of Doha. The tension was particularly acute as the sky and the sand stretched out infinitely in all directions. The height of the clouds has become a metaphor for the soul's journey, for we have been striving to quantify what cannot be quantified and to grasp the infinite existence.</w:t>
      </w:r>
    </w:p>
    <w:p>
      <w:pPr>
        <w:pStyle w:val="2"/>
        <w:keepNext/>
        <w:widowControl/>
      </w:pPr>
      <w:r>
        <w:t>Sky, Clouds, and Landscape: Enchantment as a Holistic Vision</w:t>
      </w:r>
    </w:p>
    <w:p>
      <w:pPr>
        <w:pStyle w:val="4"/>
        <w:widowControl/>
        <w:rPr>
          <w:rFonts w:hint="eastAsia"/>
        </w:rPr>
      </w:pPr>
      <w:r>
        <w:rPr>
          <w:rFonts w:hint="eastAsia"/>
        </w:rPr>
        <w:t>Van Gogh's unique charm lies in his view of the sky and the earth as an interrelated whole. My observations in Doha, along with my memories of Chinese landscapes, confirm that this holism is crucial for the miraculous experience</w:t>
      </w:r>
      <w:r>
        <w:t xml:space="preserve"> of the soul (Edensor, 2017). There are no mountains or such diverse terrains in the deserts of Doha</w:t>
      </w:r>
      <w:r>
        <w:rPr>
          <w:rStyle w:val="12"/>
        </w:rPr>
        <w:t>[</w:t>
      </w:r>
      <w:r>
        <w:rPr>
          <w:rStyle w:val="12"/>
        </w:rPr>
        <w:footnoteReference w:id="14"/>
      </w:r>
      <w:r>
        <w:rPr>
          <w:rStyle w:val="12"/>
        </w:rPr>
        <w:t>]</w:t>
      </w:r>
      <w:r>
        <w:t xml:space="preserve">. However, </w:t>
      </w:r>
      <w:r>
        <w:rPr>
          <w:rFonts w:hint="eastAsia"/>
        </w:rPr>
        <w:t>the flat horizon provides a pure canvas for observing the synergy between the sky, clouds, and the land. The sand reflects the color of the clouds, while the clouds soften the harshness of the desert. Edensor once said, "Light, including the patterns of the clouds</w:t>
      </w:r>
      <w:r>
        <w:rPr>
          <w:rFonts w:hint="eastAsia"/>
          <w:lang w:val="en-US" w:eastAsia="zh-CN"/>
        </w:rPr>
        <w:t xml:space="preserve">, </w:t>
      </w:r>
      <w:r>
        <w:t>defines the landscape."</w:t>
      </w:r>
      <w:r>
        <w:rPr>
          <w:rStyle w:val="12"/>
        </w:rPr>
        <w:t>[</w:t>
      </w:r>
      <w:r>
        <w:rPr>
          <w:rStyle w:val="12"/>
        </w:rPr>
        <w:footnoteReference w:id="15"/>
      </w:r>
      <w:r>
        <w:rPr>
          <w:rStyle w:val="12"/>
        </w:rPr>
        <w:t>]</w:t>
      </w:r>
      <w:r>
        <w:t xml:space="preserve"> This is also a fact that I can see with my own eyes every day. </w:t>
      </w:r>
      <w:r>
        <w:rPr>
          <w:rFonts w:hint="eastAsia"/>
        </w:rPr>
        <w:t>At sunset, the clouds cast warm colors on the desert, transforming the originally single-colored sand into a tapestry of gold and pink. On October 20th, I recorded the following content: The reflections formed by the clouds on the desert ground blur the boundary between the sky and the earth, making people feel as if they were two parts of one whole. I feel that I have also become a part of this whole, as if my soul is woven in the interaction among light, clouds, and sand. This sense of integration aligns with Van Gogh's artistic philosophy. He depicted the sky as an active participant in the landscape rather than a background, a situation similar to that of Chinese artists who use clouds to "connect heaven and earth" in landscape paintings.</w:t>
      </w:r>
    </w:p>
    <w:p>
      <w:pPr>
        <w:pStyle w:val="4"/>
        <w:widowControl/>
      </w:pPr>
      <w:r>
        <w:rPr>
          <w:rFonts w:hint="eastAsia"/>
        </w:rPr>
        <w:t xml:space="preserve">My nostalgic connections with Chinese mountains enhanced this comprehensive vision, enabling me to </w:t>
      </w:r>
      <w:r>
        <w:rPr>
          <w:rFonts w:hint="default"/>
          <w:lang w:val="en-US" w:eastAsia="zh-CN"/>
        </w:rPr>
        <w:t>“</w:t>
      </w:r>
      <w:r>
        <w:rPr>
          <w:rFonts w:hint="eastAsia"/>
        </w:rPr>
        <w:t>see</w:t>
      </w:r>
      <w:r>
        <w:rPr>
          <w:rFonts w:hint="default"/>
          <w:lang w:val="en-US" w:eastAsia="zh-CN"/>
        </w:rPr>
        <w:t>”</w:t>
      </w:r>
      <w:r>
        <w:rPr>
          <w:rFonts w:hint="eastAsia"/>
        </w:rPr>
        <w:t xml:space="preserve"> mountains even when the desert was present and to regard clouds as their spiritual counterparts.</w:t>
      </w:r>
      <w:r>
        <w:t xml:space="preserve"> Bolshakova (2020)</w:t>
      </w:r>
      <w:r>
        <w:rPr>
          <w:rStyle w:val="12"/>
        </w:rPr>
        <w:t>[</w:t>
      </w:r>
      <w:r>
        <w:rPr>
          <w:rStyle w:val="12"/>
        </w:rPr>
        <w:footnoteReference w:id="16"/>
      </w:r>
      <w:r>
        <w:rPr>
          <w:rStyle w:val="12"/>
        </w:rPr>
        <w:t>]</w:t>
      </w:r>
      <w:r>
        <w:rPr>
          <w:rFonts w:hint="eastAsia"/>
          <w:lang w:val="en-US" w:eastAsia="zh-CN"/>
        </w:rPr>
        <w:t xml:space="preserve"> points out that Chinese poetry frequently combines “mountain” (“山峰，” shanfeng) and “sky” (“天，” tian) to bring about cosmic harmony—a harmony I sensed in Doha as clouds reminded me of the mountain peaks of my youthful days. On October 25, thick stratocumulus clouds made me think of 范宽 (Fan Kuan)’s painting 《溪山行旅图》(Travelers Among Mountains and Streams), where clouds lie at the bases of mountains to form depth and spiritual resonance. Although Doha has no mountains, the mass and movement of the clouds evoked the same feeling of awe, closing the distance between my current environment and my cultural origins. This experience showed that the soul’s perception of landscape is not restricted to the immediate surroundings but is influenced by memory and cultural context, allowing us to discover harmony even in unfamiliar locations</w:t>
      </w:r>
      <w:r>
        <w:t xml:space="preserve"> (Harris</w:t>
      </w:r>
      <w:r>
        <w:rPr>
          <w:rStyle w:val="12"/>
        </w:rPr>
        <w:t>[</w:t>
      </w:r>
      <w:r>
        <w:rPr>
          <w:rStyle w:val="12"/>
        </w:rPr>
        <w:footnoteReference w:id="17"/>
      </w:r>
      <w:r>
        <w:rPr>
          <w:rStyle w:val="12"/>
        </w:rPr>
        <w:t>]</w:t>
      </w:r>
      <w:r>
        <w:t xml:space="preserve">, 2015). Just as Van Gogh discovered charm </w:t>
      </w:r>
      <w:r>
        <w:rPr>
          <w:rFonts w:hint="eastAsia"/>
        </w:rPr>
        <w:t>charm in the fields of Provence by connecting them to his inner world, I found harmony in Doha</w:t>
      </w:r>
      <w:r>
        <w:rPr>
          <w:rFonts w:hint="default"/>
          <w:lang w:val="en-US" w:eastAsia="zh-CN"/>
        </w:rPr>
        <w:t>’</w:t>
      </w:r>
      <w:r>
        <w:rPr>
          <w:rFonts w:hint="eastAsia"/>
        </w:rPr>
        <w:t>s desert by associating clouds with the mountains of my soul</w:t>
      </w:r>
      <w:r>
        <w:rPr>
          <w:rFonts w:hint="default"/>
          <w:lang w:val="en-US" w:eastAsia="zh-CN"/>
        </w:rPr>
        <w:t>’</w:t>
      </w:r>
      <w:r>
        <w:rPr>
          <w:rFonts w:hint="eastAsia"/>
        </w:rPr>
        <w:t>s home.</w:t>
      </w:r>
    </w:p>
    <w:p>
      <w:pPr>
        <w:pStyle w:val="4"/>
        <w:widowControl/>
      </w:pPr>
      <w:r>
        <w:rPr>
          <w:rFonts w:hint="eastAsia"/>
        </w:rPr>
        <w:t>Scientifically speaking, this synergy arises because clouds act as regulators of light and energy between the sky and the earth. Clouds create dynamic patterns that bring life to the landscape</w:t>
      </w:r>
      <w:r>
        <w:t xml:space="preserve"> (Edensor, 2017)</w:t>
      </w:r>
      <w:r>
        <w:rPr>
          <w:rStyle w:val="12"/>
        </w:rPr>
        <w:t>[</w:t>
      </w:r>
      <w:r>
        <w:rPr>
          <w:rStyle w:val="12"/>
        </w:rPr>
        <w:footnoteReference w:id="18"/>
      </w:r>
      <w:r>
        <w:rPr>
          <w:rStyle w:val="12"/>
        </w:rPr>
        <w:t>]</w:t>
      </w:r>
      <w:r>
        <w:t xml:space="preserve">. </w:t>
      </w:r>
      <w:r>
        <w:rPr>
          <w:rFonts w:hint="eastAsia"/>
        </w:rPr>
        <w:t xml:space="preserve">On November 5th, I witnessed the sunset cast long, moving shadows over the desert, forming a picture of interwoven light and darkness. Make the originally flat terrain come alive. I wrote these words in my diary: Those shadows are moving like waves. It feels as if the earth is breathing along with the sky. I feel like I'm also part of this breath. My soul is in sync with the pulse of nature. This feeling of my participation is the same as Van Gogh's idea. Van Gogh believed that charm comes from our recognition that we are interconnected with the natural </w:t>
      </w:r>
      <w:r>
        <w:t>world</w:t>
      </w:r>
      <w:r>
        <w:rPr>
          <w:rStyle w:val="12"/>
        </w:rPr>
        <w:t>[</w:t>
      </w:r>
      <w:r>
        <w:rPr>
          <w:rStyle w:val="12"/>
        </w:rPr>
        <w:footnoteReference w:id="19"/>
      </w:r>
      <w:r>
        <w:rPr>
          <w:rStyle w:val="12"/>
        </w:rPr>
        <w:t>]</w:t>
      </w:r>
      <w:r>
        <w:t xml:space="preserve">. </w:t>
      </w:r>
      <w:r>
        <w:rPr>
          <w:rFonts w:hint="eastAsia"/>
        </w:rPr>
        <w:t>For Van Gogh, the sky was not something very distant but a living entity. When I was in Doha, I had the same feeling: clouds became messengers of information between heaven and earth. Their movement and light made me realize that the soul is not separate from nature but an indispensable part of it. This holistic view, which takes observation, memory, and science as its basis, captures the key to Van Gogh's insight: "clearly aware of the stars and the infinite", which is actually the recognition that the soul's longing for the infinite is manifested in the harmony of the measurable details and the infinite wonders in the natural world.</w:t>
      </w:r>
    </w:p>
    <w:p>
      <w:pPr>
        <w:pStyle w:val="2"/>
        <w:keepNext/>
        <w:widowControl/>
      </w:pPr>
      <w:r>
        <w:t>Conclusion</w:t>
      </w:r>
    </w:p>
    <w:p>
      <w:pPr>
        <w:pStyle w:val="4"/>
        <w:widowControl/>
        <w:rPr>
          <w:rFonts w:hint="eastAsia"/>
        </w:rPr>
      </w:pPr>
      <w:r>
        <w:rPr>
          <w:rFonts w:hint="eastAsia"/>
        </w:rPr>
        <w:t>This observation activity lasted a full month and focused on sunset clouds in Doha, Qatar. The specific period was from October 8th to November 7th, 2025. This observation explored Van Gogh's assertion that the infinite consciousness of the sky attracts life. Through the observation, three interrelated themes were revealed. The first theme is the emotional and spiritual resonance of all the colors of the clouds. The second theme is the tension between the measurable height of the clouds and the perception of the infinite. The third theme is the overall synergy among the sky, the clouds, and the landscape. Together, these themes illustrate that the "charm" Van Gogh mentioned is not a rare or supernatural experience. Rather, it is a natural outcome that occurs after consciously coming into contact with the sky. This kind of contact can connect the different dimensions of human experience, such as the senses, science, culture, and spirit.</w:t>
      </w:r>
    </w:p>
    <w:p>
      <w:pPr>
        <w:pStyle w:val="4"/>
        <w:widowControl/>
        <w:rPr>
          <w:rFonts w:hint="eastAsia"/>
        </w:rPr>
      </w:pPr>
      <w:r>
        <w:rPr>
          <w:rFonts w:hint="eastAsia"/>
        </w:rPr>
        <w:t>The sunset has bright, dazzling colors, a measurable height, and interacts dynamically with the surrounding landscape. It is like a gateway to perceive the infinite in our daily life. The charm of these clouds lies in the ability of our souls to find meaning in duality. The color of the clouds blends the physical and emotional aspects, the height of the clouds fuses the measurable parts with the astonishing ones, and the interaction between the clouds and the landscape is like weaving together an immediate experience and past memories. Van Gogh understood this duality. He expressed his deep soul's longing for connection through his observations of the sky</w:t>
      </w:r>
      <w:r>
        <w:t xml:space="preserve"> (Van Gogh &amp; de Leeuw, 1997)</w:t>
      </w:r>
      <w:r>
        <w:rPr>
          <w:rStyle w:val="12"/>
        </w:rPr>
        <w:t>[</w:t>
      </w:r>
      <w:r>
        <w:rPr>
          <w:rStyle w:val="12"/>
        </w:rPr>
        <w:footnoteReference w:id="20"/>
      </w:r>
      <w:r>
        <w:rPr>
          <w:rStyle w:val="12"/>
        </w:rPr>
        <w:t>]</w:t>
      </w:r>
      <w:r>
        <w:t xml:space="preserve">, </w:t>
      </w:r>
      <w:r>
        <w:rPr>
          <w:rFonts w:hint="eastAsia"/>
        </w:rPr>
        <w:t xml:space="preserve"> just as Chinese artists and poets have long used clouds to symbolize the freedom of the soul and harmony with the universe. In the desert of Doha, the sky appears flat, the climate is dry, and there are no mountains around. In such an environment, I found that the duality became even more pronounced, as there were no familiar landmarks. This enhanced my understanding of the cloud as an entity that combines both spiritual and material qualities, allowing me to connect the tangible details of the sunset with the indescribable desires in my soul.</w:t>
      </w:r>
    </w:p>
    <w:p>
      <w:pPr>
        <w:pStyle w:val="4"/>
        <w:widowControl/>
        <w:rPr>
          <w:rFonts w:hint="eastAsia"/>
        </w:rPr>
      </w:pPr>
    </w:p>
    <w:p>
      <w:pPr>
        <w:pStyle w:val="4"/>
        <w:widowControl/>
        <w:rPr>
          <w:rFonts w:hint="default"/>
          <w:lang w:val="en-US" w:eastAsia="zh-CN"/>
        </w:rPr>
      </w:pPr>
      <w:r>
        <w:rPr>
          <w:rFonts w:hint="eastAsia"/>
        </w:rPr>
        <w:t>Ultimately, the sunset glow is not merely an ordinary meteorological phenomenon. It is like a mirror of the soul, reflecting a tense state between the tangible and the boundless infinity. When we consciously sense the color of the sunset glow, pay attention to its height, and observe its movements, then we can awaken the unique charm contained in our daily life - this does not mean that we should escape from this tangible and concrete world, but rather that we should seek the infinite existence within this world. All of Van Gogh's insights remain highly valuable to this day: when we become aware of the wondrous scenes presented by the sky, we will understand that the greatest longing of the soul is not to pursue things beyond the natural world, but to establish a deeper connection with everything around us and the infinite that dwells in this world.</w:t>
      </w:r>
      <w:bookmarkStart w:id="6" w:name="_GoBack"/>
      <w:bookmarkEnd w:id="6"/>
    </w:p>
    <w:p>
      <w:r>
        <w:br w:type="page"/>
      </w:r>
    </w:p>
    <w:p>
      <w:pPr>
        <w:pStyle w:val="13"/>
        <w:pageBreakBefore/>
        <w:widowControl/>
      </w:pPr>
      <w:r>
        <w:t>References</w:t>
      </w:r>
    </w:p>
    <w:p>
      <w:pPr>
        <w:pStyle w:val="14"/>
        <w:widowControl/>
      </w:pPr>
      <w:r>
        <w:t>Bolshakova V.R. (2020).</w:t>
      </w:r>
      <w:r>
        <w:rPr>
          <w:rFonts w:hint="eastAsia"/>
          <w:lang w:val="en-US" w:eastAsia="zh-CN"/>
        </w:rPr>
        <w:t xml:space="preserve"> </w:t>
      </w:r>
      <w:r>
        <w:rPr>
          <w:i/>
          <w:iCs/>
        </w:rPr>
        <w:t>Lexical</w:t>
      </w:r>
      <w:r>
        <w:rPr>
          <w:i/>
          <w:iCs/>
        </w:rPr>
        <w:noBreakHyphen/>
      </w:r>
      <w:r>
        <w:rPr>
          <w:i/>
          <w:iCs/>
        </w:rPr>
        <w:t>semantic groups “Mountain” and “Sky” in Chinese poetry and their English and Russian translations (based on Mao Zedon’s poetry)</w:t>
      </w:r>
      <w:r>
        <w:t>.</w:t>
      </w:r>
      <w:r>
        <w:rPr>
          <w:rFonts w:hint="eastAsia"/>
          <w:lang w:val="en-US" w:eastAsia="zh-CN"/>
        </w:rPr>
        <w:t xml:space="preserve"> </w:t>
      </w:r>
      <w:r>
        <w:t>Modern Studies of Social Issues, 12(4), 14</w:t>
      </w:r>
      <w:r>
        <w:noBreakHyphen/>
      </w:r>
      <w:r>
        <w:t>26. DOI:</w:t>
      </w:r>
      <w:r>
        <w:rPr>
          <w:rFonts w:hint="eastAsia"/>
          <w:lang w:val="en-US" w:eastAsia="zh-CN"/>
        </w:rPr>
        <w:t xml:space="preserve"> </w:t>
      </w:r>
      <w:r>
        <w:fldChar w:fldCharType="begin"/>
      </w:r>
      <w:r>
        <w:instrText xml:space="preserve"> HYPERLINK "https://doi.org/10.12731/2077-1770-2020-4-14-26" \t "https://metaso.cn/search-v2/_blank" </w:instrText>
      </w:r>
      <w:r>
        <w:fldChar w:fldCharType="separate"/>
      </w:r>
      <w:r>
        <w:t>https://doi.org/10.12731/2077-1770-2020-4-14-26</w:t>
      </w:r>
      <w:r>
        <w:fldChar w:fldCharType="end"/>
      </w:r>
    </w:p>
    <w:p>
      <w:pPr>
        <w:pStyle w:val="14"/>
        <w:widowControl/>
      </w:pPr>
      <w:r>
        <w:t xml:space="preserve">Chandler, E. F. (1914). </w:t>
      </w:r>
      <w:r>
        <w:rPr>
          <w:i/>
          <w:iCs/>
        </w:rPr>
        <w:t>Height of clouds at sunset</w:t>
      </w:r>
      <w:r>
        <w:t>.</w:t>
      </w:r>
      <w:r>
        <w:rPr>
          <w:rFonts w:hint="eastAsia"/>
          <w:lang w:val="en-US" w:eastAsia="zh-CN"/>
        </w:rPr>
        <w:t xml:space="preserve"> </w:t>
      </w:r>
      <w:r>
        <w:t>School Science and Mathematics, 14(6), 429-431.</w:t>
      </w:r>
    </w:p>
    <w:p>
      <w:pPr>
        <w:pStyle w:val="14"/>
        <w:widowControl/>
      </w:pPr>
      <w:r>
        <w:t xml:space="preserve">Edensor, T. (2017). </w:t>
      </w:r>
      <w:r>
        <w:rPr>
          <w:i/>
          <w:iCs/>
        </w:rPr>
        <w:t>From Light to Dark: Daylight, Illumination, and Gloom</w:t>
      </w:r>
      <w:r>
        <w:t>. University of Minnesota Press. http://www.jstor.org/stable/10.5749/j.ctt1mmfsqb</w:t>
      </w:r>
    </w:p>
    <w:p>
      <w:pPr>
        <w:pStyle w:val="14"/>
        <w:widowControl/>
        <w:rPr>
          <w:rFonts w:hint="eastAsia" w:eastAsia="宋体"/>
          <w:lang w:eastAsia="zh-CN"/>
        </w:rPr>
      </w:pPr>
      <w:r>
        <w:t>Elliot A. J., &amp; Maier M. A. (2007).</w:t>
      </w:r>
      <w:r>
        <w:rPr>
          <w:rFonts w:hint="eastAsia"/>
          <w:lang w:val="en-US" w:eastAsia="zh-CN"/>
        </w:rPr>
        <w:t xml:space="preserve"> </w:t>
      </w:r>
      <w:r>
        <w:rPr>
          <w:i/>
          <w:iCs/>
        </w:rPr>
        <w:t>Color and psychological functioning</w:t>
      </w:r>
      <w:r>
        <w:t>.</w:t>
      </w:r>
      <w:r>
        <w:rPr>
          <w:rFonts w:hint="eastAsia"/>
          <w:lang w:eastAsia="zh-CN"/>
        </w:rPr>
        <w:t xml:space="preserve"> </w:t>
      </w:r>
      <w:r>
        <w:t>Current Directions in Psychological Science, 16(5), 250</w:t>
      </w:r>
      <w:r>
        <w:noBreakHyphen/>
      </w:r>
      <w:r>
        <w:t>254.</w:t>
      </w:r>
      <w:r>
        <w:rPr>
          <w:rFonts w:hint="eastAsia"/>
          <w:lang w:val="en-US" w:eastAsia="zh-CN"/>
        </w:rPr>
        <w:t xml:space="preserve"> </w:t>
      </w:r>
      <w:r>
        <w:fldChar w:fldCharType="begin"/>
      </w:r>
      <w:r>
        <w:instrText xml:space="preserve"> HYPERLINK "https://doi.org/10.1111/j.1467-8721.2007.00514.x" \t "https://metaso.cn/search-v2/_blank" </w:instrText>
      </w:r>
      <w:r>
        <w:fldChar w:fldCharType="separate"/>
      </w:r>
      <w:r>
        <w:t>https://doi.org/10.1111/j.1467-8721.2007.00514.x</w:t>
      </w:r>
      <w:r>
        <w:fldChar w:fldCharType="end"/>
      </w:r>
      <w:r>
        <w:rPr>
          <w:rFonts w:hint="eastAsia"/>
          <w:lang w:eastAsia="zh-CN"/>
        </w:rPr>
        <w:t xml:space="preserve"> </w:t>
      </w:r>
    </w:p>
    <w:p>
      <w:pPr>
        <w:pStyle w:val="14"/>
        <w:widowControl/>
      </w:pPr>
      <w:r>
        <w:t>Harris, A.</w:t>
      </w:r>
      <w:r>
        <w:rPr>
          <w:rFonts w:hint="eastAsia"/>
          <w:lang w:val="en-US" w:eastAsia="zh-CN"/>
        </w:rPr>
        <w:t xml:space="preserve"> </w:t>
      </w:r>
      <w:r>
        <w:t>(2015).</w:t>
      </w:r>
      <w:r>
        <w:rPr>
          <w:rFonts w:hint="eastAsia"/>
          <w:lang w:val="en-US" w:eastAsia="zh-CN"/>
        </w:rPr>
        <w:t xml:space="preserve"> </w:t>
      </w:r>
      <w:r>
        <w:rPr>
          <w:i/>
          <w:iCs/>
        </w:rPr>
        <w:t>Weatherland: Writers and artists under English skies</w:t>
      </w:r>
      <w:r>
        <w:t>. Thames &amp; Hudson.</w:t>
      </w:r>
      <w:r>
        <w:rPr>
          <w:rFonts w:hint="eastAsia"/>
          <w:lang w:eastAsia="zh-CN"/>
        </w:rPr>
        <w:t xml:space="preserve"> </w:t>
      </w:r>
      <w:r>
        <w:fldChar w:fldCharType="begin"/>
      </w:r>
      <w:r>
        <w:instrText xml:space="preserve"> HYPERLINK "https://thamesandhudson.com/weatherland-9780500518113" </w:instrText>
      </w:r>
      <w:r>
        <w:fldChar w:fldCharType="separate"/>
      </w:r>
      <w:r>
        <w:t>https://thamesandhudson.com/weatherland-9780500518113</w:t>
      </w:r>
      <w:r>
        <w:fldChar w:fldCharType="end"/>
      </w:r>
    </w:p>
    <w:p>
      <w:pPr>
        <w:pStyle w:val="14"/>
        <w:widowControl/>
      </w:pPr>
      <w:r>
        <w:t xml:space="preserve">Ingold, T. (2007). </w:t>
      </w:r>
      <w:r>
        <w:rPr>
          <w:i/>
          <w:iCs/>
        </w:rPr>
        <w:t>Earth, Sky, Wind, and Weather</w:t>
      </w:r>
      <w:r>
        <w:t>. The Journal of the Royal Anthropological Institute, 13, S19–S38. http://www.jstor.org/stable/4623118</w:t>
      </w:r>
    </w:p>
    <w:p>
      <w:pPr>
        <w:pStyle w:val="14"/>
        <w:widowControl/>
      </w:pPr>
      <w:r>
        <w:t>KANDEL, E. R. (2016). Reductionism in Art and Brain Science: Bridging the Two Cultures. Columbia University Press. https://doi.org/10.7312/kand17962</w:t>
      </w:r>
    </w:p>
    <w:p>
      <w:pPr>
        <w:pStyle w:val="14"/>
        <w:widowControl/>
      </w:pPr>
      <w:r>
        <w:t>Mao, Z. (1963).</w:t>
      </w:r>
      <w:r>
        <w:rPr>
          <w:rFonts w:hint="eastAsia"/>
          <w:lang w:eastAsia="zh-CN"/>
        </w:rPr>
        <w:t xml:space="preserve"> </w:t>
      </w:r>
      <w:r>
        <w:rPr>
          <w:i/>
          <w:iCs/>
        </w:rPr>
        <w:t>Mao Zedong poems</w:t>
      </w:r>
      <w:r>
        <w:t>. Foreign Languages Press. (Original work published 1934-1945)</w:t>
      </w:r>
    </w:p>
    <w:p>
      <w:pPr>
        <w:pStyle w:val="14"/>
        <w:widowControl/>
      </w:pPr>
      <w:r>
        <w:t>Rewald, J. (1986).</w:t>
      </w:r>
      <w:r>
        <w:rPr>
          <w:rFonts w:hint="eastAsia"/>
          <w:lang w:eastAsia="zh-CN"/>
        </w:rPr>
        <w:t xml:space="preserve"> </w:t>
      </w:r>
      <w:r>
        <w:rPr>
          <w:i/>
          <w:iCs/>
        </w:rPr>
        <w:t>Van Gogh: A Biography</w:t>
      </w:r>
      <w:r>
        <w:t>. Harry N. Abrams.</w:t>
      </w:r>
    </w:p>
    <w:p>
      <w:pPr>
        <w:pStyle w:val="14"/>
        <w:widowControl/>
      </w:pPr>
      <w:r>
        <w:t xml:space="preserve">Rewald, J. (1996). </w:t>
      </w:r>
      <w:r>
        <w:rPr>
          <w:i/>
          <w:iCs/>
        </w:rPr>
        <w:t>The history of impressionism</w:t>
      </w:r>
      <w:r>
        <w:t>. Harry N. Abrams.</w:t>
      </w:r>
    </w:p>
    <w:p>
      <w:pPr>
        <w:pStyle w:val="14"/>
        <w:widowControl/>
      </w:pPr>
      <w:r>
        <w:t>Van Gogh, V., &amp; de Leeuw, R. (1997).</w:t>
      </w:r>
      <w:r>
        <w:rPr>
          <w:rFonts w:hint="eastAsia"/>
          <w:lang w:eastAsia="zh-CN"/>
        </w:rPr>
        <w:t xml:space="preserve"> </w:t>
      </w:r>
      <w:r>
        <w:t>The Letters of Vincent Van Gogh. Penguin Books.</w:t>
      </w:r>
    </w:p>
    <w:sectPr>
      <w:headerReference r:id="rId5" w:type="default"/>
      <w:footnotePr>
        <w:numFmt w:val="decimal"/>
      </w:footnote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804030504040204"/>
    <w:charset w:val="00"/>
    <w:family w:val="swiss"/>
    <w:pitch w:val="default"/>
    <w:sig w:usb0="E1002AFF" w:usb1="C000605B" w:usb2="00000029" w:usb3="00000000" w:csb0="200101FF" w:csb1="20280000"/>
  </w:font>
  <w:font w:name="Trebuchet MS">
    <w:panose1 w:val="020B0603020202020204"/>
    <w:charset w:val="00"/>
    <w:family w:val="swiss"/>
    <w:pitch w:val="default"/>
    <w:sig w:usb0="00000287" w:usb1="00000000" w:usb2="00000000" w:usb3="00000000" w:csb0="200000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Arial Unicode MS">
    <w:panose1 w:val="020B0604020202020204"/>
    <w:charset w:val="86"/>
    <w:family w:val="auto"/>
    <w:pitch w:val="default"/>
    <w:sig w:usb0="FFFFFFFF" w:usb1="E9FFFFFF" w:usb2="0000003F" w:usb3="00000000" w:csb0="603F01FF" w:csb1="FFFF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Times New Roman Regular">
    <w:panose1 w:val="02020603050405020304"/>
    <w:charset w:val="00"/>
    <w:family w:val="auto"/>
    <w:pitch w:val="default"/>
    <w:sig w:usb0="E0002AEF" w:usb1="C0007841"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42">
    <w:p>
      <w:pPr>
        <w:spacing w:line="360" w:lineRule="auto"/>
        <w:ind w:firstLine="480"/>
      </w:pPr>
      <w:r>
        <w:separator/>
      </w:r>
    </w:p>
  </w:footnote>
  <w:footnote w:type="continuationSeparator" w:id="43">
    <w:p>
      <w:pPr>
        <w:spacing w:line="360" w:lineRule="auto"/>
        <w:ind w:firstLine="480"/>
      </w:pPr>
      <w:r>
        <w:continuationSeparator/>
      </w:r>
    </w:p>
  </w:footnote>
  <w:footnote w:id="0">
    <w:p>
      <w:pPr>
        <w:pStyle w:val="7"/>
      </w:pPr>
      <w:r>
        <w:rPr>
          <w:rStyle w:val="12"/>
          <w:vertAlign w:val="baseline"/>
        </w:rPr>
        <w:t>[</w:t>
      </w:r>
      <w:r>
        <w:rPr>
          <w:rStyle w:val="12"/>
          <w:vertAlign w:val="baseline"/>
        </w:rPr>
        <w:footnoteRef/>
      </w:r>
      <w:r>
        <w:rPr>
          <w:rStyle w:val="12"/>
          <w:vertAlign w:val="baseline"/>
        </w:rPr>
        <w:t>]</w:t>
      </w:r>
      <w:r>
        <w:t xml:space="preserve"> Van Gogh, V., &amp; de Leeuw, R. (1997). </w:t>
      </w:r>
      <w:r>
        <w:rPr>
          <w:i/>
          <w:iCs/>
        </w:rPr>
        <w:t>The letters of Vincent Van Gogh</w:t>
      </w:r>
      <w:r>
        <w:t>. Penguin Books.</w:t>
      </w:r>
    </w:p>
  </w:footnote>
  <w:footnote w:id="1">
    <w:p>
      <w:pPr>
        <w:pStyle w:val="7"/>
      </w:pPr>
      <w:r>
        <w:rPr>
          <w:rStyle w:val="12"/>
          <w:vertAlign w:val="baseline"/>
        </w:rPr>
        <w:t>[</w:t>
      </w:r>
      <w:r>
        <w:rPr>
          <w:rStyle w:val="12"/>
          <w:vertAlign w:val="baseline"/>
        </w:rPr>
        <w:footnoteRef/>
      </w:r>
      <w:r>
        <w:rPr>
          <w:rStyle w:val="12"/>
          <w:vertAlign w:val="baseline"/>
        </w:rPr>
        <w:t>]</w:t>
      </w:r>
      <w:r>
        <w:t xml:space="preserve"> Chandler, E. F. (1914). </w:t>
      </w:r>
      <w:r>
        <w:rPr>
          <w:i/>
          <w:iCs/>
        </w:rPr>
        <w:t>Height of clouds at sunset</w:t>
      </w:r>
      <w:r>
        <w:t>. School Science and Mathematics, 14(6), 429-431.</w:t>
      </w:r>
    </w:p>
  </w:footnote>
  <w:footnote w:id="2">
    <w:p>
      <w:pPr>
        <w:pStyle w:val="7"/>
      </w:pPr>
      <w:r>
        <w:rPr>
          <w:rStyle w:val="12"/>
          <w:vertAlign w:val="baseline"/>
        </w:rPr>
        <w:t>[</w:t>
      </w:r>
      <w:r>
        <w:rPr>
          <w:rStyle w:val="12"/>
          <w:vertAlign w:val="baseline"/>
        </w:rPr>
        <w:footnoteRef/>
      </w:r>
      <w:r>
        <w:rPr>
          <w:rStyle w:val="12"/>
          <w:vertAlign w:val="baseline"/>
        </w:rPr>
        <w:t>]</w:t>
      </w:r>
      <w:r>
        <w:t xml:space="preserve"> Van Gogh, V., &amp; de Leeuw, R. (1997). </w:t>
      </w:r>
      <w:r>
        <w:rPr>
          <w:i/>
          <w:iCs/>
        </w:rPr>
        <w:t>The letters of Vincent Van Gogh</w:t>
      </w:r>
      <w:r>
        <w:t>. Penguin Books.</w:t>
      </w:r>
    </w:p>
  </w:footnote>
  <w:footnote w:id="3">
    <w:p>
      <w:pPr>
        <w:pStyle w:val="7"/>
      </w:pPr>
      <w:r>
        <w:rPr>
          <w:rStyle w:val="12"/>
          <w:vertAlign w:val="baseline"/>
        </w:rPr>
        <w:t>[</w:t>
      </w:r>
      <w:r>
        <w:rPr>
          <w:rStyle w:val="12"/>
          <w:vertAlign w:val="baseline"/>
        </w:rPr>
        <w:footnoteRef/>
      </w:r>
      <w:r>
        <w:rPr>
          <w:rStyle w:val="12"/>
          <w:vertAlign w:val="baseline"/>
        </w:rPr>
        <w:t>]</w:t>
      </w:r>
      <w:r>
        <w:t xml:space="preserve"> Rewald, J. (1996). </w:t>
      </w:r>
      <w:r>
        <w:rPr>
          <w:i/>
          <w:iCs/>
        </w:rPr>
        <w:t>The history of impressionism</w:t>
      </w:r>
      <w:r>
        <w:t>. Harry N. Abrams.</w:t>
      </w:r>
    </w:p>
  </w:footnote>
  <w:footnote w:id="4">
    <w:p>
      <w:pPr>
        <w:pStyle w:val="7"/>
      </w:pPr>
      <w:r>
        <w:rPr>
          <w:rStyle w:val="12"/>
          <w:vertAlign w:val="baseline"/>
        </w:rPr>
        <w:t>[</w:t>
      </w:r>
      <w:r>
        <w:rPr>
          <w:rStyle w:val="12"/>
          <w:vertAlign w:val="baseline"/>
        </w:rPr>
        <w:footnoteRef/>
      </w:r>
      <w:r>
        <w:rPr>
          <w:rStyle w:val="12"/>
          <w:vertAlign w:val="baseline"/>
        </w:rPr>
        <w:t>]</w:t>
      </w:r>
      <w:r>
        <w:t xml:space="preserve"> Kandel, E. R. (2016).</w:t>
      </w:r>
      <w:r>
        <w:rPr>
          <w:i/>
          <w:iCs/>
        </w:rPr>
        <w:t xml:space="preserve"> Reductionism in art and brain science: Bridging the two cultures</w:t>
      </w:r>
      <w:r>
        <w:t>. Columbia University Press.</w:t>
      </w:r>
    </w:p>
  </w:footnote>
  <w:footnote w:id="5">
    <w:p>
      <w:pPr>
        <w:pStyle w:val="7"/>
      </w:pPr>
      <w:r>
        <w:rPr>
          <w:rStyle w:val="12"/>
          <w:vertAlign w:val="baseline"/>
        </w:rPr>
        <w:t>[</w:t>
      </w:r>
      <w:r>
        <w:rPr>
          <w:rStyle w:val="12"/>
          <w:vertAlign w:val="baseline"/>
        </w:rPr>
        <w:footnoteRef/>
      </w:r>
      <w:r>
        <w:rPr>
          <w:rStyle w:val="12"/>
          <w:vertAlign w:val="baseline"/>
        </w:rPr>
        <w:t>]</w:t>
      </w:r>
      <w:r>
        <w:t xml:space="preserve"> Elliot, A. J., &amp; Maier, M. A. (2007). </w:t>
      </w:r>
      <w:r>
        <w:rPr>
          <w:i/>
          <w:iCs/>
        </w:rPr>
        <w:t>Color and psychological functioning</w:t>
      </w:r>
      <w:r>
        <w:t xml:space="preserve">. Current Directions in Psychological Science, 16(5), 250-254. </w:t>
      </w:r>
    </w:p>
  </w:footnote>
  <w:footnote w:id="6">
    <w:p>
      <w:pPr>
        <w:pStyle w:val="7"/>
      </w:pPr>
      <w:r>
        <w:rPr>
          <w:rStyle w:val="12"/>
          <w:vertAlign w:val="baseline"/>
        </w:rPr>
        <w:t>[</w:t>
      </w:r>
      <w:r>
        <w:rPr>
          <w:rStyle w:val="12"/>
          <w:vertAlign w:val="baseline"/>
        </w:rPr>
        <w:footnoteRef/>
      </w:r>
      <w:r>
        <w:rPr>
          <w:rStyle w:val="12"/>
          <w:vertAlign w:val="baseline"/>
        </w:rPr>
        <w:t>]</w:t>
      </w:r>
      <w:r>
        <w:t xml:space="preserve"> Mao, Z. (1963). </w:t>
      </w:r>
      <w:r>
        <w:rPr>
          <w:i/>
          <w:iCs/>
        </w:rPr>
        <w:t>Mao Zedong poems</w:t>
      </w:r>
      <w:r>
        <w:t>. Foreign Languages Press. (Original work published 1934-1945)</w:t>
      </w:r>
    </w:p>
  </w:footnote>
  <w:footnote w:id="7">
    <w:p>
      <w:pPr>
        <w:pStyle w:val="7"/>
      </w:pPr>
      <w:r>
        <w:rPr>
          <w:rStyle w:val="12"/>
          <w:vertAlign w:val="baseline"/>
        </w:rPr>
        <w:t>[</w:t>
      </w:r>
      <w:r>
        <w:rPr>
          <w:rStyle w:val="12"/>
          <w:vertAlign w:val="baseline"/>
        </w:rPr>
        <w:footnoteRef/>
      </w:r>
      <w:r>
        <w:rPr>
          <w:rStyle w:val="12"/>
          <w:vertAlign w:val="baseline"/>
        </w:rPr>
        <w:t>]</w:t>
      </w:r>
      <w:r>
        <w:t xml:space="preserve"> Harris, A. (2015). </w:t>
      </w:r>
      <w:r>
        <w:rPr>
          <w:i/>
          <w:iCs/>
        </w:rPr>
        <w:t>Weatherland: Writers and artists under English skies.</w:t>
      </w:r>
      <w:r>
        <w:t xml:space="preserve"> Thames &amp; Hudson.</w:t>
      </w:r>
    </w:p>
  </w:footnote>
  <w:footnote w:id="8">
    <w:p>
      <w:pPr>
        <w:pStyle w:val="7"/>
      </w:pPr>
      <w:r>
        <w:rPr>
          <w:rStyle w:val="12"/>
          <w:vertAlign w:val="baseline"/>
        </w:rPr>
        <w:t>[</w:t>
      </w:r>
      <w:r>
        <w:rPr>
          <w:rStyle w:val="12"/>
          <w:vertAlign w:val="baseline"/>
        </w:rPr>
        <w:footnoteRef/>
      </w:r>
      <w:r>
        <w:rPr>
          <w:rStyle w:val="12"/>
          <w:vertAlign w:val="baseline"/>
        </w:rPr>
        <w:t>]</w:t>
      </w:r>
      <w:r>
        <w:t xml:space="preserve"> Chandler, E. F. (1914).</w:t>
      </w:r>
      <w:r>
        <w:rPr>
          <w:i/>
          <w:iCs/>
        </w:rPr>
        <w:t xml:space="preserve"> Height of clouds at sunset</w:t>
      </w:r>
      <w:r>
        <w:t>. School Science and Mathematics, 14(6), 429-431.</w:t>
      </w:r>
    </w:p>
  </w:footnote>
  <w:footnote w:id="9">
    <w:p>
      <w:pPr>
        <w:pStyle w:val="7"/>
      </w:pPr>
      <w:r>
        <w:rPr>
          <w:rStyle w:val="12"/>
          <w:vertAlign w:val="baseline"/>
        </w:rPr>
        <w:t>[</w:t>
      </w:r>
      <w:r>
        <w:rPr>
          <w:rStyle w:val="12"/>
          <w:vertAlign w:val="baseline"/>
        </w:rPr>
        <w:footnoteRef/>
      </w:r>
      <w:r>
        <w:rPr>
          <w:rStyle w:val="12"/>
          <w:vertAlign w:val="baseline"/>
        </w:rPr>
        <w:t>]</w:t>
      </w:r>
      <w:r>
        <w:t xml:space="preserve"> Ingold, T. (2007). </w:t>
      </w:r>
      <w:r>
        <w:rPr>
          <w:i/>
          <w:iCs/>
        </w:rPr>
        <w:t>Earth, sky, wind, and weather</w:t>
      </w:r>
      <w:r>
        <w:t>. The Journal of the Royal Anthropological Institute, 13(S1), S19-S38.</w:t>
      </w:r>
    </w:p>
  </w:footnote>
  <w:footnote w:id="10">
    <w:p>
      <w:pPr>
        <w:pStyle w:val="7"/>
      </w:pPr>
      <w:r>
        <w:rPr>
          <w:rStyle w:val="12"/>
          <w:vertAlign w:val="baseline"/>
        </w:rPr>
        <w:t>[</w:t>
      </w:r>
      <w:r>
        <w:rPr>
          <w:rStyle w:val="12"/>
          <w:vertAlign w:val="baseline"/>
        </w:rPr>
        <w:footnoteRef/>
      </w:r>
      <w:r>
        <w:rPr>
          <w:rStyle w:val="12"/>
          <w:vertAlign w:val="baseline"/>
        </w:rPr>
        <w:t>]</w:t>
      </w:r>
      <w:r>
        <w:t xml:space="preserve"> Ingold, T. (2007). </w:t>
      </w:r>
      <w:r>
        <w:rPr>
          <w:i/>
          <w:iCs/>
        </w:rPr>
        <w:t>Earth, sky, wind, and weathe</w:t>
      </w:r>
      <w:r>
        <w:t>r. The Journal of the Royal Anthropological Institute, 13(S1), S19-S38.</w:t>
      </w:r>
    </w:p>
  </w:footnote>
  <w:footnote w:id="11">
    <w:p>
      <w:pPr>
        <w:pStyle w:val="7"/>
      </w:pPr>
      <w:r>
        <w:rPr>
          <w:rStyle w:val="12"/>
          <w:vertAlign w:val="baseline"/>
        </w:rPr>
        <w:t>[</w:t>
      </w:r>
      <w:r>
        <w:rPr>
          <w:rStyle w:val="12"/>
          <w:vertAlign w:val="baseline"/>
        </w:rPr>
        <w:footnoteRef/>
      </w:r>
      <w:r>
        <w:rPr>
          <w:rStyle w:val="12"/>
          <w:vertAlign w:val="baseline"/>
        </w:rPr>
        <w:t>]</w:t>
      </w:r>
      <w:r>
        <w:t xml:space="preserve"> Rewald, J. (1996). </w:t>
      </w:r>
      <w:r>
        <w:rPr>
          <w:i/>
          <w:iCs/>
        </w:rPr>
        <w:t>The history of impressionism</w:t>
      </w:r>
      <w:r>
        <w:t>. Harry N. Abrams.</w:t>
      </w:r>
    </w:p>
  </w:footnote>
  <w:footnote w:id="12">
    <w:p>
      <w:pPr>
        <w:pStyle w:val="7"/>
      </w:pPr>
      <w:r>
        <w:rPr>
          <w:rStyle w:val="12"/>
          <w:vertAlign w:val="baseline"/>
        </w:rPr>
        <w:t>[</w:t>
      </w:r>
      <w:r>
        <w:rPr>
          <w:rStyle w:val="12"/>
          <w:vertAlign w:val="baseline"/>
        </w:rPr>
        <w:footnoteRef/>
      </w:r>
      <w:r>
        <w:rPr>
          <w:rStyle w:val="12"/>
          <w:vertAlign w:val="baseline"/>
        </w:rPr>
        <w:t>]</w:t>
      </w:r>
      <w:r>
        <w:t xml:space="preserve"> Kandel, E. R. (2016). </w:t>
      </w:r>
      <w:r>
        <w:rPr>
          <w:i/>
          <w:iCs/>
        </w:rPr>
        <w:t>Reductionism in art and brain science: Bridging the two cultures</w:t>
      </w:r>
      <w:r>
        <w:t>. Columbia University Press.</w:t>
      </w:r>
    </w:p>
  </w:footnote>
  <w:footnote w:id="13">
    <w:p>
      <w:pPr>
        <w:pStyle w:val="7"/>
      </w:pPr>
      <w:r>
        <w:rPr>
          <w:rStyle w:val="12"/>
          <w:vertAlign w:val="baseline"/>
        </w:rPr>
        <w:t>[</w:t>
      </w:r>
      <w:r>
        <w:rPr>
          <w:rStyle w:val="12"/>
          <w:vertAlign w:val="baseline"/>
        </w:rPr>
        <w:footnoteRef/>
      </w:r>
      <w:r>
        <w:rPr>
          <w:rStyle w:val="12"/>
          <w:vertAlign w:val="baseline"/>
        </w:rPr>
        <w:t>]</w:t>
      </w:r>
      <w:r>
        <w:t xml:space="preserve"> Chandler, E. F. (1914). </w:t>
      </w:r>
      <w:r>
        <w:rPr>
          <w:i/>
          <w:iCs/>
        </w:rPr>
        <w:t>Height of clouds at sunset</w:t>
      </w:r>
      <w:r>
        <w:t>. School Science and Mathematics, 14(6), 429-431.</w:t>
      </w:r>
    </w:p>
  </w:footnote>
  <w:footnote w:id="14">
    <w:p>
      <w:pPr>
        <w:pStyle w:val="7"/>
      </w:pPr>
      <w:r>
        <w:rPr>
          <w:rStyle w:val="12"/>
          <w:vertAlign w:val="baseline"/>
        </w:rPr>
        <w:t>[</w:t>
      </w:r>
      <w:r>
        <w:rPr>
          <w:rStyle w:val="12"/>
          <w:vertAlign w:val="baseline"/>
        </w:rPr>
        <w:footnoteRef/>
      </w:r>
      <w:r>
        <w:rPr>
          <w:rStyle w:val="12"/>
          <w:vertAlign w:val="baseline"/>
        </w:rPr>
        <w:t>]</w:t>
      </w:r>
      <w:r>
        <w:t xml:space="preserve"> Edensor, T. (2017). </w:t>
      </w:r>
      <w:r>
        <w:rPr>
          <w:i/>
          <w:iCs/>
        </w:rPr>
        <w:t>From light to dark: Daylight, illumination, and gloom</w:t>
      </w:r>
      <w:r>
        <w:t xml:space="preserve">. University of Minnesota Press. </w:t>
      </w:r>
    </w:p>
  </w:footnote>
  <w:footnote w:id="15">
    <w:p>
      <w:pPr>
        <w:pStyle w:val="7"/>
        <w:snapToGrid w:val="0"/>
      </w:pPr>
      <w:r>
        <w:rPr>
          <w:rStyle w:val="12"/>
          <w:vertAlign w:val="baseline"/>
        </w:rPr>
        <w:t>[</w:t>
      </w:r>
      <w:r>
        <w:rPr>
          <w:rStyle w:val="12"/>
          <w:vertAlign w:val="baseline"/>
        </w:rPr>
        <w:footnoteRef/>
      </w:r>
      <w:r>
        <w:rPr>
          <w:rStyle w:val="12"/>
          <w:vertAlign w:val="baseline"/>
        </w:rPr>
        <w:t>]</w:t>
      </w:r>
      <w:r>
        <w:t xml:space="preserve"> </w:t>
      </w:r>
      <w:r>
        <w:rPr>
          <w:rFonts w:hint="eastAsia"/>
        </w:rPr>
        <w:t xml:space="preserve">Edensor, T. (2017). </w:t>
      </w:r>
      <w:r>
        <w:rPr>
          <w:rFonts w:hint="eastAsia"/>
          <w:i/>
          <w:iCs/>
        </w:rPr>
        <w:t>From light to dark: Daylight, illumination, and gloom</w:t>
      </w:r>
      <w:r>
        <w:rPr>
          <w:rFonts w:hint="eastAsia"/>
        </w:rPr>
        <w:t>. University of Minnesota Press.</w:t>
      </w:r>
    </w:p>
  </w:footnote>
  <w:footnote w:id="16">
    <w:p>
      <w:pPr>
        <w:pStyle w:val="7"/>
      </w:pPr>
      <w:r>
        <w:rPr>
          <w:rStyle w:val="12"/>
          <w:vertAlign w:val="baseline"/>
        </w:rPr>
        <w:t>[</w:t>
      </w:r>
      <w:r>
        <w:rPr>
          <w:rStyle w:val="12"/>
          <w:vertAlign w:val="baseline"/>
        </w:rPr>
        <w:footnoteRef/>
      </w:r>
      <w:r>
        <w:rPr>
          <w:rStyle w:val="12"/>
          <w:vertAlign w:val="baseline"/>
        </w:rPr>
        <w:t>]</w:t>
      </w:r>
      <w:r>
        <w:t xml:space="preserve"> Bolshakova, V. R. (2020). </w:t>
      </w:r>
      <w:r>
        <w:rPr>
          <w:i/>
          <w:iCs/>
        </w:rPr>
        <w:t>Lexical-semantic groups “Mountain” and “Sky” in Chinese poetry and their English and Russian translations (based on Mao Zedong’s poetry)</w:t>
      </w:r>
      <w:r>
        <w:t>. Modern Studies of Social Issues, 12(4), 14-26.</w:t>
      </w:r>
    </w:p>
  </w:footnote>
  <w:footnote w:id="17">
    <w:p>
      <w:pPr>
        <w:pStyle w:val="7"/>
      </w:pPr>
      <w:r>
        <w:rPr>
          <w:rStyle w:val="12"/>
          <w:vertAlign w:val="baseline"/>
        </w:rPr>
        <w:t>[</w:t>
      </w:r>
      <w:r>
        <w:rPr>
          <w:rStyle w:val="12"/>
          <w:vertAlign w:val="baseline"/>
        </w:rPr>
        <w:footnoteRef/>
      </w:r>
      <w:r>
        <w:rPr>
          <w:rStyle w:val="12"/>
          <w:vertAlign w:val="baseline"/>
        </w:rPr>
        <w:t>]</w:t>
      </w:r>
      <w:r>
        <w:t xml:space="preserve"> Harris, A. (2015). </w:t>
      </w:r>
      <w:r>
        <w:rPr>
          <w:i/>
          <w:iCs/>
        </w:rPr>
        <w:t>Weatherland: Writers and artists under English skies</w:t>
      </w:r>
      <w:r>
        <w:t>. Thames &amp; Hudson. https://thamesandhudson.com/weatherland-9780500518113</w:t>
      </w:r>
    </w:p>
  </w:footnote>
  <w:footnote w:id="18">
    <w:p>
      <w:pPr>
        <w:pStyle w:val="7"/>
      </w:pPr>
      <w:r>
        <w:rPr>
          <w:rStyle w:val="12"/>
          <w:vertAlign w:val="baseline"/>
        </w:rPr>
        <w:t>[</w:t>
      </w:r>
      <w:r>
        <w:rPr>
          <w:rStyle w:val="12"/>
          <w:vertAlign w:val="baseline"/>
        </w:rPr>
        <w:footnoteRef/>
      </w:r>
      <w:r>
        <w:rPr>
          <w:rStyle w:val="12"/>
          <w:vertAlign w:val="baseline"/>
        </w:rPr>
        <w:t>]</w:t>
      </w:r>
      <w:r>
        <w:t xml:space="preserve"> Edensor, T. (2017). </w:t>
      </w:r>
      <w:r>
        <w:rPr>
          <w:i/>
          <w:iCs/>
        </w:rPr>
        <w:t>From light to dark: Daylight, illumination, and gloom</w:t>
      </w:r>
      <w:r>
        <w:t>. University of Minnesota Press. http://www.jstor.org/stable/10.5749/j.ctt1mmfsqb</w:t>
      </w:r>
    </w:p>
  </w:footnote>
  <w:footnote w:id="19">
    <w:p>
      <w:pPr>
        <w:pStyle w:val="7"/>
      </w:pPr>
      <w:r>
        <w:rPr>
          <w:rStyle w:val="12"/>
          <w:vertAlign w:val="baseline"/>
        </w:rPr>
        <w:t>[</w:t>
      </w:r>
      <w:r>
        <w:rPr>
          <w:rStyle w:val="12"/>
          <w:vertAlign w:val="baseline"/>
        </w:rPr>
        <w:footnoteRef/>
      </w:r>
      <w:r>
        <w:rPr>
          <w:rStyle w:val="12"/>
          <w:vertAlign w:val="baseline"/>
        </w:rPr>
        <w:t>]</w:t>
      </w:r>
      <w:r>
        <w:t xml:space="preserve"> Rewald, J. (1996). </w:t>
      </w:r>
      <w:r>
        <w:rPr>
          <w:i/>
          <w:iCs/>
        </w:rPr>
        <w:t>The history of impressionism</w:t>
      </w:r>
      <w:r>
        <w:t>. Harry N. Abrams.</w:t>
      </w:r>
    </w:p>
  </w:footnote>
  <w:footnote w:id="20">
    <w:p>
      <w:pPr>
        <w:pStyle w:val="7"/>
      </w:pPr>
      <w:r>
        <w:rPr>
          <w:rStyle w:val="12"/>
          <w:vertAlign w:val="baseline"/>
        </w:rPr>
        <w:t>[</w:t>
      </w:r>
      <w:r>
        <w:rPr>
          <w:rStyle w:val="12"/>
          <w:vertAlign w:val="baseline"/>
        </w:rPr>
        <w:footnoteRef/>
      </w:r>
      <w:r>
        <w:rPr>
          <w:rStyle w:val="12"/>
          <w:vertAlign w:val="baseline"/>
        </w:rPr>
        <w:t>]</w:t>
      </w:r>
      <w:r>
        <w:t xml:space="preserve"> Van Gogh, V., &amp; de Leeuw, R. (1997). </w:t>
      </w:r>
      <w:r>
        <w:rPr>
          <w:i/>
          <w:iCs/>
        </w:rPr>
        <w:t>The letters of Vincent Van Gogh</w:t>
      </w:r>
      <w:r>
        <w:t>. Penguin Books.</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w:t>
                    </w:r>
                    <w:r>
                      <w:fldChar w:fldCharType="end"/>
                    </w:r>
                  </w:p>
                </w:txbxContent>
              </v:textbox>
            </v:shape>
          </w:pict>
        </mc:Fallback>
      </mc:AlternateContent>
    </w:r>
    <w:r>
      <w:rPr>
        <w:rFonts w:hint="eastAsia"/>
        <w:sz w:val="18"/>
        <w:lang w:val="en-US" w:eastAsia="zh-CN"/>
      </w:rPr>
      <w:t>Xiaoyan Zhang       2518635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42"/>
    <w:footnote w:id="43"/>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6FD93E"/>
    <w:rsid w:val="1F6E36F1"/>
    <w:rsid w:val="3FFBCA43"/>
    <w:rsid w:val="5A7FCE46"/>
    <w:rsid w:val="5CC55F00"/>
    <w:rsid w:val="5D3F9CB1"/>
    <w:rsid w:val="665EDF2D"/>
    <w:rsid w:val="71B7F31B"/>
    <w:rsid w:val="7B6FD93E"/>
    <w:rsid w:val="7FF16733"/>
    <w:rsid w:val="7FF53C43"/>
    <w:rsid w:val="7FFFEA87"/>
    <w:rsid w:val="9B635CE8"/>
    <w:rsid w:val="D7ACC461"/>
    <w:rsid w:val="DFFFF191"/>
    <w:rsid w:val="F4E7464E"/>
    <w:rsid w:val="F5F9B1E7"/>
    <w:rsid w:val="FB7EBA0E"/>
    <w:rsid w:val="FEFD2F56"/>
    <w:rsid w:val="FFEFD4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ind w:left="0" w:leftChars="0" w:firstLine="480" w:firstLineChars="200"/>
      <w:jc w:val="both"/>
    </w:pPr>
    <w:rPr>
      <w:rFonts w:ascii="Times New Roman" w:hAnsi="Times New Roman" w:eastAsia="宋体" w:cstheme="minorBidi"/>
      <w:kern w:val="2"/>
      <w:sz w:val="24"/>
      <w:szCs w:val="24"/>
      <w:lang w:val="en-US" w:eastAsia="zh-CN" w:bidi="ar-SA"/>
    </w:rPr>
  </w:style>
  <w:style w:type="paragraph" w:styleId="2">
    <w:name w:val="heading 1"/>
    <w:next w:val="1"/>
    <w:qFormat/>
    <w:uiPriority w:val="0"/>
    <w:pPr>
      <w:keepNext w:val="0"/>
      <w:keepLines w:val="0"/>
      <w:widowControl w:val="0"/>
      <w:adjustRightInd w:val="0"/>
      <w:spacing w:line="360" w:lineRule="auto"/>
      <w:jc w:val="left"/>
      <w:outlineLvl w:val="0"/>
    </w:pPr>
    <w:rPr>
      <w:rFonts w:ascii="Times New Roman" w:hAnsi="Times New Roman" w:eastAsia="黑体" w:cs="Times New Roman"/>
      <w:kern w:val="44"/>
      <w:sz w:val="32"/>
      <w:szCs w:val="32"/>
      <w:lang w:bidi="ar-SA"/>
    </w:rPr>
  </w:style>
  <w:style w:type="paragraph" w:styleId="3">
    <w:name w:val="heading 3"/>
    <w:basedOn w:val="1"/>
    <w:semiHidden/>
    <w:unhideWhenUsed/>
    <w:qFormat/>
    <w:uiPriority w:val="0"/>
    <w:pPr>
      <w:keepNext/>
      <w:keepLines/>
      <w:spacing w:before="260" w:after="260" w:line="413" w:lineRule="auto"/>
      <w:outlineLvl w:val="2"/>
    </w:pPr>
    <w:rPr>
      <w:rFonts w:ascii="Arial" w:hAnsi="Arial" w:eastAsia="Arial" w:cs="Arial"/>
      <w:b/>
      <w:snapToGrid w:val="0"/>
      <w:color w:val="000000"/>
      <w:sz w:val="32"/>
      <w:szCs w:val="21"/>
      <w:lang w:eastAsia="en-US"/>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Body Text"/>
    <w:qFormat/>
    <w:uiPriority w:val="0"/>
    <w:pPr>
      <w:adjustRightInd w:val="0"/>
      <w:spacing w:line="360" w:lineRule="auto"/>
      <w:ind w:firstLine="480" w:firstLineChars="200"/>
      <w:jc w:val="both"/>
      <w:outlineLvl w:val="9"/>
    </w:pPr>
    <w:rPr>
      <w:rFonts w:ascii="Times New Roman" w:hAnsi="Times New Roman" w:eastAsia="宋体" w:cs="Times New Roman"/>
      <w:kern w:val="0"/>
      <w:sz w:val="24"/>
      <w:szCs w:val="24"/>
    </w:r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footnote text"/>
    <w:qFormat/>
    <w:uiPriority w:val="0"/>
    <w:pPr>
      <w:widowControl w:val="0"/>
      <w:adjustRightInd w:val="0"/>
      <w:spacing w:line="360" w:lineRule="auto"/>
      <w:ind w:firstLine="640" w:firstLineChars="200"/>
      <w:jc w:val="left"/>
    </w:pPr>
    <w:rPr>
      <w:rFonts w:ascii="Times New Roman" w:hAnsi="Times New Roman" w:eastAsia="宋体" w:cs="Times New Roman"/>
      <w:kern w:val="2"/>
      <w:sz w:val="18"/>
      <w:szCs w:val="24"/>
      <w:lang w:bidi="ar-SA"/>
    </w:r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paragraph" w:styleId="9">
    <w:name w:val="Title"/>
    <w:qFormat/>
    <w:uiPriority w:val="0"/>
    <w:pPr>
      <w:adjustRightInd w:val="0"/>
      <w:spacing w:line="360" w:lineRule="auto"/>
      <w:ind w:firstLine="0"/>
      <w:jc w:val="center"/>
      <w:outlineLvl w:val="0"/>
    </w:pPr>
    <w:rPr>
      <w:rFonts w:ascii="Times New Roman" w:hAnsi="Times New Roman" w:eastAsia="黑体" w:cs="Times New Roman"/>
      <w:b/>
      <w:bCs/>
      <w:kern w:val="0"/>
      <w:sz w:val="44"/>
      <w:szCs w:val="44"/>
      <w:lang w:bidi="ar-SA"/>
    </w:rPr>
  </w:style>
  <w:style w:type="character" w:styleId="12">
    <w:name w:val="footnote reference"/>
    <w:basedOn w:val="11"/>
    <w:qFormat/>
    <w:uiPriority w:val="0"/>
    <w:rPr>
      <w:vertAlign w:val="superscript"/>
    </w:rPr>
  </w:style>
  <w:style w:type="paragraph" w:customStyle="1" w:styleId="13">
    <w:name w:val="参考文献标题"/>
    <w:next w:val="1"/>
    <w:qFormat/>
    <w:uiPriority w:val="0"/>
    <w:pPr>
      <w:adjustRightInd w:val="0"/>
      <w:spacing w:line="360" w:lineRule="auto"/>
      <w:ind w:firstLine="0"/>
      <w:jc w:val="center"/>
      <w:outlineLvl w:val="0"/>
    </w:pPr>
    <w:rPr>
      <w:rFonts w:ascii="Times New Roman" w:hAnsi="Times New Roman" w:eastAsia="宋体" w:cs="Times New Roman"/>
      <w:b/>
      <w:bCs/>
      <w:kern w:val="0"/>
      <w:sz w:val="44"/>
      <w:szCs w:val="44"/>
      <w:lang w:bidi="ar-SA"/>
    </w:rPr>
  </w:style>
  <w:style w:type="paragraph" w:customStyle="1" w:styleId="14">
    <w:name w:val="参考文献条目"/>
    <w:next w:val="1"/>
    <w:qFormat/>
    <w:uiPriority w:val="0"/>
    <w:pPr>
      <w:adjustRightInd w:val="0"/>
      <w:spacing w:line="360" w:lineRule="auto"/>
      <w:ind w:left="480" w:leftChars="0" w:hanging="480" w:hangingChars="200"/>
      <w:jc w:val="left"/>
      <w:outlineLvl w:val="9"/>
    </w:pPr>
    <w:rPr>
      <w:rFonts w:ascii="Times New Roman" w:hAnsi="Times New Roman" w:eastAsia="宋体" w:cs="Times New Roman"/>
      <w:kern w:val="0"/>
      <w:sz w:val="24"/>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2.wmf"/><Relationship Id="rId8" Type="http://schemas.openxmlformats.org/officeDocument/2006/relationships/oleObject" Target="embeddings/oleObject1.bin"/><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3" Type="http://schemas.openxmlformats.org/officeDocument/2006/relationships/fontTable" Target="fontTable.xml"/><Relationship Id="rId32" Type="http://schemas.openxmlformats.org/officeDocument/2006/relationships/customXml" Target="../customXml/item1.xml"/><Relationship Id="rId31" Type="http://schemas.openxmlformats.org/officeDocument/2006/relationships/image" Target="media/image13.wmf"/><Relationship Id="rId30" Type="http://schemas.openxmlformats.org/officeDocument/2006/relationships/oleObject" Target="embeddings/oleObject12.bin"/><Relationship Id="rId3" Type="http://schemas.openxmlformats.org/officeDocument/2006/relationships/footnotes" Target="footnotes.xml"/><Relationship Id="rId29" Type="http://schemas.openxmlformats.org/officeDocument/2006/relationships/image" Target="media/image12.wmf"/><Relationship Id="rId28" Type="http://schemas.openxmlformats.org/officeDocument/2006/relationships/oleObject" Target="embeddings/oleObject11.bin"/><Relationship Id="rId27" Type="http://schemas.openxmlformats.org/officeDocument/2006/relationships/image" Target="media/image11.wmf"/><Relationship Id="rId26" Type="http://schemas.openxmlformats.org/officeDocument/2006/relationships/oleObject" Target="embeddings/oleObject10.bin"/><Relationship Id="rId25" Type="http://schemas.openxmlformats.org/officeDocument/2006/relationships/image" Target="media/image10.wmf"/><Relationship Id="rId24" Type="http://schemas.openxmlformats.org/officeDocument/2006/relationships/oleObject" Target="embeddings/oleObject9.bin"/><Relationship Id="rId23" Type="http://schemas.openxmlformats.org/officeDocument/2006/relationships/image" Target="media/image9.wmf"/><Relationship Id="rId22" Type="http://schemas.openxmlformats.org/officeDocument/2006/relationships/oleObject" Target="embeddings/oleObject8.bin"/><Relationship Id="rId21" Type="http://schemas.openxmlformats.org/officeDocument/2006/relationships/image" Target="media/image8.wmf"/><Relationship Id="rId20" Type="http://schemas.openxmlformats.org/officeDocument/2006/relationships/oleObject" Target="embeddings/oleObject7.bin"/><Relationship Id="rId2" Type="http://schemas.openxmlformats.org/officeDocument/2006/relationships/settings" Target="settings.xml"/><Relationship Id="rId19" Type="http://schemas.openxmlformats.org/officeDocument/2006/relationships/image" Target="media/image7.wmf"/><Relationship Id="rId18" Type="http://schemas.openxmlformats.org/officeDocument/2006/relationships/oleObject" Target="embeddings/oleObject6.bin"/><Relationship Id="rId17" Type="http://schemas.openxmlformats.org/officeDocument/2006/relationships/image" Target="media/image6.wmf"/><Relationship Id="rId16" Type="http://schemas.openxmlformats.org/officeDocument/2006/relationships/oleObject" Target="embeddings/oleObject5.bin"/><Relationship Id="rId15" Type="http://schemas.openxmlformats.org/officeDocument/2006/relationships/image" Target="media/image5.wmf"/><Relationship Id="rId14" Type="http://schemas.openxmlformats.org/officeDocument/2006/relationships/oleObject" Target="embeddings/oleObject4.bin"/><Relationship Id="rId13" Type="http://schemas.openxmlformats.org/officeDocument/2006/relationships/image" Target="media/image4.wmf"/><Relationship Id="rId12" Type="http://schemas.openxmlformats.org/officeDocument/2006/relationships/oleObject" Target="embeddings/oleObject3.bin"/><Relationship Id="rId11" Type="http://schemas.openxmlformats.org/officeDocument/2006/relationships/image" Target="media/image3.wmf"/><Relationship Id="rId10" Type="http://schemas.openxmlformats.org/officeDocument/2006/relationships/oleObject" Target="embeddings/oleObject2.bin"/><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2025-11-09T21:08:00Z</dcterms:created>
  <dc:creator>Xenia-phosphene</dc:creator>
  <cp:lastModifiedBy>Xenia-phosphene</cp:lastModifiedBy>
  <dcterms:modified xsi:type="dcterms:W3CDTF">2025-11-19T20:16:24Z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925244028ED41A1A3B681069BF52B6CC_41</vt:lpwstr>
  </property>
</Properties>
</file>