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E496A59" w14:textId="662031C6" w:rsidR="002470C7" w:rsidRPr="00B77102" w:rsidRDefault="002470C7" w:rsidP="002470C7">
      <w:pPr>
        <w:spacing w:line="360" w:lineRule="auto"/>
        <w:rPr>
          <w:rFonts w:ascii="Georgia" w:hAnsi="Georgia" w:cs="Arial"/>
          <w:b/>
          <w:sz w:val="24"/>
          <w:szCs w:val="24"/>
        </w:rPr>
      </w:pPr>
      <w:bookmarkStart w:id="0" w:name="_GoBack"/>
      <w:r w:rsidRPr="00B77102">
        <w:rPr>
          <w:rFonts w:ascii="Georgia" w:hAnsi="Georgia" w:cs="Arial"/>
          <w:b/>
          <w:sz w:val="24"/>
          <w:szCs w:val="24"/>
        </w:rPr>
        <w:t>HPHI4005 Age of Revolution - Gobbets preparation exercise</w:t>
      </w:r>
    </w:p>
    <w:p w14:paraId="60AED1C8" w14:textId="7E89DD9E" w:rsidR="002470C7" w:rsidRPr="00B77102" w:rsidRDefault="002470C7" w:rsidP="002470C7">
      <w:pPr>
        <w:spacing w:line="360" w:lineRule="auto"/>
        <w:jc w:val="both"/>
        <w:rPr>
          <w:rFonts w:ascii="Georgia" w:hAnsi="Georgia" w:cs="Arial"/>
          <w:b/>
          <w:i/>
          <w:sz w:val="24"/>
          <w:szCs w:val="24"/>
        </w:rPr>
      </w:pPr>
      <w:r w:rsidRPr="00B77102">
        <w:rPr>
          <w:rFonts w:ascii="Georgia" w:hAnsi="Georgia" w:cs="Arial"/>
          <w:b/>
          <w:i/>
          <w:sz w:val="24"/>
          <w:szCs w:val="24"/>
        </w:rPr>
        <w:t>Read the below examples of students’ gobbets on sources from the HPHI4005 primary sourcebook. Evaluate their strengths and weaknesses and try to assign a grade according the assessment criteria provided. Also, consider the three key features of gobbets: content, context and significance.</w:t>
      </w:r>
    </w:p>
    <w:p w14:paraId="3DAB59D6" w14:textId="77777777" w:rsidR="002470C7" w:rsidRPr="00B77102" w:rsidRDefault="002470C7" w:rsidP="002470C7">
      <w:pPr>
        <w:spacing w:line="360" w:lineRule="auto"/>
        <w:rPr>
          <w:rFonts w:ascii="Arial" w:hAnsi="Arial" w:cs="Arial"/>
          <w:sz w:val="24"/>
          <w:szCs w:val="24"/>
        </w:rPr>
      </w:pPr>
    </w:p>
    <w:p w14:paraId="21C073FD" w14:textId="277CEE4E" w:rsidR="002470C7" w:rsidRPr="00B77102" w:rsidRDefault="002470C7" w:rsidP="002470C7">
      <w:pPr>
        <w:spacing w:line="360" w:lineRule="auto"/>
        <w:jc w:val="center"/>
        <w:rPr>
          <w:rFonts w:ascii="Arial" w:hAnsi="Arial" w:cs="Arial"/>
          <w:sz w:val="24"/>
          <w:szCs w:val="24"/>
        </w:rPr>
      </w:pPr>
      <w:r w:rsidRPr="00B77102">
        <w:rPr>
          <w:rFonts w:ascii="Arial" w:hAnsi="Arial" w:cs="Arial"/>
          <w:sz w:val="24"/>
          <w:szCs w:val="24"/>
        </w:rPr>
        <w:t xml:space="preserve">Gobbet on </w:t>
      </w:r>
      <w:r w:rsidRPr="00B77102">
        <w:rPr>
          <w:rFonts w:ascii="Arial" w:hAnsi="Arial" w:cs="Arial"/>
          <w:i/>
          <w:sz w:val="24"/>
          <w:szCs w:val="24"/>
        </w:rPr>
        <w:t>The Court of Louis XIV</w:t>
      </w:r>
      <w:r w:rsidRPr="00B77102">
        <w:rPr>
          <w:rFonts w:ascii="Arial" w:hAnsi="Arial" w:cs="Arial"/>
          <w:sz w:val="24"/>
          <w:szCs w:val="24"/>
        </w:rPr>
        <w:t xml:space="preserve"> by </w:t>
      </w:r>
      <w:proofErr w:type="spellStart"/>
      <w:r w:rsidRPr="00B77102">
        <w:rPr>
          <w:rFonts w:ascii="Arial" w:hAnsi="Arial" w:cs="Arial"/>
          <w:sz w:val="24"/>
          <w:szCs w:val="24"/>
        </w:rPr>
        <w:t>Duc</w:t>
      </w:r>
      <w:proofErr w:type="spellEnd"/>
      <w:r w:rsidRPr="00B77102">
        <w:rPr>
          <w:rFonts w:ascii="Arial" w:hAnsi="Arial" w:cs="Arial"/>
          <w:sz w:val="24"/>
          <w:szCs w:val="24"/>
        </w:rPr>
        <w:t xml:space="preserve"> de Saint-Simon</w:t>
      </w:r>
    </w:p>
    <w:p w14:paraId="6F2E6F2C" w14:textId="77777777" w:rsidR="002470C7" w:rsidRPr="00B77102" w:rsidRDefault="002470C7" w:rsidP="002470C7">
      <w:pPr>
        <w:spacing w:line="360" w:lineRule="auto"/>
        <w:jc w:val="both"/>
        <w:rPr>
          <w:rFonts w:ascii="Arial" w:hAnsi="Arial" w:cs="Arial"/>
          <w:sz w:val="24"/>
          <w:szCs w:val="24"/>
        </w:rPr>
      </w:pPr>
      <w:r w:rsidRPr="00B77102">
        <w:rPr>
          <w:rFonts w:ascii="Arial" w:hAnsi="Arial" w:cs="Arial"/>
          <w:sz w:val="24"/>
          <w:szCs w:val="24"/>
        </w:rPr>
        <w:t>Louis XIV, King of France from 1614-1753,</w:t>
      </w:r>
      <w:r w:rsidRPr="00B77102">
        <w:rPr>
          <w:rStyle w:val="FootnoteReference"/>
          <w:rFonts w:ascii="Arial" w:hAnsi="Arial" w:cs="Arial"/>
          <w:sz w:val="24"/>
          <w:szCs w:val="24"/>
        </w:rPr>
        <w:footnoteReference w:id="1"/>
      </w:r>
      <w:r w:rsidRPr="00B77102">
        <w:rPr>
          <w:rFonts w:ascii="Arial" w:hAnsi="Arial" w:cs="Arial"/>
          <w:sz w:val="24"/>
          <w:szCs w:val="24"/>
        </w:rPr>
        <w:t xml:space="preserve"> ruled with the reputation of a glorious ‘Sun King’ who possessed absolute power; however, in </w:t>
      </w:r>
      <w:r w:rsidRPr="00B77102">
        <w:rPr>
          <w:rFonts w:ascii="Arial" w:hAnsi="Arial" w:cs="Arial"/>
          <w:i/>
          <w:sz w:val="24"/>
          <w:szCs w:val="24"/>
        </w:rPr>
        <w:t>The Court</w:t>
      </w:r>
      <w:r w:rsidRPr="00B77102">
        <w:rPr>
          <w:rFonts w:ascii="Arial" w:hAnsi="Arial" w:cs="Arial"/>
          <w:sz w:val="24"/>
          <w:szCs w:val="24"/>
        </w:rPr>
        <w:t xml:space="preserve"> and </w:t>
      </w:r>
      <w:r w:rsidRPr="00B77102">
        <w:rPr>
          <w:rFonts w:ascii="Arial" w:hAnsi="Arial" w:cs="Arial"/>
          <w:i/>
          <w:sz w:val="24"/>
          <w:szCs w:val="24"/>
        </w:rPr>
        <w:t>Life at Versailles</w:t>
      </w:r>
      <w:r w:rsidRPr="00B77102">
        <w:rPr>
          <w:rFonts w:ascii="Arial" w:hAnsi="Arial" w:cs="Arial"/>
          <w:sz w:val="24"/>
          <w:szCs w:val="24"/>
        </w:rPr>
        <w:t xml:space="preserve"> of </w:t>
      </w:r>
      <w:proofErr w:type="spellStart"/>
      <w:r w:rsidRPr="00B77102">
        <w:rPr>
          <w:rFonts w:ascii="Arial" w:hAnsi="Arial" w:cs="Arial"/>
          <w:sz w:val="24"/>
          <w:szCs w:val="24"/>
        </w:rPr>
        <w:t>Duc</w:t>
      </w:r>
      <w:proofErr w:type="spellEnd"/>
      <w:r w:rsidRPr="00B77102">
        <w:rPr>
          <w:rFonts w:ascii="Arial" w:hAnsi="Arial" w:cs="Arial"/>
          <w:sz w:val="24"/>
          <w:szCs w:val="24"/>
        </w:rPr>
        <w:t xml:space="preserve"> de Saint-Simon’s </w:t>
      </w:r>
      <w:r w:rsidRPr="00B77102">
        <w:rPr>
          <w:rFonts w:ascii="Arial" w:hAnsi="Arial" w:cs="Arial"/>
          <w:i/>
          <w:sz w:val="24"/>
          <w:szCs w:val="24"/>
        </w:rPr>
        <w:t>The Court of Louis XIV</w:t>
      </w:r>
      <w:r w:rsidRPr="00B77102">
        <w:rPr>
          <w:rFonts w:ascii="Arial" w:hAnsi="Arial" w:cs="Arial"/>
          <w:sz w:val="24"/>
          <w:szCs w:val="24"/>
        </w:rPr>
        <w:t xml:space="preserve"> he suggests that Louis was a vainglorious monarch, governed by his narcissism and ministers. This revisionist account of the </w:t>
      </w:r>
      <w:proofErr w:type="spellStart"/>
      <w:r w:rsidRPr="00B77102">
        <w:rPr>
          <w:rFonts w:ascii="Arial" w:hAnsi="Arial" w:cs="Arial"/>
          <w:i/>
          <w:sz w:val="24"/>
          <w:szCs w:val="24"/>
        </w:rPr>
        <w:t>Ancien</w:t>
      </w:r>
      <w:proofErr w:type="spellEnd"/>
      <w:r w:rsidRPr="00B77102">
        <w:rPr>
          <w:rFonts w:ascii="Arial" w:hAnsi="Arial" w:cs="Arial"/>
          <w:i/>
          <w:sz w:val="24"/>
          <w:szCs w:val="24"/>
        </w:rPr>
        <w:t xml:space="preserve"> </w:t>
      </w:r>
      <w:proofErr w:type="spellStart"/>
      <w:r w:rsidRPr="00B77102">
        <w:rPr>
          <w:rFonts w:ascii="Arial" w:hAnsi="Arial" w:cs="Arial"/>
          <w:i/>
          <w:sz w:val="24"/>
          <w:szCs w:val="24"/>
        </w:rPr>
        <w:t>Régime</w:t>
      </w:r>
      <w:proofErr w:type="spellEnd"/>
      <w:r w:rsidRPr="00B77102">
        <w:rPr>
          <w:rFonts w:ascii="Arial" w:hAnsi="Arial" w:cs="Arial"/>
          <w:sz w:val="24"/>
          <w:szCs w:val="24"/>
        </w:rPr>
        <w:t xml:space="preserve"> differs greatly to that of Madame de Sevigne’s contemporary description of Louis XIV which portrays him as “all enchanting”</w:t>
      </w:r>
      <w:r w:rsidRPr="00B77102">
        <w:rPr>
          <w:rStyle w:val="FootnoteReference"/>
          <w:rFonts w:ascii="Arial" w:hAnsi="Arial" w:cs="Arial"/>
          <w:sz w:val="24"/>
          <w:szCs w:val="24"/>
        </w:rPr>
        <w:footnoteReference w:id="2"/>
      </w:r>
      <w:r w:rsidRPr="00B77102">
        <w:rPr>
          <w:rFonts w:ascii="Arial" w:hAnsi="Arial" w:cs="Arial"/>
          <w:sz w:val="24"/>
          <w:szCs w:val="24"/>
        </w:rPr>
        <w:t xml:space="preserve">. However, it is Saint-Simon’s undercutting of Louis’ façade, despite owing his status to the King (having resided at Versailles, in the court, for many years) that adds greater validity to his account. Therefore, </w:t>
      </w:r>
      <w:proofErr w:type="spellStart"/>
      <w:r w:rsidRPr="00B77102">
        <w:rPr>
          <w:rFonts w:ascii="Arial" w:hAnsi="Arial" w:cs="Arial"/>
          <w:sz w:val="24"/>
          <w:szCs w:val="24"/>
        </w:rPr>
        <w:t>Petheram’s</w:t>
      </w:r>
      <w:proofErr w:type="spellEnd"/>
      <w:r w:rsidRPr="00B77102">
        <w:rPr>
          <w:rFonts w:ascii="Arial" w:hAnsi="Arial" w:cs="Arial"/>
          <w:sz w:val="24"/>
          <w:szCs w:val="24"/>
        </w:rPr>
        <w:t xml:space="preserve"> view that Saint-Simon’s texts have ‘come to be recognised as the greatest memoirs in the French language’</w:t>
      </w:r>
      <w:r w:rsidRPr="00B77102">
        <w:rPr>
          <w:rStyle w:val="FootnoteReference"/>
          <w:rFonts w:ascii="Arial" w:hAnsi="Arial" w:cs="Arial"/>
          <w:sz w:val="24"/>
          <w:szCs w:val="24"/>
        </w:rPr>
        <w:footnoteReference w:id="3"/>
      </w:r>
      <w:r w:rsidRPr="00B77102">
        <w:rPr>
          <w:rFonts w:ascii="Arial" w:hAnsi="Arial" w:cs="Arial"/>
          <w:sz w:val="24"/>
          <w:szCs w:val="24"/>
        </w:rPr>
        <w:t xml:space="preserve"> only further emphasises the gravity of Saint-Simon’s truth.</w:t>
      </w:r>
    </w:p>
    <w:p w14:paraId="636BE903" w14:textId="77777777" w:rsidR="002470C7" w:rsidRPr="00B77102" w:rsidRDefault="002470C7" w:rsidP="002470C7">
      <w:pPr>
        <w:spacing w:line="360" w:lineRule="auto"/>
        <w:jc w:val="both"/>
        <w:rPr>
          <w:rFonts w:ascii="Arial" w:hAnsi="Arial" w:cs="Arial"/>
          <w:sz w:val="24"/>
          <w:szCs w:val="24"/>
        </w:rPr>
      </w:pPr>
      <w:r w:rsidRPr="00B77102">
        <w:rPr>
          <w:rFonts w:ascii="Arial" w:hAnsi="Arial" w:cs="Arial"/>
          <w:sz w:val="24"/>
          <w:szCs w:val="24"/>
        </w:rPr>
        <w:t>As an established diplomat at Louis’ court, it would be assumed that Saint-Simon was biased in his authorship, flagrantly favouring the King; yet, he begins by confessing that Louis’ ‘natural talents were below mediocrity’</w:t>
      </w:r>
      <w:r w:rsidRPr="00B77102">
        <w:rPr>
          <w:rStyle w:val="FootnoteReference"/>
          <w:rFonts w:ascii="Arial" w:hAnsi="Arial" w:cs="Arial"/>
          <w:sz w:val="24"/>
          <w:szCs w:val="24"/>
        </w:rPr>
        <w:footnoteReference w:id="4"/>
      </w:r>
      <w:r w:rsidRPr="00B77102">
        <w:rPr>
          <w:rFonts w:ascii="Arial" w:hAnsi="Arial" w:cs="Arial"/>
          <w:sz w:val="24"/>
          <w:szCs w:val="24"/>
        </w:rPr>
        <w:t xml:space="preserve">. Catholicism was a pillar of monarchic power, decreeing that the King was above man and second only to the Pope before God; ergo, Louis was beyond reproach: by beginning with a criticism Saint-Simon encourages an appearance of honesty. Despite being anointed by God to rule, Louis is lacking ‘natural’ talent: this declaration not only insults the King, but God. However, the </w:t>
      </w:r>
      <w:proofErr w:type="spellStart"/>
      <w:r w:rsidRPr="00B77102">
        <w:rPr>
          <w:rFonts w:ascii="Arial" w:hAnsi="Arial" w:cs="Arial"/>
          <w:sz w:val="24"/>
          <w:szCs w:val="24"/>
        </w:rPr>
        <w:t>Duc</w:t>
      </w:r>
      <w:proofErr w:type="spellEnd"/>
      <w:r w:rsidRPr="00B77102">
        <w:rPr>
          <w:rFonts w:ascii="Arial" w:hAnsi="Arial" w:cs="Arial"/>
          <w:sz w:val="24"/>
          <w:szCs w:val="24"/>
        </w:rPr>
        <w:t xml:space="preserve"> counter-balances this criticism by making reference to the Age </w:t>
      </w:r>
      <w:r w:rsidRPr="00B77102">
        <w:rPr>
          <w:rFonts w:ascii="Arial" w:hAnsi="Arial" w:cs="Arial"/>
          <w:sz w:val="24"/>
          <w:szCs w:val="24"/>
        </w:rPr>
        <w:lastRenderedPageBreak/>
        <w:t>of Enlightenment: ‘he [Louis] had a mind capable of improvement’</w:t>
      </w:r>
      <w:r w:rsidRPr="00B77102">
        <w:rPr>
          <w:rStyle w:val="FootnoteReference"/>
          <w:rFonts w:ascii="Arial" w:hAnsi="Arial" w:cs="Arial"/>
          <w:sz w:val="24"/>
          <w:szCs w:val="24"/>
        </w:rPr>
        <w:footnoteReference w:id="5"/>
      </w:r>
      <w:r w:rsidRPr="00B77102">
        <w:rPr>
          <w:rFonts w:ascii="Arial" w:hAnsi="Arial" w:cs="Arial"/>
          <w:sz w:val="24"/>
          <w:szCs w:val="24"/>
        </w:rPr>
        <w:t>. Saint-Simon uses this unbiased air with his contemporary audience, who by the date of publication being late eighteenth century were most likely literate members of the Third Estate, to believe that the King is somewhat akin to their aspiration: a self-made man, who has used reason and logic to better himself. Moreover, Saint-Simon also appeals to the favour of the Second Estate by establishing Louis as a medieval triumph with ‘Glory’</w:t>
      </w:r>
      <w:r w:rsidRPr="00B77102">
        <w:rPr>
          <w:rStyle w:val="FootnoteReference"/>
          <w:rFonts w:ascii="Arial" w:hAnsi="Arial" w:cs="Arial"/>
          <w:sz w:val="24"/>
          <w:szCs w:val="24"/>
        </w:rPr>
        <w:footnoteReference w:id="6"/>
      </w:r>
      <w:r w:rsidRPr="00B77102">
        <w:rPr>
          <w:rFonts w:ascii="Arial" w:hAnsi="Arial" w:cs="Arial"/>
          <w:sz w:val="24"/>
          <w:szCs w:val="24"/>
        </w:rPr>
        <w:t xml:space="preserve"> as his focus and a true Renaissance Prince who is ‘always master of his tongue and his emotions’</w:t>
      </w:r>
      <w:r w:rsidRPr="00B77102">
        <w:rPr>
          <w:rStyle w:val="FootnoteReference"/>
          <w:rFonts w:ascii="Arial" w:hAnsi="Arial" w:cs="Arial"/>
          <w:sz w:val="24"/>
          <w:szCs w:val="24"/>
        </w:rPr>
        <w:footnoteReference w:id="7"/>
      </w:r>
      <w:r w:rsidRPr="00B77102">
        <w:rPr>
          <w:rFonts w:ascii="Arial" w:hAnsi="Arial" w:cs="Arial"/>
          <w:sz w:val="24"/>
          <w:szCs w:val="24"/>
        </w:rPr>
        <w:t xml:space="preserve">. Such approbation reveals the </w:t>
      </w:r>
      <w:proofErr w:type="spellStart"/>
      <w:r w:rsidRPr="00B77102">
        <w:rPr>
          <w:rFonts w:ascii="Arial" w:hAnsi="Arial" w:cs="Arial"/>
          <w:sz w:val="24"/>
          <w:szCs w:val="24"/>
        </w:rPr>
        <w:t>Duc’s</w:t>
      </w:r>
      <w:proofErr w:type="spellEnd"/>
      <w:r w:rsidRPr="00B77102">
        <w:rPr>
          <w:rFonts w:ascii="Arial" w:hAnsi="Arial" w:cs="Arial"/>
          <w:sz w:val="24"/>
          <w:szCs w:val="24"/>
        </w:rPr>
        <w:t xml:space="preserve"> true bias as he depicts the power that Louis could wield over his manipulative courtiers, had he been less interested in ‘flattery’</w:t>
      </w:r>
      <w:r w:rsidRPr="00B77102">
        <w:rPr>
          <w:rStyle w:val="FootnoteReference"/>
          <w:rFonts w:ascii="Arial" w:hAnsi="Arial" w:cs="Arial"/>
          <w:sz w:val="24"/>
          <w:szCs w:val="24"/>
        </w:rPr>
        <w:footnoteReference w:id="8"/>
      </w:r>
      <w:r w:rsidRPr="00B77102">
        <w:rPr>
          <w:rFonts w:ascii="Arial" w:hAnsi="Arial" w:cs="Arial"/>
          <w:sz w:val="24"/>
          <w:szCs w:val="24"/>
        </w:rPr>
        <w:t>. Nevertheless, such a hamartia is not attributed to Louis but ‘his surroundings’</w:t>
      </w:r>
      <w:r w:rsidRPr="00B77102">
        <w:rPr>
          <w:rStyle w:val="FootnoteReference"/>
          <w:rFonts w:ascii="Arial" w:hAnsi="Arial" w:cs="Arial"/>
          <w:sz w:val="24"/>
          <w:szCs w:val="24"/>
        </w:rPr>
        <w:footnoteReference w:id="9"/>
      </w:r>
      <w:r w:rsidRPr="00B77102">
        <w:rPr>
          <w:rFonts w:ascii="Arial" w:hAnsi="Arial" w:cs="Arial"/>
          <w:sz w:val="24"/>
          <w:szCs w:val="24"/>
        </w:rPr>
        <w:t>: Saint-Simon attempts to inspire empathy for a King who was much neglected during his childhood.</w:t>
      </w:r>
      <w:r w:rsidRPr="00B77102">
        <w:rPr>
          <w:rStyle w:val="FootnoteReference"/>
          <w:rFonts w:ascii="Arial" w:hAnsi="Arial" w:cs="Arial"/>
          <w:sz w:val="24"/>
          <w:szCs w:val="24"/>
        </w:rPr>
        <w:footnoteReference w:id="10"/>
      </w:r>
      <w:r w:rsidRPr="00B77102">
        <w:rPr>
          <w:rFonts w:ascii="Arial" w:hAnsi="Arial" w:cs="Arial"/>
          <w:sz w:val="24"/>
          <w:szCs w:val="24"/>
        </w:rPr>
        <w:t xml:space="preserve"> Looking for the love he lacked in his youth, Louis’ ears are only open to obsequious sycophants and yet, the King is still painted as goodly.</w:t>
      </w:r>
    </w:p>
    <w:p w14:paraId="3DD70603" w14:textId="77777777" w:rsidR="002470C7" w:rsidRPr="00B77102" w:rsidRDefault="002470C7" w:rsidP="002470C7">
      <w:pPr>
        <w:spacing w:line="360" w:lineRule="auto"/>
        <w:jc w:val="both"/>
        <w:rPr>
          <w:rFonts w:ascii="Arial" w:hAnsi="Arial" w:cs="Arial"/>
          <w:sz w:val="24"/>
          <w:szCs w:val="24"/>
        </w:rPr>
      </w:pPr>
      <w:r w:rsidRPr="00B77102">
        <w:rPr>
          <w:rFonts w:ascii="Arial" w:hAnsi="Arial" w:cs="Arial"/>
          <w:sz w:val="24"/>
          <w:szCs w:val="24"/>
        </w:rPr>
        <w:t xml:space="preserve">However, the </w:t>
      </w:r>
      <w:proofErr w:type="spellStart"/>
      <w:r w:rsidRPr="00B77102">
        <w:rPr>
          <w:rFonts w:ascii="Arial" w:hAnsi="Arial" w:cs="Arial"/>
          <w:sz w:val="24"/>
          <w:szCs w:val="24"/>
        </w:rPr>
        <w:t>Duc</w:t>
      </w:r>
      <w:proofErr w:type="spellEnd"/>
      <w:r w:rsidRPr="00B77102">
        <w:rPr>
          <w:rFonts w:ascii="Arial" w:hAnsi="Arial" w:cs="Arial"/>
          <w:sz w:val="24"/>
          <w:szCs w:val="24"/>
        </w:rPr>
        <w:t xml:space="preserve"> critiques Louis’ ridiculous focus minutiae workings of the court; for example, he concentrates on the ‘dress and drill of his soldiers’</w:t>
      </w:r>
      <w:r w:rsidRPr="00B77102">
        <w:rPr>
          <w:rStyle w:val="FootnoteReference"/>
          <w:rFonts w:ascii="Arial" w:hAnsi="Arial" w:cs="Arial"/>
          <w:sz w:val="24"/>
          <w:szCs w:val="24"/>
        </w:rPr>
        <w:footnoteReference w:id="11"/>
      </w:r>
      <w:r w:rsidRPr="00B77102">
        <w:rPr>
          <w:rFonts w:ascii="Arial" w:hAnsi="Arial" w:cs="Arial"/>
          <w:sz w:val="24"/>
          <w:szCs w:val="24"/>
        </w:rPr>
        <w:t xml:space="preserve">, rather than the Bourbon’s lack of foreign allies. Moreover, employing the </w:t>
      </w:r>
      <w:proofErr w:type="spellStart"/>
      <w:r w:rsidRPr="00B77102">
        <w:rPr>
          <w:rFonts w:ascii="Arial" w:hAnsi="Arial" w:cs="Arial"/>
          <w:sz w:val="24"/>
          <w:szCs w:val="24"/>
        </w:rPr>
        <w:t>plosive‘d</w:t>
      </w:r>
      <w:proofErr w:type="spellEnd"/>
      <w:r w:rsidRPr="00B77102">
        <w:rPr>
          <w:rFonts w:ascii="Arial" w:hAnsi="Arial" w:cs="Arial"/>
          <w:sz w:val="24"/>
          <w:szCs w:val="24"/>
        </w:rPr>
        <w:t>’ Saint-Simon betrays his anger at Louis’ frivolous ventures. Despite his inept kingship, Saint-Simon still acknowledges Louis’ popularity: his ‘worshippers’</w:t>
      </w:r>
      <w:r w:rsidRPr="00B77102">
        <w:rPr>
          <w:rStyle w:val="FootnoteReference"/>
          <w:rFonts w:ascii="Arial" w:hAnsi="Arial" w:cs="Arial"/>
          <w:sz w:val="24"/>
          <w:szCs w:val="24"/>
        </w:rPr>
        <w:footnoteReference w:id="12"/>
      </w:r>
      <w:r w:rsidRPr="00B77102">
        <w:rPr>
          <w:rFonts w:ascii="Arial" w:hAnsi="Arial" w:cs="Arial"/>
          <w:sz w:val="24"/>
          <w:szCs w:val="24"/>
        </w:rPr>
        <w:t xml:space="preserve">; although, failing to identify that the King was popular solely amongst courtiers, not the masses, he hoped to exaggerate monarchic support. </w:t>
      </w:r>
    </w:p>
    <w:p w14:paraId="7D0E6678" w14:textId="77777777" w:rsidR="002470C7" w:rsidRPr="00B77102" w:rsidRDefault="002470C7" w:rsidP="002470C7">
      <w:pPr>
        <w:spacing w:line="360" w:lineRule="auto"/>
        <w:jc w:val="both"/>
        <w:rPr>
          <w:rFonts w:ascii="Arial" w:hAnsi="Arial" w:cs="Arial"/>
          <w:sz w:val="24"/>
          <w:szCs w:val="24"/>
        </w:rPr>
      </w:pPr>
      <w:r w:rsidRPr="00B77102">
        <w:rPr>
          <w:rFonts w:ascii="Arial" w:hAnsi="Arial" w:cs="Arial"/>
          <w:sz w:val="24"/>
          <w:szCs w:val="24"/>
        </w:rPr>
        <w:t xml:space="preserve">In a similar vein, Saint-Simon depicts Louis’ popularity as a great facet of his rule; however, the </w:t>
      </w:r>
      <w:proofErr w:type="spellStart"/>
      <w:r w:rsidRPr="00B77102">
        <w:rPr>
          <w:rFonts w:ascii="Arial" w:hAnsi="Arial" w:cs="Arial"/>
          <w:sz w:val="24"/>
          <w:szCs w:val="24"/>
        </w:rPr>
        <w:t>Duc</w:t>
      </w:r>
      <w:proofErr w:type="spellEnd"/>
      <w:r w:rsidRPr="00B77102">
        <w:rPr>
          <w:rFonts w:ascii="Arial" w:hAnsi="Arial" w:cs="Arial"/>
          <w:sz w:val="24"/>
          <w:szCs w:val="24"/>
        </w:rPr>
        <w:t xml:space="preserve"> now portrays Louis’ judgement to so </w:t>
      </w:r>
      <w:proofErr w:type="gramStart"/>
      <w:r w:rsidRPr="00B77102">
        <w:rPr>
          <w:rFonts w:ascii="Arial" w:hAnsi="Arial" w:cs="Arial"/>
          <w:sz w:val="24"/>
          <w:szCs w:val="24"/>
        </w:rPr>
        <w:t>clouded</w:t>
      </w:r>
      <w:proofErr w:type="gramEnd"/>
      <w:r w:rsidRPr="00B77102">
        <w:rPr>
          <w:rFonts w:ascii="Arial" w:hAnsi="Arial" w:cs="Arial"/>
          <w:sz w:val="24"/>
          <w:szCs w:val="24"/>
        </w:rPr>
        <w:t xml:space="preserve"> by vanity that its ramifications are prophesised to end the Bourbon dynasty. Royal favour was initially synonymous with wealth; to keep support Louis had to ‘invent imaginary’</w:t>
      </w:r>
      <w:r w:rsidRPr="00B77102">
        <w:rPr>
          <w:rStyle w:val="FootnoteReference"/>
          <w:rFonts w:ascii="Arial" w:hAnsi="Arial" w:cs="Arial"/>
          <w:sz w:val="24"/>
          <w:szCs w:val="24"/>
        </w:rPr>
        <w:footnoteReference w:id="13"/>
      </w:r>
      <w:r w:rsidRPr="00B77102">
        <w:rPr>
          <w:rFonts w:ascii="Arial" w:hAnsi="Arial" w:cs="Arial"/>
          <w:sz w:val="24"/>
          <w:szCs w:val="24"/>
        </w:rPr>
        <w:t xml:space="preserve"> favours to bestow upon his subjects. Although the </w:t>
      </w:r>
      <w:proofErr w:type="spellStart"/>
      <w:r w:rsidRPr="00B77102">
        <w:rPr>
          <w:rFonts w:ascii="Arial" w:hAnsi="Arial" w:cs="Arial"/>
          <w:sz w:val="24"/>
          <w:szCs w:val="24"/>
        </w:rPr>
        <w:t>Duc</w:t>
      </w:r>
      <w:proofErr w:type="spellEnd"/>
      <w:r w:rsidRPr="00B77102">
        <w:rPr>
          <w:rFonts w:ascii="Arial" w:hAnsi="Arial" w:cs="Arial"/>
          <w:sz w:val="24"/>
          <w:szCs w:val="24"/>
        </w:rPr>
        <w:t xml:space="preserve"> attempts to emphasise Louis’ lack of focus </w:t>
      </w:r>
      <w:r w:rsidRPr="00B77102">
        <w:rPr>
          <w:rFonts w:ascii="Arial" w:hAnsi="Arial" w:cs="Arial"/>
          <w:sz w:val="24"/>
          <w:szCs w:val="24"/>
        </w:rPr>
        <w:lastRenderedPageBreak/>
        <w:t>on the Kingdom of France, with such interest in political machinations, his dedication to loyalty actually illustrates the value that Louis placed on having a united bureaucratic system to run France efficiently. Moreover, Saint-Simon further critiques how Louis ‘compelled his courtiers to live beyond their income’. Making such profligacy fashionable was arguably irresponsible and further evidence of the King’s vanity: in 1706 during the War of the Spanish Succession the annual budget was increased to 220 million livres,</w:t>
      </w:r>
      <w:r w:rsidRPr="00B77102">
        <w:rPr>
          <w:rStyle w:val="FootnoteReference"/>
          <w:rFonts w:ascii="Arial" w:hAnsi="Arial" w:cs="Arial"/>
          <w:sz w:val="24"/>
          <w:szCs w:val="24"/>
        </w:rPr>
        <w:footnoteReference w:id="14"/>
      </w:r>
      <w:r w:rsidRPr="00B77102">
        <w:rPr>
          <w:rFonts w:ascii="Arial" w:hAnsi="Arial" w:cs="Arial"/>
          <w:sz w:val="24"/>
          <w:szCs w:val="24"/>
        </w:rPr>
        <w:t xml:space="preserve"> whilst from 1693 to 1710 two large famines had struck France, resulting in the death of two million people</w:t>
      </w:r>
      <w:r w:rsidRPr="00B77102">
        <w:rPr>
          <w:rStyle w:val="FootnoteReference"/>
          <w:rFonts w:ascii="Arial" w:hAnsi="Arial" w:cs="Arial"/>
          <w:sz w:val="24"/>
          <w:szCs w:val="24"/>
        </w:rPr>
        <w:footnoteReference w:id="15"/>
      </w:r>
      <w:r w:rsidRPr="00B77102">
        <w:rPr>
          <w:rFonts w:ascii="Arial" w:hAnsi="Arial" w:cs="Arial"/>
          <w:sz w:val="24"/>
          <w:szCs w:val="24"/>
        </w:rPr>
        <w:t>; the ‘Sun King’ was apparently more focused on glory than his people’s suffering. However, it is clear that Louis’ ulterior motive was forcing courtiers’ loyalty by making them dependent upon him for financial solvency, a far greater motive than status.</w:t>
      </w:r>
    </w:p>
    <w:p w14:paraId="2C7E1171" w14:textId="77777777" w:rsidR="002470C7" w:rsidRPr="00B77102" w:rsidRDefault="002470C7" w:rsidP="002470C7">
      <w:pPr>
        <w:tabs>
          <w:tab w:val="left" w:pos="7845"/>
        </w:tabs>
        <w:spacing w:line="360" w:lineRule="auto"/>
        <w:jc w:val="both"/>
        <w:rPr>
          <w:rFonts w:ascii="Arial" w:hAnsi="Arial" w:cs="Arial"/>
          <w:sz w:val="24"/>
          <w:szCs w:val="24"/>
        </w:rPr>
      </w:pPr>
      <w:r w:rsidRPr="00B77102">
        <w:rPr>
          <w:rFonts w:ascii="Arial" w:hAnsi="Arial" w:cs="Arial"/>
          <w:sz w:val="24"/>
          <w:szCs w:val="24"/>
        </w:rPr>
        <w:t xml:space="preserve">Thus, Saint-Simon presents a compelling account of King Louis XIV, depicting him as extravagant, excessive; but with the potential to be great. By the end of this episode, it is clear that Louis became too enraptured with vanity to care for his Kingdom – or so the </w:t>
      </w:r>
      <w:proofErr w:type="spellStart"/>
      <w:r w:rsidRPr="00B77102">
        <w:rPr>
          <w:rFonts w:ascii="Arial" w:hAnsi="Arial" w:cs="Arial"/>
          <w:sz w:val="24"/>
          <w:szCs w:val="24"/>
        </w:rPr>
        <w:t>Duc</w:t>
      </w:r>
      <w:proofErr w:type="spellEnd"/>
      <w:r w:rsidRPr="00B77102">
        <w:rPr>
          <w:rFonts w:ascii="Arial" w:hAnsi="Arial" w:cs="Arial"/>
          <w:sz w:val="24"/>
          <w:szCs w:val="24"/>
        </w:rPr>
        <w:t xml:space="preserve"> argues.</w:t>
      </w:r>
    </w:p>
    <w:p w14:paraId="2713369D" w14:textId="77777777" w:rsidR="002470C7" w:rsidRPr="00B77102" w:rsidRDefault="002470C7" w:rsidP="002470C7">
      <w:pPr>
        <w:tabs>
          <w:tab w:val="left" w:pos="7845"/>
        </w:tabs>
        <w:spacing w:line="360" w:lineRule="auto"/>
        <w:jc w:val="both"/>
        <w:rPr>
          <w:rFonts w:ascii="Arial" w:hAnsi="Arial" w:cs="Arial"/>
          <w:sz w:val="24"/>
          <w:szCs w:val="24"/>
        </w:rPr>
      </w:pPr>
    </w:p>
    <w:p w14:paraId="2722E134" w14:textId="77777777" w:rsidR="002470C7" w:rsidRPr="00B77102" w:rsidRDefault="002470C7" w:rsidP="002470C7">
      <w:pPr>
        <w:tabs>
          <w:tab w:val="left" w:pos="7845"/>
        </w:tabs>
        <w:spacing w:line="360" w:lineRule="auto"/>
        <w:jc w:val="both"/>
        <w:rPr>
          <w:rFonts w:ascii="Arial" w:hAnsi="Arial" w:cs="Arial"/>
          <w:sz w:val="24"/>
          <w:szCs w:val="24"/>
        </w:rPr>
      </w:pPr>
      <w:r w:rsidRPr="00B77102">
        <w:rPr>
          <w:rFonts w:ascii="Arial" w:hAnsi="Arial" w:cs="Arial"/>
          <w:sz w:val="24"/>
          <w:szCs w:val="24"/>
        </w:rPr>
        <w:t>Bibliography</w:t>
      </w:r>
    </w:p>
    <w:p w14:paraId="00265C44" w14:textId="77777777" w:rsidR="002470C7" w:rsidRPr="00B77102" w:rsidRDefault="002470C7" w:rsidP="002470C7">
      <w:pPr>
        <w:tabs>
          <w:tab w:val="left" w:pos="7845"/>
        </w:tabs>
        <w:spacing w:line="360" w:lineRule="auto"/>
        <w:jc w:val="both"/>
        <w:rPr>
          <w:rFonts w:ascii="Arial" w:hAnsi="Arial" w:cs="Arial"/>
          <w:sz w:val="24"/>
          <w:szCs w:val="24"/>
          <w:u w:val="single"/>
        </w:rPr>
      </w:pPr>
      <w:r w:rsidRPr="00B77102">
        <w:rPr>
          <w:rFonts w:ascii="Arial" w:hAnsi="Arial" w:cs="Arial"/>
          <w:sz w:val="24"/>
          <w:szCs w:val="24"/>
          <w:u w:val="single"/>
        </w:rPr>
        <w:t>Primary Sources</w:t>
      </w:r>
    </w:p>
    <w:p w14:paraId="5AAE3E0B" w14:textId="77777777" w:rsidR="002470C7" w:rsidRPr="00B77102" w:rsidRDefault="002470C7" w:rsidP="002470C7">
      <w:pPr>
        <w:tabs>
          <w:tab w:val="left" w:pos="7845"/>
        </w:tabs>
        <w:spacing w:line="360" w:lineRule="auto"/>
        <w:jc w:val="both"/>
        <w:rPr>
          <w:rFonts w:ascii="Arial" w:hAnsi="Arial" w:cs="Arial"/>
          <w:sz w:val="24"/>
          <w:szCs w:val="24"/>
        </w:rPr>
      </w:pPr>
      <w:r w:rsidRPr="00B77102">
        <w:rPr>
          <w:rFonts w:ascii="Arial" w:hAnsi="Arial" w:cs="Arial"/>
          <w:sz w:val="24"/>
          <w:szCs w:val="24"/>
        </w:rPr>
        <w:t xml:space="preserve">Louis de </w:t>
      </w:r>
      <w:proofErr w:type="spellStart"/>
      <w:r w:rsidRPr="00B77102">
        <w:rPr>
          <w:rFonts w:ascii="Arial" w:hAnsi="Arial" w:cs="Arial"/>
          <w:sz w:val="24"/>
          <w:szCs w:val="24"/>
        </w:rPr>
        <w:t>Rouvroy</w:t>
      </w:r>
      <w:proofErr w:type="spellEnd"/>
      <w:r w:rsidRPr="00B77102">
        <w:rPr>
          <w:rFonts w:ascii="Arial" w:hAnsi="Arial" w:cs="Arial"/>
          <w:sz w:val="24"/>
          <w:szCs w:val="24"/>
        </w:rPr>
        <w:t>, The Court of Louis XIV, (Chicago: The University of Chicago Press, 2001).</w:t>
      </w:r>
    </w:p>
    <w:p w14:paraId="698F25AE" w14:textId="77777777" w:rsidR="002470C7" w:rsidRPr="00B77102" w:rsidRDefault="002470C7" w:rsidP="002470C7">
      <w:pPr>
        <w:tabs>
          <w:tab w:val="left" w:pos="7845"/>
        </w:tabs>
        <w:spacing w:line="360" w:lineRule="auto"/>
        <w:jc w:val="both"/>
        <w:rPr>
          <w:rFonts w:ascii="Arial" w:hAnsi="Arial" w:cs="Arial"/>
          <w:sz w:val="24"/>
          <w:szCs w:val="24"/>
          <w:u w:val="single"/>
        </w:rPr>
      </w:pPr>
      <w:r w:rsidRPr="00B77102">
        <w:rPr>
          <w:rFonts w:ascii="Arial" w:hAnsi="Arial" w:cs="Arial"/>
          <w:sz w:val="24"/>
          <w:szCs w:val="24"/>
          <w:u w:val="single"/>
        </w:rPr>
        <w:t>Secondary Works</w:t>
      </w:r>
    </w:p>
    <w:p w14:paraId="33A56BD6" w14:textId="77777777" w:rsidR="002470C7" w:rsidRPr="00B77102" w:rsidRDefault="002470C7" w:rsidP="002470C7">
      <w:pPr>
        <w:tabs>
          <w:tab w:val="left" w:pos="7845"/>
        </w:tabs>
        <w:spacing w:line="360" w:lineRule="auto"/>
        <w:jc w:val="both"/>
        <w:rPr>
          <w:rFonts w:ascii="Arial" w:hAnsi="Arial" w:cs="Arial"/>
          <w:sz w:val="24"/>
          <w:szCs w:val="24"/>
        </w:rPr>
      </w:pPr>
      <w:proofErr w:type="spellStart"/>
      <w:r w:rsidRPr="00B77102">
        <w:rPr>
          <w:rFonts w:ascii="Arial" w:hAnsi="Arial" w:cs="Arial"/>
          <w:sz w:val="24"/>
          <w:szCs w:val="24"/>
        </w:rPr>
        <w:t>Conzett</w:t>
      </w:r>
      <w:proofErr w:type="spellEnd"/>
      <w:r w:rsidRPr="00B77102">
        <w:rPr>
          <w:rFonts w:ascii="Arial" w:hAnsi="Arial" w:cs="Arial"/>
          <w:sz w:val="24"/>
          <w:szCs w:val="24"/>
        </w:rPr>
        <w:t xml:space="preserve"> J., The Sun King‘s Red Book of Household Accounts – Versailles wasn‘t such a Squander, https://www.moneymuseum.com/en/for-sunflower/versailles-a-case-of-squandering-346?&amp;slbox=true [accessed 31st September 2018].</w:t>
      </w:r>
    </w:p>
    <w:p w14:paraId="6C26D299" w14:textId="77777777" w:rsidR="002470C7" w:rsidRPr="00B77102" w:rsidRDefault="002470C7" w:rsidP="002470C7">
      <w:pPr>
        <w:tabs>
          <w:tab w:val="left" w:pos="7845"/>
        </w:tabs>
        <w:spacing w:line="360" w:lineRule="auto"/>
        <w:jc w:val="both"/>
        <w:rPr>
          <w:rFonts w:ascii="Arial" w:hAnsi="Arial" w:cs="Arial"/>
          <w:sz w:val="24"/>
          <w:szCs w:val="24"/>
        </w:rPr>
      </w:pPr>
      <w:proofErr w:type="spellStart"/>
      <w:r w:rsidRPr="00B77102">
        <w:rPr>
          <w:rFonts w:ascii="Arial" w:hAnsi="Arial" w:cs="Arial"/>
          <w:sz w:val="24"/>
          <w:szCs w:val="24"/>
        </w:rPr>
        <w:t>Gráda</w:t>
      </w:r>
      <w:proofErr w:type="spellEnd"/>
      <w:r w:rsidRPr="00B77102">
        <w:rPr>
          <w:rFonts w:ascii="Arial" w:hAnsi="Arial" w:cs="Arial"/>
          <w:sz w:val="24"/>
          <w:szCs w:val="24"/>
        </w:rPr>
        <w:t xml:space="preserve"> C. </w:t>
      </w:r>
      <w:proofErr w:type="spellStart"/>
      <w:r w:rsidRPr="00B77102">
        <w:rPr>
          <w:rFonts w:ascii="Arial" w:hAnsi="Arial" w:cs="Arial"/>
          <w:sz w:val="24"/>
          <w:szCs w:val="24"/>
        </w:rPr>
        <w:t>Chevet</w:t>
      </w:r>
      <w:proofErr w:type="spellEnd"/>
      <w:r w:rsidRPr="00B77102">
        <w:rPr>
          <w:rFonts w:ascii="Arial" w:hAnsi="Arial" w:cs="Arial"/>
          <w:sz w:val="24"/>
          <w:szCs w:val="24"/>
        </w:rPr>
        <w:t xml:space="preserve"> J., ‘Famine and Market in </w:t>
      </w:r>
      <w:proofErr w:type="spellStart"/>
      <w:r w:rsidRPr="00B77102">
        <w:rPr>
          <w:rFonts w:ascii="Arial" w:hAnsi="Arial" w:cs="Arial"/>
          <w:sz w:val="24"/>
          <w:szCs w:val="24"/>
        </w:rPr>
        <w:t>Ancien</w:t>
      </w:r>
      <w:proofErr w:type="spellEnd"/>
      <w:r w:rsidRPr="00B77102">
        <w:rPr>
          <w:rFonts w:ascii="Arial" w:hAnsi="Arial" w:cs="Arial"/>
          <w:sz w:val="24"/>
          <w:szCs w:val="24"/>
        </w:rPr>
        <w:t xml:space="preserve"> </w:t>
      </w:r>
      <w:proofErr w:type="spellStart"/>
      <w:r w:rsidRPr="00B77102">
        <w:rPr>
          <w:rFonts w:ascii="Arial" w:hAnsi="Arial" w:cs="Arial"/>
          <w:sz w:val="24"/>
          <w:szCs w:val="24"/>
        </w:rPr>
        <w:t>Régime</w:t>
      </w:r>
      <w:proofErr w:type="spellEnd"/>
      <w:r w:rsidRPr="00B77102">
        <w:rPr>
          <w:rFonts w:ascii="Arial" w:hAnsi="Arial" w:cs="Arial"/>
          <w:sz w:val="24"/>
          <w:szCs w:val="24"/>
        </w:rPr>
        <w:t xml:space="preserve"> France’, </w:t>
      </w:r>
      <w:proofErr w:type="gramStart"/>
      <w:r w:rsidRPr="00B77102">
        <w:rPr>
          <w:rFonts w:ascii="Arial" w:hAnsi="Arial" w:cs="Arial"/>
          <w:sz w:val="24"/>
          <w:szCs w:val="24"/>
        </w:rPr>
        <w:t>The</w:t>
      </w:r>
      <w:proofErr w:type="gramEnd"/>
      <w:r w:rsidRPr="00B77102">
        <w:rPr>
          <w:rFonts w:ascii="Arial" w:hAnsi="Arial" w:cs="Arial"/>
          <w:sz w:val="24"/>
          <w:szCs w:val="24"/>
        </w:rPr>
        <w:t xml:space="preserve"> Journal of Economic History Vol. 62, No. 3 (2002), pp. 706-733.</w:t>
      </w:r>
    </w:p>
    <w:p w14:paraId="286A19F7" w14:textId="77777777" w:rsidR="002470C7" w:rsidRPr="00B77102" w:rsidRDefault="002470C7" w:rsidP="002470C7">
      <w:pPr>
        <w:tabs>
          <w:tab w:val="left" w:pos="7845"/>
        </w:tabs>
        <w:spacing w:line="360" w:lineRule="auto"/>
        <w:jc w:val="both"/>
        <w:rPr>
          <w:rFonts w:ascii="Arial" w:hAnsi="Arial" w:cs="Arial"/>
          <w:sz w:val="24"/>
          <w:szCs w:val="24"/>
        </w:rPr>
      </w:pPr>
      <w:proofErr w:type="spellStart"/>
      <w:r w:rsidRPr="00B77102">
        <w:rPr>
          <w:rFonts w:ascii="Arial" w:hAnsi="Arial" w:cs="Arial"/>
          <w:sz w:val="24"/>
          <w:szCs w:val="24"/>
        </w:rPr>
        <w:lastRenderedPageBreak/>
        <w:t>Petheram</w:t>
      </w:r>
      <w:proofErr w:type="spellEnd"/>
      <w:r w:rsidRPr="00B77102">
        <w:rPr>
          <w:rFonts w:ascii="Arial" w:hAnsi="Arial" w:cs="Arial"/>
          <w:sz w:val="24"/>
          <w:szCs w:val="24"/>
        </w:rPr>
        <w:t xml:space="preserve"> M., Gossip or Chronicler? Versailles and Saint-Simon, https://www.historytoday.com/michel-petheram/gossip-or-chronicler-versailles-and-saint-simon [accessed 31st September 2018].</w:t>
      </w:r>
    </w:p>
    <w:p w14:paraId="0972DF3E" w14:textId="77777777" w:rsidR="002470C7" w:rsidRPr="00B77102" w:rsidRDefault="002470C7" w:rsidP="002470C7">
      <w:pPr>
        <w:tabs>
          <w:tab w:val="left" w:pos="7845"/>
        </w:tabs>
        <w:spacing w:line="360" w:lineRule="auto"/>
        <w:jc w:val="both"/>
        <w:rPr>
          <w:rFonts w:ascii="Arial" w:hAnsi="Arial" w:cs="Arial"/>
          <w:sz w:val="24"/>
          <w:szCs w:val="24"/>
        </w:rPr>
      </w:pPr>
      <w:r w:rsidRPr="00B77102">
        <w:rPr>
          <w:rFonts w:ascii="Arial" w:hAnsi="Arial" w:cs="Arial"/>
          <w:sz w:val="24"/>
          <w:szCs w:val="24"/>
        </w:rPr>
        <w:t xml:space="preserve">Robinson J., Readings in European History, </w:t>
      </w:r>
      <w:proofErr w:type="spellStart"/>
      <w:r w:rsidRPr="00B77102">
        <w:rPr>
          <w:rFonts w:ascii="Arial" w:hAnsi="Arial" w:cs="Arial"/>
          <w:sz w:val="24"/>
          <w:szCs w:val="24"/>
        </w:rPr>
        <w:t>vol</w:t>
      </w:r>
      <w:proofErr w:type="spellEnd"/>
      <w:r w:rsidRPr="00B77102">
        <w:rPr>
          <w:rFonts w:ascii="Arial" w:hAnsi="Arial" w:cs="Arial"/>
          <w:sz w:val="24"/>
          <w:szCs w:val="24"/>
        </w:rPr>
        <w:t xml:space="preserve"> II (Boston: </w:t>
      </w:r>
      <w:proofErr w:type="spellStart"/>
      <w:r w:rsidRPr="00B77102">
        <w:rPr>
          <w:rFonts w:ascii="Arial" w:hAnsi="Arial" w:cs="Arial"/>
          <w:sz w:val="24"/>
          <w:szCs w:val="24"/>
        </w:rPr>
        <w:t>Ginn</w:t>
      </w:r>
      <w:proofErr w:type="spellEnd"/>
      <w:r w:rsidRPr="00B77102">
        <w:rPr>
          <w:rFonts w:ascii="Arial" w:hAnsi="Arial" w:cs="Arial"/>
          <w:sz w:val="24"/>
          <w:szCs w:val="24"/>
        </w:rPr>
        <w:t>, 1905), pp. 283-285.</w:t>
      </w:r>
    </w:p>
    <w:p w14:paraId="16EAFE14" w14:textId="77777777" w:rsidR="002470C7" w:rsidRPr="00B77102" w:rsidRDefault="002470C7" w:rsidP="002470C7">
      <w:pPr>
        <w:tabs>
          <w:tab w:val="left" w:pos="7845"/>
        </w:tabs>
        <w:spacing w:line="360" w:lineRule="auto"/>
        <w:jc w:val="both"/>
        <w:rPr>
          <w:rFonts w:ascii="Arial" w:hAnsi="Arial" w:cs="Arial"/>
          <w:sz w:val="24"/>
          <w:szCs w:val="24"/>
        </w:rPr>
      </w:pPr>
      <w:r w:rsidRPr="00B77102">
        <w:rPr>
          <w:rFonts w:ascii="Arial" w:hAnsi="Arial" w:cs="Arial"/>
          <w:sz w:val="24"/>
          <w:szCs w:val="24"/>
        </w:rPr>
        <w:t>Telegraph Reporters, Who was Louis XIV of France? Everything you need to know about the 'Sun King' and the Palace of Versailles, https://www.telegraph.co.uk/tv/2016/06/01/who-was-louis-xiv-of-france-everything-you-need-to-know-about-th/ [accessed 31st September 2018].</w:t>
      </w:r>
    </w:p>
    <w:p w14:paraId="502213B7" w14:textId="6998AA3B" w:rsidR="002470C7" w:rsidRPr="00B77102" w:rsidRDefault="002470C7">
      <w:pPr>
        <w:rPr>
          <w:rFonts w:ascii="Arial" w:hAnsi="Arial" w:cs="Arial"/>
          <w:sz w:val="24"/>
          <w:szCs w:val="24"/>
        </w:rPr>
      </w:pPr>
      <w:r w:rsidRPr="00B77102">
        <w:rPr>
          <w:rFonts w:ascii="Arial" w:hAnsi="Arial" w:cs="Arial"/>
          <w:sz w:val="24"/>
          <w:szCs w:val="24"/>
        </w:rPr>
        <w:br w:type="page"/>
      </w:r>
    </w:p>
    <w:p w14:paraId="41C6E7DC" w14:textId="77777777" w:rsidR="002470C7" w:rsidRPr="00B77102" w:rsidRDefault="002470C7" w:rsidP="002470C7">
      <w:pPr>
        <w:rPr>
          <w:sz w:val="24"/>
          <w:szCs w:val="24"/>
        </w:rPr>
      </w:pPr>
      <w:r w:rsidRPr="00B77102">
        <w:rPr>
          <w:sz w:val="24"/>
          <w:szCs w:val="24"/>
        </w:rPr>
        <w:lastRenderedPageBreak/>
        <w:t>In this gobbet the primary source that is going to be analysed is a petition from the ‘rural communities’</w:t>
      </w:r>
      <w:r w:rsidRPr="00B77102">
        <w:rPr>
          <w:rStyle w:val="FootnoteReference"/>
          <w:sz w:val="24"/>
          <w:szCs w:val="24"/>
        </w:rPr>
        <w:footnoteReference w:id="16"/>
      </w:r>
      <w:r w:rsidRPr="00B77102">
        <w:rPr>
          <w:sz w:val="24"/>
          <w:szCs w:val="24"/>
        </w:rPr>
        <w:t xml:space="preserve"> of </w:t>
      </w:r>
      <w:bookmarkStart w:id="1" w:name="_Hlk528790518"/>
      <w:proofErr w:type="spellStart"/>
      <w:r w:rsidRPr="00B77102">
        <w:rPr>
          <w:sz w:val="24"/>
          <w:szCs w:val="24"/>
        </w:rPr>
        <w:t>Montjoye-Vaufrey</w:t>
      </w:r>
      <w:proofErr w:type="spellEnd"/>
      <w:r w:rsidRPr="00B77102">
        <w:rPr>
          <w:sz w:val="24"/>
          <w:szCs w:val="24"/>
        </w:rPr>
        <w:t xml:space="preserve"> </w:t>
      </w:r>
      <w:bookmarkEnd w:id="1"/>
      <w:r w:rsidRPr="00B77102">
        <w:rPr>
          <w:sz w:val="24"/>
          <w:szCs w:val="24"/>
        </w:rPr>
        <w:t xml:space="preserve">in eastern France, describing the unfair taxes and daily burdens they endure. This was presented to Necker who was the financial minister for France. This source is a combination of voices of the rural people of France in 1789 and was written to highlight the unfair feudal system and taxes that the third state were faced with. Highlighted in the source are wider; social, political and economic issues. </w:t>
      </w:r>
    </w:p>
    <w:p w14:paraId="06B9C30F" w14:textId="77777777" w:rsidR="002470C7" w:rsidRPr="00B77102" w:rsidRDefault="002470C7" w:rsidP="002470C7">
      <w:pPr>
        <w:rPr>
          <w:sz w:val="24"/>
          <w:szCs w:val="24"/>
        </w:rPr>
      </w:pPr>
      <w:r w:rsidRPr="00B77102">
        <w:rPr>
          <w:sz w:val="24"/>
          <w:szCs w:val="24"/>
        </w:rPr>
        <w:t>In this source written by the people, they express the everyday social issues they must endure, these mainly being; poverty, inequality and general poor living standards. The writer of the petition uses a very emotive language using words such as ‘crushed, inhumane, cruelty, slavery and poor’</w:t>
      </w:r>
      <w:r w:rsidRPr="00B77102">
        <w:rPr>
          <w:rStyle w:val="FootnoteReference"/>
          <w:sz w:val="24"/>
          <w:szCs w:val="24"/>
        </w:rPr>
        <w:footnoteReference w:id="17"/>
      </w:r>
      <w:r w:rsidRPr="00B77102">
        <w:rPr>
          <w:sz w:val="24"/>
          <w:szCs w:val="24"/>
        </w:rPr>
        <w:t xml:space="preserve"> to express the shared mood of the rural people. In the first paragraph the writer expresses how poor the natural land is, the soil being ‘naturally barren’</w:t>
      </w:r>
      <w:r w:rsidRPr="00B77102">
        <w:rPr>
          <w:rStyle w:val="FootnoteReference"/>
          <w:sz w:val="24"/>
          <w:szCs w:val="24"/>
        </w:rPr>
        <w:footnoteReference w:id="18"/>
      </w:r>
      <w:r w:rsidRPr="00B77102">
        <w:rPr>
          <w:sz w:val="24"/>
          <w:szCs w:val="24"/>
        </w:rPr>
        <w:t xml:space="preserve"> stating it does not produce healthy crops. With unhealthy soil the writer then explains how they are burdened with ‘the tithe of the sixth sheaf’</w:t>
      </w:r>
      <w:r w:rsidRPr="00B77102">
        <w:rPr>
          <w:rStyle w:val="FootnoteReference"/>
          <w:sz w:val="24"/>
          <w:szCs w:val="24"/>
        </w:rPr>
        <w:footnoteReference w:id="19"/>
      </w:r>
      <w:r w:rsidRPr="00B77102">
        <w:rPr>
          <w:sz w:val="24"/>
          <w:szCs w:val="24"/>
        </w:rPr>
        <w:t xml:space="preserve"> and how it is impossible to meet the required demand. With the bad harvests of 1788 and 1789 this would have put a further strain on peasantry, as Eric </w:t>
      </w:r>
      <w:proofErr w:type="spellStart"/>
      <w:r w:rsidRPr="00B77102">
        <w:rPr>
          <w:sz w:val="24"/>
          <w:szCs w:val="24"/>
        </w:rPr>
        <w:t>Hobsbawm</w:t>
      </w:r>
      <w:proofErr w:type="spellEnd"/>
      <w:r w:rsidRPr="00B77102">
        <w:rPr>
          <w:sz w:val="24"/>
          <w:szCs w:val="24"/>
        </w:rPr>
        <w:t xml:space="preserve"> states ‘hurt the peasantry, hurt the urban poor.’</w:t>
      </w:r>
      <w:r w:rsidRPr="00B77102">
        <w:rPr>
          <w:rStyle w:val="FootnoteReference"/>
          <w:sz w:val="24"/>
          <w:szCs w:val="24"/>
        </w:rPr>
        <w:footnoteReference w:id="20"/>
      </w:r>
      <w:r w:rsidRPr="00B77102">
        <w:rPr>
          <w:sz w:val="24"/>
          <w:szCs w:val="24"/>
        </w:rPr>
        <w:t xml:space="preserve"> The right of mortmain, death duty was very unfair and led to people ‘begging for alms’</w:t>
      </w:r>
      <w:r w:rsidRPr="00B77102">
        <w:rPr>
          <w:rStyle w:val="FootnoteReference"/>
          <w:sz w:val="24"/>
          <w:szCs w:val="24"/>
        </w:rPr>
        <w:footnoteReference w:id="21"/>
      </w:r>
      <w:r w:rsidRPr="00B77102">
        <w:rPr>
          <w:sz w:val="24"/>
          <w:szCs w:val="24"/>
        </w:rPr>
        <w:t xml:space="preserve"> after losing what was rightfully theirs to the Lord. This wider social issue that was festering in France ultimately became a catalyst for revolution in France.</w:t>
      </w:r>
    </w:p>
    <w:p w14:paraId="1F7CCBA7" w14:textId="77777777" w:rsidR="002470C7" w:rsidRPr="00B77102" w:rsidRDefault="002470C7" w:rsidP="002470C7">
      <w:pPr>
        <w:rPr>
          <w:sz w:val="24"/>
          <w:szCs w:val="24"/>
        </w:rPr>
      </w:pPr>
      <w:r w:rsidRPr="00B77102">
        <w:rPr>
          <w:sz w:val="24"/>
          <w:szCs w:val="24"/>
        </w:rPr>
        <w:t xml:space="preserve">Social-economic issues are present throughout the source, as the writer intended to highlight. Two economic issues relating to unfair labour the writer focuses on are </w:t>
      </w:r>
      <w:proofErr w:type="spellStart"/>
      <w:r w:rsidRPr="00B77102">
        <w:rPr>
          <w:sz w:val="24"/>
          <w:szCs w:val="24"/>
        </w:rPr>
        <w:t>corvées</w:t>
      </w:r>
      <w:proofErr w:type="spellEnd"/>
      <w:r w:rsidRPr="00B77102">
        <w:rPr>
          <w:sz w:val="24"/>
          <w:szCs w:val="24"/>
        </w:rPr>
        <w:t xml:space="preserve"> and the activity of beating the wood. Vassals had to preform five days of unpaid labour to the feudal lord, normally in exchange for protection and alliance. The writer expresses how unfair it is that the vassals still must pay the tithe and mortmain taxes. Mainly the writer wants to highlight how the </w:t>
      </w:r>
      <w:proofErr w:type="spellStart"/>
      <w:r w:rsidRPr="00B77102">
        <w:rPr>
          <w:sz w:val="24"/>
          <w:szCs w:val="24"/>
        </w:rPr>
        <w:t>seigneur</w:t>
      </w:r>
      <w:proofErr w:type="spellEnd"/>
      <w:r w:rsidRPr="00B77102">
        <w:rPr>
          <w:sz w:val="24"/>
          <w:szCs w:val="24"/>
        </w:rPr>
        <w:t xml:space="preserve"> provides work ‘when it is convenient for him.’</w:t>
      </w:r>
      <w:r w:rsidRPr="00B77102">
        <w:rPr>
          <w:rStyle w:val="FootnoteReference"/>
          <w:sz w:val="24"/>
          <w:szCs w:val="24"/>
        </w:rPr>
        <w:footnoteReference w:id="22"/>
      </w:r>
      <w:r w:rsidRPr="00B77102">
        <w:rPr>
          <w:sz w:val="24"/>
          <w:szCs w:val="24"/>
        </w:rPr>
        <w:t xml:space="preserve"> The vassals are being portrayed as slaves. The writer states ‘the poor are no more exempt than </w:t>
      </w:r>
      <w:r w:rsidRPr="00B77102">
        <w:rPr>
          <w:sz w:val="24"/>
          <w:szCs w:val="24"/>
        </w:rPr>
        <w:lastRenderedPageBreak/>
        <w:t>the richest inhabitant’</w:t>
      </w:r>
      <w:r w:rsidRPr="00B77102">
        <w:rPr>
          <w:rStyle w:val="FootnoteReference"/>
          <w:sz w:val="24"/>
          <w:szCs w:val="24"/>
        </w:rPr>
        <w:footnoteReference w:id="23"/>
      </w:r>
      <w:r w:rsidRPr="00B77102">
        <w:rPr>
          <w:sz w:val="24"/>
          <w:szCs w:val="24"/>
        </w:rPr>
        <w:t xml:space="preserve"> this indicates the distribution of tax is not fair and hitting the poor the hardest. Beating the woods is where the people seem more frustrated. They beat the woods for the Lord to hunt and miss out on a day’s work but receive nothing in return. These statements put forward by the people demonstrate economic inequality but also inequality in labour. </w:t>
      </w:r>
    </w:p>
    <w:p w14:paraId="119D77CC" w14:textId="77777777" w:rsidR="002470C7" w:rsidRPr="00B77102" w:rsidRDefault="002470C7" w:rsidP="002470C7">
      <w:pPr>
        <w:rPr>
          <w:sz w:val="24"/>
          <w:szCs w:val="24"/>
        </w:rPr>
      </w:pPr>
      <w:r w:rsidRPr="00B77102">
        <w:rPr>
          <w:sz w:val="24"/>
          <w:szCs w:val="24"/>
        </w:rPr>
        <w:t xml:space="preserve">Political-economic issues are highlighted in the petition. The people were trying to explain the corruption, greed of the feudal lord and put forth the unjust they must live with. In the last part of the petition the people explain how on many occasions they have taken the </w:t>
      </w:r>
      <w:proofErr w:type="spellStart"/>
      <w:r w:rsidRPr="00B77102">
        <w:rPr>
          <w:sz w:val="24"/>
          <w:szCs w:val="24"/>
        </w:rPr>
        <w:t>seigneur</w:t>
      </w:r>
      <w:proofErr w:type="spellEnd"/>
      <w:r w:rsidRPr="00B77102">
        <w:rPr>
          <w:sz w:val="24"/>
          <w:szCs w:val="24"/>
        </w:rPr>
        <w:t xml:space="preserve"> to court, in the hope he will be legally bound to follow the rules and not make up his own rights and laws. The corruption of the judicial system is highlighted when the writer explains how the lord is compensated if people refuse to beat the wood, ‘his judge never fails to rule in favour.’</w:t>
      </w:r>
    </w:p>
    <w:p w14:paraId="61099470" w14:textId="77777777" w:rsidR="002470C7" w:rsidRPr="00B77102" w:rsidRDefault="002470C7" w:rsidP="002470C7">
      <w:pPr>
        <w:rPr>
          <w:sz w:val="24"/>
          <w:szCs w:val="24"/>
        </w:rPr>
      </w:pPr>
      <w:r w:rsidRPr="00B77102">
        <w:rPr>
          <w:sz w:val="24"/>
          <w:szCs w:val="24"/>
        </w:rPr>
        <w:t xml:space="preserve">This petition by the rural communities of </w:t>
      </w:r>
      <w:proofErr w:type="spellStart"/>
      <w:r w:rsidRPr="00B77102">
        <w:rPr>
          <w:sz w:val="24"/>
          <w:szCs w:val="24"/>
        </w:rPr>
        <w:t>Montjoye-Vaufrey</w:t>
      </w:r>
      <w:proofErr w:type="spellEnd"/>
      <w:r w:rsidRPr="00B77102">
        <w:rPr>
          <w:sz w:val="24"/>
          <w:szCs w:val="24"/>
        </w:rPr>
        <w:t xml:space="preserve"> is very significant to understanding how the third estate were suffering under the ancient regime and corrupt feudal lords. The ‘rising of new social forces’</w:t>
      </w:r>
      <w:r w:rsidRPr="00B77102">
        <w:rPr>
          <w:rStyle w:val="FootnoteReference"/>
          <w:sz w:val="24"/>
          <w:szCs w:val="24"/>
        </w:rPr>
        <w:footnoteReference w:id="24"/>
      </w:r>
      <w:r w:rsidRPr="00B77102">
        <w:rPr>
          <w:sz w:val="24"/>
          <w:szCs w:val="24"/>
        </w:rPr>
        <w:t xml:space="preserve"> enlightened thinkers and their works are inspiring people to speak out against poor living conditions in France. This source also provides an insight into wider social, economic, political factors that may have contributed to the revolution of 1789</w:t>
      </w:r>
    </w:p>
    <w:p w14:paraId="479089E4" w14:textId="77777777" w:rsidR="002470C7" w:rsidRPr="00B77102" w:rsidRDefault="002470C7" w:rsidP="002470C7">
      <w:pPr>
        <w:rPr>
          <w:sz w:val="24"/>
          <w:szCs w:val="24"/>
        </w:rPr>
      </w:pPr>
    </w:p>
    <w:p w14:paraId="0F06DDAD" w14:textId="77777777" w:rsidR="002470C7" w:rsidRPr="00B77102" w:rsidRDefault="002470C7" w:rsidP="002470C7">
      <w:pPr>
        <w:rPr>
          <w:sz w:val="24"/>
          <w:szCs w:val="24"/>
        </w:rPr>
      </w:pPr>
    </w:p>
    <w:p w14:paraId="2F1AA502" w14:textId="77777777" w:rsidR="002470C7" w:rsidRPr="00B77102" w:rsidRDefault="002470C7" w:rsidP="002470C7">
      <w:pPr>
        <w:rPr>
          <w:b/>
          <w:sz w:val="24"/>
          <w:szCs w:val="24"/>
          <w:u w:val="single"/>
        </w:rPr>
      </w:pPr>
      <w:r w:rsidRPr="00B77102">
        <w:rPr>
          <w:b/>
          <w:sz w:val="24"/>
          <w:szCs w:val="24"/>
          <w:u w:val="single"/>
        </w:rPr>
        <w:t xml:space="preserve">Bibliography </w:t>
      </w:r>
    </w:p>
    <w:p w14:paraId="2C390522" w14:textId="77777777" w:rsidR="002470C7" w:rsidRPr="00B77102" w:rsidRDefault="002470C7" w:rsidP="002470C7">
      <w:pPr>
        <w:rPr>
          <w:sz w:val="24"/>
          <w:szCs w:val="24"/>
          <w:u w:val="single"/>
        </w:rPr>
      </w:pPr>
      <w:r w:rsidRPr="00B77102">
        <w:rPr>
          <w:sz w:val="24"/>
          <w:szCs w:val="24"/>
          <w:u w:val="single"/>
        </w:rPr>
        <w:t>Primary source</w:t>
      </w:r>
    </w:p>
    <w:p w14:paraId="2286C72A" w14:textId="77777777" w:rsidR="002470C7" w:rsidRPr="00B77102" w:rsidRDefault="002470C7" w:rsidP="002470C7">
      <w:pPr>
        <w:rPr>
          <w:sz w:val="24"/>
          <w:szCs w:val="24"/>
        </w:rPr>
      </w:pPr>
      <w:r w:rsidRPr="00B77102">
        <w:rPr>
          <w:sz w:val="24"/>
          <w:szCs w:val="24"/>
        </w:rPr>
        <w:t>Cahiers from Rural Districts, Attack on Seigneurial Dues, http://chnm.gmu.edu/revolution/exhibits/show/liberty--equality--fraternity/item/3136</w:t>
      </w:r>
      <w:r w:rsidRPr="00B77102">
        <w:rPr>
          <w:sz w:val="24"/>
          <w:szCs w:val="24"/>
          <w:u w:val="single"/>
        </w:rPr>
        <w:t xml:space="preserve">  </w:t>
      </w:r>
    </w:p>
    <w:p w14:paraId="2793599F" w14:textId="77777777" w:rsidR="002470C7" w:rsidRPr="00B77102" w:rsidRDefault="002470C7" w:rsidP="002470C7">
      <w:pPr>
        <w:rPr>
          <w:sz w:val="24"/>
          <w:szCs w:val="24"/>
        </w:rPr>
      </w:pPr>
      <w:r w:rsidRPr="00B77102">
        <w:rPr>
          <w:sz w:val="24"/>
          <w:szCs w:val="24"/>
          <w:u w:val="single"/>
        </w:rPr>
        <w:t>Secondary Source</w:t>
      </w:r>
    </w:p>
    <w:p w14:paraId="5AE1E78D" w14:textId="77777777" w:rsidR="002470C7" w:rsidRPr="00B77102" w:rsidRDefault="002470C7" w:rsidP="002470C7">
      <w:pPr>
        <w:rPr>
          <w:sz w:val="24"/>
          <w:szCs w:val="24"/>
        </w:rPr>
      </w:pPr>
      <w:proofErr w:type="spellStart"/>
      <w:r w:rsidRPr="00B77102">
        <w:rPr>
          <w:sz w:val="24"/>
          <w:szCs w:val="24"/>
        </w:rPr>
        <w:t>Hobsbawm</w:t>
      </w:r>
      <w:proofErr w:type="spellEnd"/>
      <w:r w:rsidRPr="00B77102">
        <w:rPr>
          <w:sz w:val="24"/>
          <w:szCs w:val="24"/>
        </w:rPr>
        <w:t>. E, THE AGE OF REVOLUTION 1789-1848, (London: Abacus, 1977)</w:t>
      </w:r>
    </w:p>
    <w:p w14:paraId="1572F444" w14:textId="758D2C8F" w:rsidR="002470C7" w:rsidRPr="00B77102" w:rsidRDefault="002470C7">
      <w:pPr>
        <w:rPr>
          <w:sz w:val="24"/>
          <w:szCs w:val="24"/>
        </w:rPr>
      </w:pPr>
      <w:r w:rsidRPr="00B77102">
        <w:rPr>
          <w:sz w:val="24"/>
          <w:szCs w:val="24"/>
        </w:rPr>
        <w:br w:type="page"/>
      </w:r>
    </w:p>
    <w:p w14:paraId="45FFCF86" w14:textId="77777777" w:rsidR="003D1AD3" w:rsidRPr="00B77102" w:rsidRDefault="003D1AD3" w:rsidP="003D1AD3">
      <w:pPr>
        <w:jc w:val="center"/>
        <w:rPr>
          <w:rFonts w:ascii="Arial" w:hAnsi="Arial" w:cs="Arial"/>
          <w:color w:val="222222"/>
          <w:sz w:val="24"/>
          <w:szCs w:val="24"/>
          <w:u w:val="single"/>
        </w:rPr>
      </w:pPr>
      <w:r w:rsidRPr="00B77102">
        <w:rPr>
          <w:rFonts w:ascii="Arial" w:hAnsi="Arial" w:cs="Arial"/>
          <w:color w:val="222222"/>
          <w:sz w:val="24"/>
          <w:szCs w:val="24"/>
          <w:u w:val="single"/>
        </w:rPr>
        <w:lastRenderedPageBreak/>
        <w:t>Assessment 1: Word-processed gobbet</w:t>
      </w:r>
    </w:p>
    <w:p w14:paraId="01C91456" w14:textId="77777777" w:rsidR="003D1AD3" w:rsidRPr="00B77102" w:rsidRDefault="003D1AD3" w:rsidP="003D1AD3">
      <w:pPr>
        <w:jc w:val="both"/>
        <w:rPr>
          <w:sz w:val="24"/>
          <w:szCs w:val="24"/>
        </w:rPr>
      </w:pPr>
    </w:p>
    <w:p w14:paraId="1A1DD3C1" w14:textId="77777777" w:rsidR="003D1AD3" w:rsidRPr="00B77102" w:rsidRDefault="003D1AD3" w:rsidP="003D1AD3">
      <w:pPr>
        <w:jc w:val="both"/>
        <w:rPr>
          <w:sz w:val="24"/>
          <w:szCs w:val="24"/>
        </w:rPr>
      </w:pPr>
      <w:r w:rsidRPr="00B77102">
        <w:rPr>
          <w:sz w:val="24"/>
          <w:szCs w:val="24"/>
        </w:rPr>
        <w:t xml:space="preserve">For my gobbet analysis, I have decided to focus on the portrait of King Louis XIV painted by </w:t>
      </w:r>
      <w:proofErr w:type="spellStart"/>
      <w:r w:rsidRPr="00B77102">
        <w:rPr>
          <w:sz w:val="24"/>
          <w:szCs w:val="24"/>
        </w:rPr>
        <w:t>Hyacinthe</w:t>
      </w:r>
      <w:proofErr w:type="spellEnd"/>
      <w:r w:rsidRPr="00B77102">
        <w:rPr>
          <w:sz w:val="24"/>
          <w:szCs w:val="24"/>
        </w:rPr>
        <w:t xml:space="preserve"> </w:t>
      </w:r>
      <w:proofErr w:type="spellStart"/>
      <w:r w:rsidRPr="00B77102">
        <w:rPr>
          <w:sz w:val="24"/>
          <w:szCs w:val="24"/>
        </w:rPr>
        <w:t>Rigaud</w:t>
      </w:r>
      <w:proofErr w:type="spellEnd"/>
      <w:r w:rsidRPr="00B77102">
        <w:rPr>
          <w:sz w:val="24"/>
          <w:szCs w:val="24"/>
        </w:rPr>
        <w:t xml:space="preserve">. I will discuss the context, content and significance of the portrait. </w:t>
      </w:r>
    </w:p>
    <w:p w14:paraId="0551428D" w14:textId="77777777" w:rsidR="003D1AD3" w:rsidRPr="00B77102" w:rsidRDefault="003D1AD3" w:rsidP="003D1AD3">
      <w:pPr>
        <w:jc w:val="both"/>
        <w:rPr>
          <w:rFonts w:cstheme="minorHAnsi"/>
          <w:sz w:val="24"/>
          <w:szCs w:val="24"/>
        </w:rPr>
      </w:pPr>
      <w:proofErr w:type="spellStart"/>
      <w:r w:rsidRPr="00B77102">
        <w:rPr>
          <w:sz w:val="24"/>
          <w:szCs w:val="24"/>
        </w:rPr>
        <w:t>Hyacinthe</w:t>
      </w:r>
      <w:proofErr w:type="spellEnd"/>
      <w:r w:rsidRPr="00B77102">
        <w:rPr>
          <w:sz w:val="24"/>
          <w:szCs w:val="24"/>
        </w:rPr>
        <w:t xml:space="preserve"> </w:t>
      </w:r>
      <w:proofErr w:type="spellStart"/>
      <w:r w:rsidRPr="00B77102">
        <w:rPr>
          <w:sz w:val="24"/>
          <w:szCs w:val="24"/>
        </w:rPr>
        <w:t>Rigaud</w:t>
      </w:r>
      <w:proofErr w:type="spellEnd"/>
      <w:r w:rsidRPr="00B77102">
        <w:rPr>
          <w:sz w:val="24"/>
          <w:szCs w:val="24"/>
        </w:rPr>
        <w:t xml:space="preserve"> was born in 1659 in Perpignan and decided to become a portrait painter because portrait painting was the highest level of expression in the painting genre. “</w:t>
      </w:r>
      <w:proofErr w:type="spellStart"/>
      <w:r w:rsidRPr="00B77102">
        <w:rPr>
          <w:rFonts w:cstheme="minorHAnsi"/>
          <w:sz w:val="24"/>
          <w:szCs w:val="24"/>
        </w:rPr>
        <w:t>Rigaud</w:t>
      </w:r>
      <w:proofErr w:type="spellEnd"/>
      <w:r w:rsidRPr="00B77102">
        <w:rPr>
          <w:rFonts w:cstheme="minorHAnsi"/>
          <w:sz w:val="24"/>
          <w:szCs w:val="24"/>
        </w:rPr>
        <w:t xml:space="preserve"> set the standard for official portraits in European Courts for three centuries”.</w:t>
      </w:r>
      <w:r w:rsidRPr="00B77102">
        <w:rPr>
          <w:rStyle w:val="FootnoteReference"/>
          <w:rFonts w:cstheme="minorHAnsi"/>
          <w:sz w:val="24"/>
          <w:szCs w:val="24"/>
        </w:rPr>
        <w:footnoteReference w:id="25"/>
      </w:r>
      <w:r w:rsidRPr="00B77102">
        <w:rPr>
          <w:rFonts w:cstheme="minorHAnsi"/>
          <w:sz w:val="24"/>
          <w:szCs w:val="24"/>
        </w:rPr>
        <w:t xml:space="preserve"> This extract demonstrates that </w:t>
      </w:r>
      <w:proofErr w:type="spellStart"/>
      <w:r w:rsidRPr="00B77102">
        <w:rPr>
          <w:rFonts w:cstheme="minorHAnsi"/>
          <w:sz w:val="24"/>
          <w:szCs w:val="24"/>
        </w:rPr>
        <w:t>Rigaud</w:t>
      </w:r>
      <w:proofErr w:type="spellEnd"/>
      <w:r w:rsidRPr="00B77102">
        <w:rPr>
          <w:rFonts w:cstheme="minorHAnsi"/>
          <w:sz w:val="24"/>
          <w:szCs w:val="24"/>
        </w:rPr>
        <w:t xml:space="preserve"> was considered the greatest portrait painter of his time, he was an expert at capturing the likenesses of those he was painting. </w:t>
      </w:r>
      <w:proofErr w:type="spellStart"/>
      <w:r w:rsidRPr="00B77102">
        <w:rPr>
          <w:rFonts w:cstheme="minorHAnsi"/>
          <w:sz w:val="24"/>
          <w:szCs w:val="24"/>
        </w:rPr>
        <w:t>Rigaud</w:t>
      </w:r>
      <w:proofErr w:type="spellEnd"/>
      <w:r w:rsidRPr="00B77102">
        <w:rPr>
          <w:rFonts w:cstheme="minorHAnsi"/>
          <w:sz w:val="24"/>
          <w:szCs w:val="24"/>
        </w:rPr>
        <w:t xml:space="preserve"> was also highly skilled with creating the details of the portraits backgrounds and costumes the subject was wearing. These skills of </w:t>
      </w:r>
      <w:proofErr w:type="spellStart"/>
      <w:r w:rsidRPr="00B77102">
        <w:rPr>
          <w:rFonts w:cstheme="minorHAnsi"/>
          <w:sz w:val="24"/>
          <w:szCs w:val="24"/>
        </w:rPr>
        <w:t>Rigaud</w:t>
      </w:r>
      <w:proofErr w:type="spellEnd"/>
      <w:r w:rsidRPr="00B77102">
        <w:rPr>
          <w:rFonts w:cstheme="minorHAnsi"/>
          <w:sz w:val="24"/>
          <w:szCs w:val="24"/>
        </w:rPr>
        <w:t xml:space="preserve"> would have been instrumental in creating the perfect portrait for Louis XIV, and in the process interpreting the message Louis XIV would have wanted to convey to his subjects. These skills of </w:t>
      </w:r>
      <w:proofErr w:type="spellStart"/>
      <w:r w:rsidRPr="00B77102">
        <w:rPr>
          <w:rFonts w:cstheme="minorHAnsi"/>
          <w:sz w:val="24"/>
          <w:szCs w:val="24"/>
        </w:rPr>
        <w:t>Rigaud</w:t>
      </w:r>
      <w:proofErr w:type="spellEnd"/>
      <w:r w:rsidRPr="00B77102">
        <w:rPr>
          <w:rFonts w:cstheme="minorHAnsi"/>
          <w:sz w:val="24"/>
          <w:szCs w:val="24"/>
        </w:rPr>
        <w:t xml:space="preserve"> demonstrates why he was chosen by Louis XIV to paint his portrait, this lead to </w:t>
      </w:r>
      <w:proofErr w:type="spellStart"/>
      <w:r w:rsidRPr="00B77102">
        <w:rPr>
          <w:rFonts w:cstheme="minorHAnsi"/>
          <w:sz w:val="24"/>
          <w:szCs w:val="24"/>
        </w:rPr>
        <w:t>Rigaud</w:t>
      </w:r>
      <w:proofErr w:type="spellEnd"/>
      <w:r w:rsidRPr="00B77102">
        <w:rPr>
          <w:rFonts w:cstheme="minorHAnsi"/>
          <w:sz w:val="24"/>
          <w:szCs w:val="24"/>
        </w:rPr>
        <w:t xml:space="preserve"> becoming principal painter to the king. </w:t>
      </w:r>
      <w:proofErr w:type="spellStart"/>
      <w:r w:rsidRPr="00B77102">
        <w:rPr>
          <w:rFonts w:cstheme="minorHAnsi"/>
          <w:sz w:val="24"/>
          <w:szCs w:val="24"/>
        </w:rPr>
        <w:t>Rigaud</w:t>
      </w:r>
      <w:proofErr w:type="spellEnd"/>
      <w:r w:rsidRPr="00B77102">
        <w:rPr>
          <w:rFonts w:cstheme="minorHAnsi"/>
          <w:sz w:val="24"/>
          <w:szCs w:val="24"/>
        </w:rPr>
        <w:t xml:space="preserve"> was also part of the court of Versailles up until his death in 1743. </w:t>
      </w:r>
    </w:p>
    <w:p w14:paraId="1972BE84" w14:textId="77777777" w:rsidR="003D1AD3" w:rsidRPr="00B77102" w:rsidRDefault="003D1AD3" w:rsidP="003D1AD3">
      <w:pPr>
        <w:jc w:val="both"/>
        <w:rPr>
          <w:rFonts w:cstheme="minorHAnsi"/>
          <w:sz w:val="24"/>
          <w:szCs w:val="24"/>
        </w:rPr>
      </w:pPr>
      <w:r w:rsidRPr="00B77102">
        <w:rPr>
          <w:rFonts w:cstheme="minorHAnsi"/>
          <w:sz w:val="24"/>
          <w:szCs w:val="24"/>
        </w:rPr>
        <w:t>The portrait was originally commissioned by Louis XIV as a gift for Phillip V of Spain (</w:t>
      </w:r>
      <w:proofErr w:type="gramStart"/>
      <w:r w:rsidRPr="00B77102">
        <w:rPr>
          <w:rFonts w:cstheme="minorHAnsi"/>
          <w:sz w:val="24"/>
          <w:szCs w:val="24"/>
        </w:rPr>
        <w:t>his  grandson</w:t>
      </w:r>
      <w:proofErr w:type="gramEnd"/>
      <w:r w:rsidRPr="00B77102">
        <w:rPr>
          <w:rFonts w:cstheme="minorHAnsi"/>
          <w:sz w:val="24"/>
          <w:szCs w:val="24"/>
        </w:rPr>
        <w:t xml:space="preserve">). However, due to </w:t>
      </w:r>
      <w:proofErr w:type="spellStart"/>
      <w:r w:rsidRPr="00B77102">
        <w:rPr>
          <w:rFonts w:cstheme="minorHAnsi"/>
          <w:sz w:val="24"/>
          <w:szCs w:val="24"/>
        </w:rPr>
        <w:t>Rigaud</w:t>
      </w:r>
      <w:proofErr w:type="spellEnd"/>
      <w:r w:rsidRPr="00B77102">
        <w:rPr>
          <w:rFonts w:cstheme="minorHAnsi"/>
          <w:sz w:val="24"/>
          <w:szCs w:val="24"/>
        </w:rPr>
        <w:t xml:space="preserve"> perfectly capturing the power of Louis XIV, a copy was made for the king and hung above his throne and was moved into the court chamber to represent the king when he was absent. This demonstrates important historical significance because despite starting as gift, the painting was used to ensure Louis XIV power was always on display and present to his subjects even if the king was absent. The portrait captures the outfit of Louis XIV and is used to demonstrate the type of clothing that was worn by royalty and higher nobles during this period.    </w:t>
      </w:r>
    </w:p>
    <w:p w14:paraId="620396A2" w14:textId="77777777" w:rsidR="003D1AD3" w:rsidRPr="00B77102" w:rsidRDefault="003D1AD3" w:rsidP="003D1AD3">
      <w:pPr>
        <w:jc w:val="both"/>
        <w:rPr>
          <w:rFonts w:cstheme="minorHAnsi"/>
          <w:sz w:val="24"/>
          <w:szCs w:val="24"/>
        </w:rPr>
      </w:pPr>
      <w:r w:rsidRPr="00B77102">
        <w:rPr>
          <w:rFonts w:cstheme="minorHAnsi"/>
          <w:sz w:val="24"/>
          <w:szCs w:val="24"/>
        </w:rPr>
        <w:t xml:space="preserve">Louis XIV believed he ruled by divine right and believed his authority was given directly from God, as a result Louis XIV ruled with absolute confidence in his abilities and crushed any emerging rebellions. In </w:t>
      </w:r>
      <w:proofErr w:type="spellStart"/>
      <w:r w:rsidRPr="00B77102">
        <w:rPr>
          <w:rFonts w:cstheme="minorHAnsi"/>
          <w:sz w:val="24"/>
          <w:szCs w:val="24"/>
        </w:rPr>
        <w:t>Rigaud’s</w:t>
      </w:r>
      <w:proofErr w:type="spellEnd"/>
      <w:r w:rsidRPr="00B77102">
        <w:rPr>
          <w:rFonts w:cstheme="minorHAnsi"/>
          <w:sz w:val="24"/>
          <w:szCs w:val="24"/>
        </w:rPr>
        <w:t xml:space="preserve"> portrait, he displays these characteristics by standing centre </w:t>
      </w:r>
      <w:proofErr w:type="gramStart"/>
      <w:r w:rsidRPr="00B77102">
        <w:rPr>
          <w:rFonts w:cstheme="minorHAnsi"/>
          <w:sz w:val="24"/>
          <w:szCs w:val="24"/>
        </w:rPr>
        <w:t>of  the</w:t>
      </w:r>
      <w:proofErr w:type="gramEnd"/>
      <w:r w:rsidRPr="00B77102">
        <w:rPr>
          <w:rFonts w:cstheme="minorHAnsi"/>
          <w:sz w:val="24"/>
          <w:szCs w:val="24"/>
        </w:rPr>
        <w:t xml:space="preserve"> frame with his body at an angle whilst looking directly down at the audience, this conveys the confidence, elegance and superiority expected of royalty. The fleur-de-lis is a stylize lily and was adopted by the French monarchy as their symbol. The coronation robe Louis is wearing in the portrait is adorned with the fleur-de-lis. I believe Louis wore this robe in his portrait in order to reinforce the message of absolute supremacy of the French monarchy and his divine right to rule. We also see Louis XIV crown and throne depicted in the background, I believe this further exemplifies the theme of power and dominance of the French monarchy.</w:t>
      </w:r>
    </w:p>
    <w:p w14:paraId="3EB6A609" w14:textId="77777777" w:rsidR="003D1AD3" w:rsidRPr="00B77102" w:rsidRDefault="003D1AD3" w:rsidP="003D1AD3">
      <w:pPr>
        <w:jc w:val="both"/>
        <w:rPr>
          <w:rFonts w:cstheme="minorHAnsi"/>
          <w:sz w:val="24"/>
          <w:szCs w:val="24"/>
        </w:rPr>
      </w:pPr>
      <w:r w:rsidRPr="00B77102">
        <w:rPr>
          <w:rFonts w:cstheme="minorHAnsi"/>
          <w:sz w:val="24"/>
          <w:szCs w:val="24"/>
        </w:rPr>
        <w:t xml:space="preserve">A sword is seen hanging from the hip of Louis XIV, I believe this is intentional and intended to draw the eyes of the audience and demonstrate the power of the king. I also believe it demonstrates his military prowess and also indicates that he is ready to strike at any threat </w:t>
      </w:r>
      <w:r w:rsidRPr="00B77102">
        <w:rPr>
          <w:rFonts w:cstheme="minorHAnsi"/>
          <w:sz w:val="24"/>
          <w:szCs w:val="24"/>
        </w:rPr>
        <w:lastRenderedPageBreak/>
        <w:t xml:space="preserve">directed at himself or his kingdom. We also see a marble column on the left side of the portrait, </w:t>
      </w:r>
      <w:proofErr w:type="spellStart"/>
      <w:r w:rsidRPr="00B77102">
        <w:rPr>
          <w:rFonts w:cstheme="minorHAnsi"/>
          <w:sz w:val="24"/>
          <w:szCs w:val="24"/>
        </w:rPr>
        <w:t>Rigaud</w:t>
      </w:r>
      <w:proofErr w:type="spellEnd"/>
      <w:r w:rsidRPr="00B77102">
        <w:rPr>
          <w:rFonts w:cstheme="minorHAnsi"/>
          <w:sz w:val="24"/>
          <w:szCs w:val="24"/>
        </w:rPr>
        <w:t xml:space="preserve"> may have included this in the portrait as a way to symbolise the strength and power of Louis XIV as a king. A large red canopy curtain dominates the portrait, red was often a colour that was associated with nobility. I believe this was included to further cement the fact Louis XIV had absolute rule over the kingdom and would remind everyone of his supreme nobility. </w:t>
      </w:r>
    </w:p>
    <w:p w14:paraId="000C714E" w14:textId="77777777" w:rsidR="003D1AD3" w:rsidRPr="00B77102" w:rsidRDefault="003D1AD3" w:rsidP="003D1AD3">
      <w:pPr>
        <w:jc w:val="both"/>
        <w:rPr>
          <w:rFonts w:cstheme="minorHAnsi"/>
          <w:sz w:val="24"/>
          <w:szCs w:val="24"/>
        </w:rPr>
      </w:pPr>
      <w:r w:rsidRPr="00B77102">
        <w:rPr>
          <w:rFonts w:cstheme="minorHAnsi"/>
          <w:sz w:val="24"/>
          <w:szCs w:val="24"/>
        </w:rPr>
        <w:t xml:space="preserve">In my opinion I believe the portrait </w:t>
      </w:r>
      <w:proofErr w:type="gramStart"/>
      <w:r w:rsidRPr="00B77102">
        <w:rPr>
          <w:rFonts w:cstheme="minorHAnsi"/>
          <w:sz w:val="24"/>
          <w:szCs w:val="24"/>
        </w:rPr>
        <w:t>of  King</w:t>
      </w:r>
      <w:proofErr w:type="gramEnd"/>
      <w:r w:rsidRPr="00B77102">
        <w:rPr>
          <w:rFonts w:cstheme="minorHAnsi"/>
          <w:sz w:val="24"/>
          <w:szCs w:val="24"/>
        </w:rPr>
        <w:t xml:space="preserve"> Louis XIV is of great historical significance because it truly demonstrates just how much dominance and rule the he had over the people of France. However the portrait also demonstrates Louis XIV’s high confidence and success and helps gives us an insight into the personality and beliefs of the king that established France as the leading power in Europe at the time.  </w:t>
      </w:r>
    </w:p>
    <w:p w14:paraId="78635C21" w14:textId="77777777" w:rsidR="003D1AD3" w:rsidRPr="00B77102" w:rsidRDefault="003D1AD3" w:rsidP="003D1AD3">
      <w:pPr>
        <w:jc w:val="both"/>
        <w:rPr>
          <w:rFonts w:cstheme="minorHAnsi"/>
          <w:sz w:val="24"/>
          <w:szCs w:val="24"/>
        </w:rPr>
      </w:pPr>
    </w:p>
    <w:p w14:paraId="16D250EF" w14:textId="77777777" w:rsidR="003D1AD3" w:rsidRPr="00B77102" w:rsidRDefault="003D1AD3" w:rsidP="003D1AD3">
      <w:pPr>
        <w:rPr>
          <w:rFonts w:cstheme="minorHAnsi"/>
          <w:sz w:val="24"/>
          <w:szCs w:val="24"/>
        </w:rPr>
      </w:pPr>
    </w:p>
    <w:p w14:paraId="1D779427" w14:textId="77777777" w:rsidR="003D1AD3" w:rsidRPr="00B77102" w:rsidRDefault="003D1AD3" w:rsidP="003D1AD3">
      <w:pPr>
        <w:rPr>
          <w:rFonts w:cstheme="minorHAnsi"/>
          <w:sz w:val="24"/>
          <w:szCs w:val="24"/>
        </w:rPr>
      </w:pPr>
    </w:p>
    <w:p w14:paraId="19A6A2ED" w14:textId="77777777" w:rsidR="003D1AD3" w:rsidRPr="00B77102" w:rsidRDefault="003D1AD3" w:rsidP="003D1AD3">
      <w:pPr>
        <w:rPr>
          <w:rFonts w:cstheme="minorHAnsi"/>
          <w:sz w:val="24"/>
          <w:szCs w:val="24"/>
        </w:rPr>
      </w:pPr>
    </w:p>
    <w:p w14:paraId="28C51E3D" w14:textId="77777777" w:rsidR="003D1AD3" w:rsidRPr="00B77102" w:rsidRDefault="003D1AD3" w:rsidP="003D1AD3">
      <w:pPr>
        <w:jc w:val="center"/>
        <w:rPr>
          <w:rFonts w:cstheme="minorHAnsi"/>
          <w:sz w:val="24"/>
          <w:szCs w:val="24"/>
          <w:u w:val="single"/>
        </w:rPr>
      </w:pPr>
      <w:r w:rsidRPr="00B77102">
        <w:rPr>
          <w:rFonts w:cstheme="minorHAnsi"/>
          <w:sz w:val="24"/>
          <w:szCs w:val="24"/>
          <w:u w:val="single"/>
        </w:rPr>
        <w:t>Reference</w:t>
      </w:r>
    </w:p>
    <w:p w14:paraId="0AF6AE9A" w14:textId="7629F3DE" w:rsidR="0010352B" w:rsidRPr="00B77102" w:rsidRDefault="003D1AD3" w:rsidP="003D1AD3">
      <w:pPr>
        <w:rPr>
          <w:rFonts w:ascii="Arial" w:eastAsia="Times New Roman" w:hAnsi="Arial" w:cs="Arial"/>
          <w:color w:val="000000"/>
          <w:sz w:val="24"/>
          <w:szCs w:val="24"/>
          <w:lang w:eastAsia="en-GB"/>
        </w:rPr>
      </w:pPr>
      <w:r w:rsidRPr="00B77102">
        <w:rPr>
          <w:sz w:val="24"/>
          <w:szCs w:val="24"/>
        </w:rPr>
        <w:t xml:space="preserve">1. </w:t>
      </w:r>
      <w:r w:rsidRPr="00B77102">
        <w:rPr>
          <w:rFonts w:ascii="Arial" w:eastAsia="Times New Roman" w:hAnsi="Arial" w:cs="Arial"/>
          <w:color w:val="000000"/>
          <w:sz w:val="24"/>
          <w:szCs w:val="24"/>
          <w:lang w:eastAsia="en-GB"/>
        </w:rPr>
        <w:t>Chateau De Versailles, ‘</w:t>
      </w:r>
      <w:proofErr w:type="spellStart"/>
      <w:r w:rsidRPr="00B77102">
        <w:rPr>
          <w:rFonts w:ascii="Arial" w:eastAsia="Times New Roman" w:hAnsi="Arial" w:cs="Arial"/>
          <w:i/>
          <w:iCs/>
          <w:color w:val="000000"/>
          <w:sz w:val="24"/>
          <w:szCs w:val="24"/>
          <w:lang w:eastAsia="en-GB"/>
        </w:rPr>
        <w:t>Hyacinthe</w:t>
      </w:r>
      <w:proofErr w:type="spellEnd"/>
      <w:r w:rsidRPr="00B77102">
        <w:rPr>
          <w:rFonts w:ascii="Arial" w:eastAsia="Times New Roman" w:hAnsi="Arial" w:cs="Arial"/>
          <w:i/>
          <w:iCs/>
          <w:color w:val="000000"/>
          <w:sz w:val="24"/>
          <w:szCs w:val="24"/>
          <w:lang w:eastAsia="en-GB"/>
        </w:rPr>
        <w:t xml:space="preserve"> </w:t>
      </w:r>
      <w:proofErr w:type="spellStart"/>
      <w:r w:rsidRPr="00B77102">
        <w:rPr>
          <w:rFonts w:ascii="Arial" w:eastAsia="Times New Roman" w:hAnsi="Arial" w:cs="Arial"/>
          <w:i/>
          <w:iCs/>
          <w:color w:val="000000"/>
          <w:sz w:val="24"/>
          <w:szCs w:val="24"/>
          <w:lang w:eastAsia="en-GB"/>
        </w:rPr>
        <w:t>Rigaud</w:t>
      </w:r>
      <w:proofErr w:type="spellEnd"/>
      <w:r w:rsidRPr="00B77102">
        <w:rPr>
          <w:rFonts w:ascii="Arial" w:eastAsia="Times New Roman" w:hAnsi="Arial" w:cs="Arial"/>
          <w:i/>
          <w:iCs/>
          <w:color w:val="000000"/>
          <w:sz w:val="24"/>
          <w:szCs w:val="24"/>
          <w:lang w:eastAsia="en-GB"/>
        </w:rPr>
        <w:t>’</w:t>
      </w:r>
      <w:r w:rsidRPr="00B77102">
        <w:rPr>
          <w:rFonts w:ascii="Arial" w:eastAsia="Times New Roman" w:hAnsi="Arial" w:cs="Arial"/>
          <w:color w:val="000000"/>
          <w:sz w:val="24"/>
          <w:szCs w:val="24"/>
          <w:lang w:eastAsia="en-GB"/>
        </w:rPr>
        <w:t xml:space="preserve"> (2018) &lt;http://en.chateauversailles.fr/discover/history/great-characters/hyacinthe-rigaud&gt; [accessed 29 October 2018].</w:t>
      </w:r>
      <w:bookmarkEnd w:id="0"/>
    </w:p>
    <w:sectPr w:rsidR="0010352B" w:rsidRPr="00B7710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3230F3F" w14:textId="77777777" w:rsidR="00545A03" w:rsidRDefault="00545A03" w:rsidP="00BF3620">
      <w:pPr>
        <w:spacing w:after="0" w:line="240" w:lineRule="auto"/>
      </w:pPr>
      <w:r>
        <w:separator/>
      </w:r>
    </w:p>
  </w:endnote>
  <w:endnote w:type="continuationSeparator" w:id="0">
    <w:p w14:paraId="7695EB41" w14:textId="77777777" w:rsidR="00545A03" w:rsidRDefault="00545A03" w:rsidP="00BF36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6F418" w14:textId="77777777" w:rsidR="00545A03" w:rsidRDefault="00545A03" w:rsidP="00BF3620">
      <w:pPr>
        <w:spacing w:after="0" w:line="240" w:lineRule="auto"/>
      </w:pPr>
      <w:r>
        <w:separator/>
      </w:r>
    </w:p>
  </w:footnote>
  <w:footnote w:type="continuationSeparator" w:id="0">
    <w:p w14:paraId="39D56B72" w14:textId="77777777" w:rsidR="00545A03" w:rsidRDefault="00545A03" w:rsidP="00BF3620">
      <w:pPr>
        <w:spacing w:after="0" w:line="240" w:lineRule="auto"/>
      </w:pPr>
      <w:r>
        <w:continuationSeparator/>
      </w:r>
    </w:p>
  </w:footnote>
  <w:footnote w:id="1">
    <w:p w14:paraId="465B3423" w14:textId="77777777" w:rsidR="002470C7" w:rsidRDefault="002470C7" w:rsidP="002470C7">
      <w:pPr>
        <w:pStyle w:val="FootnoteText"/>
      </w:pPr>
      <w:r>
        <w:rPr>
          <w:rStyle w:val="FootnoteReference"/>
        </w:rPr>
        <w:footnoteRef/>
      </w:r>
      <w:r>
        <w:t xml:space="preserve"> Telegraph Reporters, </w:t>
      </w:r>
      <w:r w:rsidRPr="009C4DE8">
        <w:rPr>
          <w:i/>
        </w:rPr>
        <w:t>Who was Louis XIV of France? Everything you need to know about the 'Sun King' and the Palace of Versailles</w:t>
      </w:r>
      <w:r>
        <w:t xml:space="preserve">, </w:t>
      </w:r>
      <w:hyperlink r:id="rId1" w:history="1">
        <w:r w:rsidRPr="000B2577">
          <w:rPr>
            <w:rStyle w:val="Hyperlink"/>
          </w:rPr>
          <w:t>https://www.telegraph.co.uk/tv/2016/06/01/who-was-louis-xiv-of-france-everything-you-need-to-know-about-th/</w:t>
        </w:r>
      </w:hyperlink>
      <w:r>
        <w:t xml:space="preserve"> [accessed 31</w:t>
      </w:r>
      <w:r w:rsidRPr="009C4DE8">
        <w:rPr>
          <w:vertAlign w:val="superscript"/>
        </w:rPr>
        <w:t>st</w:t>
      </w:r>
      <w:r>
        <w:t xml:space="preserve"> September 2018].</w:t>
      </w:r>
    </w:p>
  </w:footnote>
  <w:footnote w:id="2">
    <w:p w14:paraId="33EC08B1" w14:textId="77777777" w:rsidR="002470C7" w:rsidRDefault="002470C7" w:rsidP="002470C7">
      <w:pPr>
        <w:pStyle w:val="FootnoteText"/>
      </w:pPr>
      <w:r>
        <w:rPr>
          <w:rStyle w:val="FootnoteReference"/>
        </w:rPr>
        <w:footnoteRef/>
      </w:r>
      <w:r>
        <w:t xml:space="preserve"> J. Robinson, </w:t>
      </w:r>
      <w:r w:rsidRPr="009C4DE8">
        <w:rPr>
          <w:i/>
        </w:rPr>
        <w:t>Readings in European History</w:t>
      </w:r>
      <w:r>
        <w:t>,</w:t>
      </w:r>
      <w:r w:rsidRPr="009C4DE8">
        <w:t xml:space="preserve"> </w:t>
      </w:r>
      <w:proofErr w:type="spellStart"/>
      <w:r w:rsidRPr="009C4DE8">
        <w:t>vol</w:t>
      </w:r>
      <w:proofErr w:type="spellEnd"/>
      <w:r w:rsidRPr="009C4DE8">
        <w:t xml:space="preserve"> II (Boston: </w:t>
      </w:r>
      <w:proofErr w:type="spellStart"/>
      <w:r w:rsidRPr="009C4DE8">
        <w:t>Ginn</w:t>
      </w:r>
      <w:proofErr w:type="spellEnd"/>
      <w:r w:rsidRPr="009C4DE8">
        <w:t>, 1905), pp. 283-285.</w:t>
      </w:r>
    </w:p>
  </w:footnote>
  <w:footnote w:id="3">
    <w:p w14:paraId="01165050" w14:textId="77777777" w:rsidR="002470C7" w:rsidRPr="009C4DE8" w:rsidRDefault="002470C7" w:rsidP="002470C7">
      <w:pPr>
        <w:pStyle w:val="FootnoteText"/>
      </w:pPr>
      <w:r>
        <w:rPr>
          <w:rStyle w:val="FootnoteReference"/>
        </w:rPr>
        <w:footnoteRef/>
      </w:r>
      <w:r>
        <w:t xml:space="preserve"> M.</w:t>
      </w:r>
      <w:r w:rsidRPr="009C4DE8">
        <w:t xml:space="preserve"> </w:t>
      </w:r>
      <w:proofErr w:type="spellStart"/>
      <w:r w:rsidRPr="009C4DE8">
        <w:t>Petheram</w:t>
      </w:r>
      <w:proofErr w:type="spellEnd"/>
      <w:r>
        <w:t xml:space="preserve">, </w:t>
      </w:r>
      <w:r w:rsidRPr="009C4DE8">
        <w:rPr>
          <w:i/>
        </w:rPr>
        <w:t>Gossip or Chronicler? Versailles and Saint-Simon</w:t>
      </w:r>
      <w:r>
        <w:t xml:space="preserve">, </w:t>
      </w:r>
      <w:hyperlink r:id="rId2" w:history="1">
        <w:r w:rsidRPr="000B2577">
          <w:rPr>
            <w:rStyle w:val="Hyperlink"/>
          </w:rPr>
          <w:t>https://www.historytoday.com/michel-petheram/gossip-or-chronicler-versailles-and-saint-simon</w:t>
        </w:r>
      </w:hyperlink>
      <w:r>
        <w:t xml:space="preserve"> [accessed 31</w:t>
      </w:r>
      <w:r w:rsidRPr="009C4DE8">
        <w:rPr>
          <w:vertAlign w:val="superscript"/>
        </w:rPr>
        <w:t>st</w:t>
      </w:r>
      <w:r>
        <w:t xml:space="preserve"> September 2018]. </w:t>
      </w:r>
    </w:p>
  </w:footnote>
  <w:footnote w:id="4">
    <w:p w14:paraId="5013B0A7" w14:textId="77777777" w:rsidR="002470C7" w:rsidRDefault="002470C7" w:rsidP="002470C7">
      <w:pPr>
        <w:pStyle w:val="FootnoteText"/>
      </w:pPr>
      <w:r>
        <w:rPr>
          <w:rStyle w:val="FootnoteReference"/>
        </w:rPr>
        <w:footnoteRef/>
      </w:r>
      <w:r>
        <w:t xml:space="preserve">Louis de </w:t>
      </w:r>
      <w:proofErr w:type="spellStart"/>
      <w:r>
        <w:t>Rouvroy</w:t>
      </w:r>
      <w:proofErr w:type="spellEnd"/>
      <w:r>
        <w:t xml:space="preserve">, </w:t>
      </w:r>
      <w:r w:rsidRPr="008D51F6">
        <w:rPr>
          <w:i/>
        </w:rPr>
        <w:t>The Court of Louis XIV</w:t>
      </w:r>
      <w:r>
        <w:t>, (Chicago: The University of Chicago Press, 2001).</w:t>
      </w:r>
    </w:p>
  </w:footnote>
  <w:footnote w:id="5">
    <w:p w14:paraId="1E6CDB3A" w14:textId="77777777" w:rsidR="002470C7" w:rsidRDefault="002470C7" w:rsidP="002470C7">
      <w:pPr>
        <w:pStyle w:val="FootnoteText"/>
      </w:pPr>
      <w:r>
        <w:rPr>
          <w:rStyle w:val="FootnoteReference"/>
        </w:rPr>
        <w:footnoteRef/>
      </w:r>
      <w:r>
        <w:t xml:space="preserve"> Ibid.</w:t>
      </w:r>
    </w:p>
  </w:footnote>
  <w:footnote w:id="6">
    <w:p w14:paraId="5122F5DE" w14:textId="77777777" w:rsidR="002470C7" w:rsidRDefault="002470C7" w:rsidP="002470C7">
      <w:pPr>
        <w:pStyle w:val="FootnoteText"/>
      </w:pPr>
      <w:r>
        <w:rPr>
          <w:rStyle w:val="FootnoteReference"/>
        </w:rPr>
        <w:footnoteRef/>
      </w:r>
      <w:r>
        <w:t xml:space="preserve"> Ibid.</w:t>
      </w:r>
    </w:p>
  </w:footnote>
  <w:footnote w:id="7">
    <w:p w14:paraId="453F2F86" w14:textId="77777777" w:rsidR="002470C7" w:rsidRDefault="002470C7" w:rsidP="002470C7">
      <w:pPr>
        <w:pStyle w:val="FootnoteText"/>
      </w:pPr>
      <w:r>
        <w:rPr>
          <w:rStyle w:val="FootnoteReference"/>
        </w:rPr>
        <w:footnoteRef/>
      </w:r>
      <w:r>
        <w:t xml:space="preserve"> Ibid.</w:t>
      </w:r>
    </w:p>
  </w:footnote>
  <w:footnote w:id="8">
    <w:p w14:paraId="240EF469" w14:textId="77777777" w:rsidR="002470C7" w:rsidRDefault="002470C7" w:rsidP="002470C7">
      <w:pPr>
        <w:pStyle w:val="FootnoteText"/>
      </w:pPr>
      <w:r>
        <w:rPr>
          <w:rStyle w:val="FootnoteReference"/>
        </w:rPr>
        <w:footnoteRef/>
      </w:r>
      <w:r>
        <w:t xml:space="preserve"> Ibid.</w:t>
      </w:r>
    </w:p>
  </w:footnote>
  <w:footnote w:id="9">
    <w:p w14:paraId="6CC3139E" w14:textId="77777777" w:rsidR="002470C7" w:rsidRDefault="002470C7" w:rsidP="002470C7">
      <w:pPr>
        <w:pStyle w:val="FootnoteText"/>
      </w:pPr>
      <w:r>
        <w:rPr>
          <w:rStyle w:val="FootnoteReference"/>
        </w:rPr>
        <w:footnoteRef/>
      </w:r>
      <w:r>
        <w:t xml:space="preserve"> Ibid.</w:t>
      </w:r>
    </w:p>
  </w:footnote>
  <w:footnote w:id="10">
    <w:p w14:paraId="12D48C70" w14:textId="77777777" w:rsidR="002470C7" w:rsidRDefault="002470C7" w:rsidP="002470C7">
      <w:pPr>
        <w:pStyle w:val="FootnoteText"/>
      </w:pPr>
      <w:r>
        <w:rPr>
          <w:rStyle w:val="FootnoteReference"/>
        </w:rPr>
        <w:footnoteRef/>
      </w:r>
      <w:r>
        <w:t xml:space="preserve"> Ibid.</w:t>
      </w:r>
    </w:p>
  </w:footnote>
  <w:footnote w:id="11">
    <w:p w14:paraId="7F1C57DC" w14:textId="77777777" w:rsidR="002470C7" w:rsidRDefault="002470C7" w:rsidP="002470C7">
      <w:pPr>
        <w:pStyle w:val="FootnoteText"/>
      </w:pPr>
      <w:r>
        <w:rPr>
          <w:rStyle w:val="FootnoteReference"/>
        </w:rPr>
        <w:footnoteRef/>
      </w:r>
      <w:r>
        <w:t xml:space="preserve"> Ibid.</w:t>
      </w:r>
    </w:p>
  </w:footnote>
  <w:footnote w:id="12">
    <w:p w14:paraId="7D639572" w14:textId="77777777" w:rsidR="002470C7" w:rsidRDefault="002470C7" w:rsidP="002470C7">
      <w:pPr>
        <w:pStyle w:val="FootnoteText"/>
      </w:pPr>
      <w:r>
        <w:rPr>
          <w:rStyle w:val="FootnoteReference"/>
        </w:rPr>
        <w:footnoteRef/>
      </w:r>
      <w:r>
        <w:t xml:space="preserve"> Ibid.</w:t>
      </w:r>
    </w:p>
  </w:footnote>
  <w:footnote w:id="13">
    <w:p w14:paraId="7069206F" w14:textId="77777777" w:rsidR="002470C7" w:rsidRDefault="002470C7" w:rsidP="002470C7">
      <w:pPr>
        <w:pStyle w:val="FootnoteText"/>
      </w:pPr>
      <w:r>
        <w:rPr>
          <w:rStyle w:val="FootnoteReference"/>
        </w:rPr>
        <w:footnoteRef/>
      </w:r>
      <w:r>
        <w:t xml:space="preserve"> </w:t>
      </w:r>
      <w:r w:rsidRPr="00E404AD">
        <w:t>Ibid.</w:t>
      </w:r>
    </w:p>
  </w:footnote>
  <w:footnote w:id="14">
    <w:p w14:paraId="0C0E436E" w14:textId="77777777" w:rsidR="002470C7" w:rsidRPr="00E46EEB" w:rsidRDefault="002470C7" w:rsidP="002470C7">
      <w:pPr>
        <w:pStyle w:val="FootnoteText"/>
      </w:pPr>
      <w:r>
        <w:rPr>
          <w:rStyle w:val="FootnoteReference"/>
        </w:rPr>
        <w:footnoteRef/>
      </w:r>
      <w:r>
        <w:t xml:space="preserve"> J. </w:t>
      </w:r>
      <w:proofErr w:type="spellStart"/>
      <w:r>
        <w:t>Conzett</w:t>
      </w:r>
      <w:proofErr w:type="spellEnd"/>
      <w:r>
        <w:t xml:space="preserve">, </w:t>
      </w:r>
      <w:r w:rsidRPr="00E46EEB">
        <w:rPr>
          <w:i/>
        </w:rPr>
        <w:t>The Sun King‘s Red Book of Household Accounts – Versailles wasn‘t such a Squander</w:t>
      </w:r>
      <w:r>
        <w:t xml:space="preserve">, </w:t>
      </w:r>
      <w:hyperlink r:id="rId3" w:history="1">
        <w:r w:rsidRPr="000B2577">
          <w:rPr>
            <w:rStyle w:val="Hyperlink"/>
          </w:rPr>
          <w:t>https://www.moneymuseum.com/en/for-sunflower/versailles-a-case-of-squandering-346?&amp;slbox=true</w:t>
        </w:r>
      </w:hyperlink>
      <w:r>
        <w:t xml:space="preserve"> </w:t>
      </w:r>
      <w:r w:rsidRPr="00E46EEB">
        <w:t>[accessed 31st September 2018].</w:t>
      </w:r>
    </w:p>
  </w:footnote>
  <w:footnote w:id="15">
    <w:p w14:paraId="1A3D853E" w14:textId="77777777" w:rsidR="002470C7" w:rsidRPr="00CE6AE4" w:rsidRDefault="002470C7" w:rsidP="002470C7">
      <w:pPr>
        <w:pStyle w:val="FootnoteText"/>
        <w:rPr>
          <w:i/>
        </w:rPr>
      </w:pPr>
      <w:r>
        <w:rPr>
          <w:rStyle w:val="FootnoteReference"/>
        </w:rPr>
        <w:footnoteRef/>
      </w:r>
      <w:r w:rsidRPr="00CE6AE4">
        <w:t xml:space="preserve"> C. </w:t>
      </w:r>
      <w:proofErr w:type="spellStart"/>
      <w:r w:rsidRPr="00CE6AE4">
        <w:t>Gráda</w:t>
      </w:r>
      <w:proofErr w:type="spellEnd"/>
      <w:r w:rsidRPr="00CE6AE4">
        <w:t xml:space="preserve"> J. </w:t>
      </w:r>
      <w:proofErr w:type="spellStart"/>
      <w:r w:rsidRPr="00CE6AE4">
        <w:t>Chevet</w:t>
      </w:r>
      <w:proofErr w:type="spellEnd"/>
      <w:r w:rsidRPr="00CE6AE4">
        <w:t xml:space="preserve">, ‘Famine and Market in </w:t>
      </w:r>
      <w:proofErr w:type="spellStart"/>
      <w:r w:rsidRPr="00CE6AE4">
        <w:t>Ancien</w:t>
      </w:r>
      <w:proofErr w:type="spellEnd"/>
      <w:r w:rsidRPr="00CE6AE4">
        <w:t xml:space="preserve"> </w:t>
      </w:r>
      <w:proofErr w:type="spellStart"/>
      <w:r w:rsidRPr="00CE6AE4">
        <w:t>Régime</w:t>
      </w:r>
      <w:proofErr w:type="spellEnd"/>
      <w:r w:rsidRPr="00CE6AE4">
        <w:t xml:space="preserve"> France’, </w:t>
      </w:r>
      <w:r w:rsidRPr="00CE6AE4">
        <w:rPr>
          <w:i/>
        </w:rPr>
        <w:t>The Journal of Economic History</w:t>
      </w:r>
    </w:p>
    <w:p w14:paraId="452D4A6E" w14:textId="77777777" w:rsidR="002470C7" w:rsidRPr="00CE6AE4" w:rsidRDefault="002470C7" w:rsidP="002470C7">
      <w:pPr>
        <w:pStyle w:val="FootnoteText"/>
        <w:rPr>
          <w:lang w:val="fr-FR"/>
        </w:rPr>
      </w:pPr>
      <w:r>
        <w:rPr>
          <w:lang w:val="fr-FR"/>
        </w:rPr>
        <w:t>Vol. 62, No. 3 (</w:t>
      </w:r>
      <w:r w:rsidRPr="00CE6AE4">
        <w:rPr>
          <w:lang w:val="fr-FR"/>
        </w:rPr>
        <w:t>2002), pp. 706-733</w:t>
      </w:r>
      <w:r>
        <w:rPr>
          <w:lang w:val="fr-FR"/>
        </w:rPr>
        <w:t>.</w:t>
      </w:r>
    </w:p>
  </w:footnote>
  <w:footnote w:id="16">
    <w:p w14:paraId="761193F1" w14:textId="77777777" w:rsidR="002470C7" w:rsidRPr="003F46F3" w:rsidRDefault="002470C7" w:rsidP="002470C7">
      <w:pPr>
        <w:pStyle w:val="FootnoteText"/>
      </w:pPr>
      <w:r>
        <w:rPr>
          <w:rStyle w:val="FootnoteReference"/>
        </w:rPr>
        <w:footnoteRef/>
      </w:r>
      <w:r>
        <w:t xml:space="preserve"> </w:t>
      </w:r>
      <w:r w:rsidRPr="001D6D56">
        <w:t>Cahiers from Rural Districts</w:t>
      </w:r>
      <w:r>
        <w:t xml:space="preserve">, </w:t>
      </w:r>
      <w:r w:rsidRPr="001D6D56">
        <w:rPr>
          <w:i/>
        </w:rPr>
        <w:t>Attack on Seigneurial Due</w:t>
      </w:r>
      <w:r>
        <w:rPr>
          <w:i/>
        </w:rPr>
        <w:t xml:space="preserve">s, </w:t>
      </w:r>
      <w:hyperlink r:id="rId4" w:history="1">
        <w:r w:rsidRPr="00855612">
          <w:rPr>
            <w:rStyle w:val="Hyperlink"/>
          </w:rPr>
          <w:t>http://chnm.gmu.edu/revolution/exhibits/show/liberty--equality--fraternity/item/3136</w:t>
        </w:r>
      </w:hyperlink>
      <w:r>
        <w:t xml:space="preserve"> [accessed 31st October 2018].</w:t>
      </w:r>
    </w:p>
  </w:footnote>
  <w:footnote w:id="17">
    <w:p w14:paraId="1B656A15" w14:textId="77777777" w:rsidR="002470C7" w:rsidRDefault="002470C7" w:rsidP="002470C7">
      <w:pPr>
        <w:pStyle w:val="FootnoteText"/>
      </w:pPr>
      <w:bookmarkStart w:id="2" w:name="_Hlk528782036"/>
      <w:r>
        <w:rPr>
          <w:rStyle w:val="FootnoteReference"/>
        </w:rPr>
        <w:footnoteRef/>
      </w:r>
      <w:r>
        <w:t xml:space="preserve"> </w:t>
      </w:r>
      <w:r w:rsidRPr="00D92528">
        <w:t xml:space="preserve">Cahiers from Rural Districts, </w:t>
      </w:r>
      <w:r w:rsidRPr="00D92528">
        <w:rPr>
          <w:i/>
        </w:rPr>
        <w:t>Attack on Seigneurial Dues,</w:t>
      </w:r>
      <w:r w:rsidRPr="00D92528">
        <w:t xml:space="preserve"> </w:t>
      </w:r>
      <w:bookmarkEnd w:id="2"/>
      <w:r>
        <w:rPr>
          <w:i/>
        </w:rPr>
        <w:fldChar w:fldCharType="begin"/>
      </w:r>
      <w:r>
        <w:rPr>
          <w:i/>
        </w:rPr>
        <w:instrText xml:space="preserve"> HYPERLINK "</w:instrText>
      </w:r>
      <w:r w:rsidRPr="00D92528">
        <w:rPr>
          <w:i/>
        </w:rPr>
        <w:instrText>http://chnm.gmu.edu/revolution/exhibits/show/liberty--equality--fraternity/item/3136</w:instrText>
      </w:r>
      <w:r>
        <w:rPr>
          <w:i/>
        </w:rPr>
        <w:instrText xml:space="preserve">" </w:instrText>
      </w:r>
      <w:r>
        <w:rPr>
          <w:i/>
        </w:rPr>
        <w:fldChar w:fldCharType="separate"/>
      </w:r>
      <w:r w:rsidRPr="009C64BD">
        <w:rPr>
          <w:rStyle w:val="Hyperlink"/>
          <w:i/>
        </w:rPr>
        <w:t>http://chnm.gmu.edu/revolution/exhibits/show/liberty--equality--fraternity/item/3136</w:t>
      </w:r>
      <w:r>
        <w:rPr>
          <w:i/>
        </w:rPr>
        <w:fldChar w:fldCharType="end"/>
      </w:r>
      <w:r>
        <w:rPr>
          <w:i/>
        </w:rPr>
        <w:t xml:space="preserve"> [accessed 31st October 2018].</w:t>
      </w:r>
    </w:p>
  </w:footnote>
  <w:footnote w:id="18">
    <w:p w14:paraId="1CA35FE7" w14:textId="77777777" w:rsidR="002470C7" w:rsidRDefault="002470C7" w:rsidP="002470C7">
      <w:pPr>
        <w:pStyle w:val="FootnoteText"/>
      </w:pPr>
      <w:r>
        <w:rPr>
          <w:rStyle w:val="FootnoteReference"/>
        </w:rPr>
        <w:footnoteRef/>
      </w:r>
      <w:r>
        <w:t xml:space="preserve"> </w:t>
      </w:r>
      <w:r w:rsidRPr="00FE359E">
        <w:t xml:space="preserve">Cahiers from Rural Districts, </w:t>
      </w:r>
      <w:r w:rsidRPr="00FE359E">
        <w:rPr>
          <w:i/>
        </w:rPr>
        <w:t>Attack on Seigneurial Dues,</w:t>
      </w:r>
      <w:r>
        <w:rPr>
          <w:i/>
        </w:rPr>
        <w:t xml:space="preserve"> </w:t>
      </w:r>
      <w:hyperlink r:id="rId5" w:history="1">
        <w:r w:rsidRPr="009C64BD">
          <w:rPr>
            <w:rStyle w:val="Hyperlink"/>
            <w:i/>
          </w:rPr>
          <w:t>http://chnm.gmu.edu/revolution/exhibits/show/liberty--equality--fraternity/item/3136</w:t>
        </w:r>
      </w:hyperlink>
      <w:r>
        <w:rPr>
          <w:i/>
        </w:rPr>
        <w:t xml:space="preserve"> [accessed 31st October 2018].</w:t>
      </w:r>
    </w:p>
  </w:footnote>
  <w:footnote w:id="19">
    <w:p w14:paraId="42A2E434" w14:textId="77777777" w:rsidR="002470C7" w:rsidRDefault="002470C7" w:rsidP="002470C7">
      <w:pPr>
        <w:pStyle w:val="FootnoteText"/>
      </w:pPr>
      <w:r>
        <w:rPr>
          <w:rStyle w:val="FootnoteReference"/>
        </w:rPr>
        <w:footnoteRef/>
      </w:r>
      <w:r>
        <w:t xml:space="preserve"> </w:t>
      </w:r>
      <w:bookmarkStart w:id="3" w:name="_Hlk528782591"/>
      <w:r w:rsidRPr="00FE359E">
        <w:t>Cahiers from Rural Districts</w:t>
      </w:r>
      <w:r w:rsidRPr="005F6359">
        <w:rPr>
          <w:i/>
        </w:rPr>
        <w:t>, Attack on Seigneurial Dues</w:t>
      </w:r>
      <w:r w:rsidRPr="00FE359E">
        <w:t>,</w:t>
      </w:r>
      <w:r>
        <w:t xml:space="preserve"> </w:t>
      </w:r>
      <w:bookmarkEnd w:id="3"/>
      <w:r>
        <w:fldChar w:fldCharType="begin"/>
      </w:r>
      <w:r>
        <w:instrText xml:space="preserve"> HYPERLINK "</w:instrText>
      </w:r>
      <w:r w:rsidRPr="00FE359E">
        <w:instrText>http://chnm.gmu.edu/revolution/exhibits/show/liberty--equality--fraternity/item/3136</w:instrText>
      </w:r>
      <w:r>
        <w:instrText xml:space="preserve">" </w:instrText>
      </w:r>
      <w:r>
        <w:fldChar w:fldCharType="separate"/>
      </w:r>
      <w:r w:rsidRPr="009C64BD">
        <w:rPr>
          <w:rStyle w:val="Hyperlink"/>
        </w:rPr>
        <w:t>http://chnm.gmu.edu/revolution/exhibits/show/liberty--equality--fraternity/item/3136</w:t>
      </w:r>
      <w:r>
        <w:fldChar w:fldCharType="end"/>
      </w:r>
      <w:r>
        <w:t xml:space="preserve"> [accessed 31st October 2018].</w:t>
      </w:r>
    </w:p>
  </w:footnote>
  <w:footnote w:id="20">
    <w:p w14:paraId="7E197D12" w14:textId="77777777" w:rsidR="002470C7" w:rsidRDefault="002470C7" w:rsidP="002470C7">
      <w:pPr>
        <w:pStyle w:val="FootnoteText"/>
      </w:pPr>
      <w:r>
        <w:rPr>
          <w:rStyle w:val="FootnoteReference"/>
        </w:rPr>
        <w:footnoteRef/>
      </w:r>
      <w:r>
        <w:t xml:space="preserve"> E. </w:t>
      </w:r>
      <w:proofErr w:type="spellStart"/>
      <w:r>
        <w:t>Hobsbawm</w:t>
      </w:r>
      <w:proofErr w:type="spellEnd"/>
      <w:r>
        <w:t xml:space="preserve">, </w:t>
      </w:r>
      <w:r w:rsidRPr="00FE359E">
        <w:rPr>
          <w:i/>
        </w:rPr>
        <w:t>THE AGE OF REVOLUTION 1789-1848</w:t>
      </w:r>
      <w:r>
        <w:t>, (London: Abacus, 1977) p. 81.</w:t>
      </w:r>
    </w:p>
  </w:footnote>
  <w:footnote w:id="21">
    <w:p w14:paraId="32E0281B" w14:textId="77777777" w:rsidR="002470C7" w:rsidRDefault="002470C7" w:rsidP="002470C7">
      <w:pPr>
        <w:pStyle w:val="FootnoteText"/>
      </w:pPr>
      <w:r>
        <w:rPr>
          <w:rStyle w:val="FootnoteReference"/>
        </w:rPr>
        <w:footnoteRef/>
      </w:r>
      <w:r>
        <w:t xml:space="preserve"> </w:t>
      </w:r>
      <w:bookmarkStart w:id="4" w:name="_Hlk528789089"/>
      <w:r w:rsidRPr="00FE359E">
        <w:t xml:space="preserve">Cahiers from Rural Districts, </w:t>
      </w:r>
      <w:r w:rsidRPr="005F6359">
        <w:rPr>
          <w:i/>
        </w:rPr>
        <w:t>Attack on Seigneurial Dues</w:t>
      </w:r>
      <w:r w:rsidRPr="00FE359E">
        <w:t>,</w:t>
      </w:r>
      <w:r>
        <w:t xml:space="preserve"> </w:t>
      </w:r>
      <w:bookmarkEnd w:id="4"/>
      <w:r>
        <w:fldChar w:fldCharType="begin"/>
      </w:r>
      <w:r>
        <w:instrText xml:space="preserve"> HYPERLINK "</w:instrText>
      </w:r>
      <w:r w:rsidRPr="00FE359E">
        <w:instrText>http://chnm.gmu.edu/revolution/exhibits/show/liberty--equality--fraternity/item/3136</w:instrText>
      </w:r>
      <w:r>
        <w:instrText xml:space="preserve">" </w:instrText>
      </w:r>
      <w:r>
        <w:fldChar w:fldCharType="separate"/>
      </w:r>
      <w:r w:rsidRPr="009C64BD">
        <w:rPr>
          <w:rStyle w:val="Hyperlink"/>
        </w:rPr>
        <w:t>http://chnm.gmu.edu/revolution/exhibits/show/liberty--equality--fraternity/item/3136</w:t>
      </w:r>
      <w:r>
        <w:fldChar w:fldCharType="end"/>
      </w:r>
      <w:r>
        <w:t xml:space="preserve"> [accessed 31st October 2018].</w:t>
      </w:r>
    </w:p>
  </w:footnote>
  <w:footnote w:id="22">
    <w:p w14:paraId="5C6F645B" w14:textId="77777777" w:rsidR="002470C7" w:rsidRDefault="002470C7" w:rsidP="002470C7">
      <w:pPr>
        <w:pStyle w:val="FootnoteText"/>
      </w:pPr>
      <w:r>
        <w:rPr>
          <w:rStyle w:val="FootnoteReference"/>
        </w:rPr>
        <w:footnoteRef/>
      </w:r>
      <w:r>
        <w:t xml:space="preserve"> </w:t>
      </w:r>
      <w:r w:rsidRPr="001A7882">
        <w:t xml:space="preserve">Cahiers from Rural Districts, </w:t>
      </w:r>
      <w:r w:rsidRPr="001A7882">
        <w:rPr>
          <w:i/>
        </w:rPr>
        <w:t>Attack on Seigneurial Dues,</w:t>
      </w:r>
      <w:r>
        <w:rPr>
          <w:i/>
        </w:rPr>
        <w:t xml:space="preserve"> </w:t>
      </w:r>
      <w:hyperlink r:id="rId6" w:history="1">
        <w:r w:rsidRPr="009C64BD">
          <w:rPr>
            <w:rStyle w:val="Hyperlink"/>
            <w:i/>
          </w:rPr>
          <w:t>http://chnm.gmu.edu/revolution/exhibits/show/liberty--equality--fraternity/item/3136</w:t>
        </w:r>
      </w:hyperlink>
      <w:r>
        <w:rPr>
          <w:i/>
        </w:rPr>
        <w:t xml:space="preserve"> [accessed 31st October 2018].</w:t>
      </w:r>
    </w:p>
  </w:footnote>
  <w:footnote w:id="23">
    <w:p w14:paraId="3869DB04" w14:textId="77777777" w:rsidR="002470C7" w:rsidRDefault="002470C7" w:rsidP="002470C7">
      <w:pPr>
        <w:pStyle w:val="FootnoteText"/>
      </w:pPr>
      <w:r>
        <w:rPr>
          <w:rStyle w:val="FootnoteReference"/>
        </w:rPr>
        <w:footnoteRef/>
      </w:r>
      <w:r>
        <w:t xml:space="preserve"> </w:t>
      </w:r>
      <w:r w:rsidRPr="00111FAB">
        <w:t>Cahiers from Rural Districts</w:t>
      </w:r>
      <w:r w:rsidRPr="00111FAB">
        <w:rPr>
          <w:i/>
        </w:rPr>
        <w:t>, Attack on Seigneurial Dues,</w:t>
      </w:r>
      <w:r>
        <w:t xml:space="preserve"> http://chnm.gmu.edu/revolution/exhibits/show/liberty--equality--fraternity/item/3136</w:t>
      </w:r>
      <w:r w:rsidRPr="00111FAB">
        <w:t xml:space="preserve"> [accessed 31st October 2018].</w:t>
      </w:r>
    </w:p>
  </w:footnote>
  <w:footnote w:id="24">
    <w:p w14:paraId="5003E7C4" w14:textId="77777777" w:rsidR="002470C7" w:rsidRDefault="002470C7" w:rsidP="002470C7">
      <w:pPr>
        <w:pStyle w:val="FootnoteText"/>
      </w:pPr>
      <w:r>
        <w:rPr>
          <w:rStyle w:val="FootnoteReference"/>
        </w:rPr>
        <w:footnoteRef/>
      </w:r>
      <w:r>
        <w:t xml:space="preserve"> </w:t>
      </w:r>
      <w:r w:rsidRPr="00111FAB">
        <w:t xml:space="preserve">E. </w:t>
      </w:r>
      <w:proofErr w:type="spellStart"/>
      <w:r w:rsidRPr="00111FAB">
        <w:t>Hobsbawm</w:t>
      </w:r>
      <w:proofErr w:type="spellEnd"/>
      <w:r w:rsidRPr="00111FAB">
        <w:t>, THE AGE OF REVOLUTION 1789-1848, (London: Abacus, 1977)</w:t>
      </w:r>
      <w:r>
        <w:t xml:space="preserve"> p. 76.</w:t>
      </w:r>
    </w:p>
  </w:footnote>
  <w:footnote w:id="25">
    <w:p w14:paraId="1EB1C7D1" w14:textId="77777777" w:rsidR="003D1AD3" w:rsidRPr="00420610" w:rsidRDefault="003D1AD3" w:rsidP="003D1AD3">
      <w:pPr>
        <w:rPr>
          <w:rFonts w:ascii="Arial" w:eastAsia="Times New Roman" w:hAnsi="Arial" w:cs="Arial"/>
          <w:color w:val="000000"/>
          <w:sz w:val="19"/>
          <w:szCs w:val="19"/>
          <w:lang w:eastAsia="en-GB"/>
        </w:rPr>
      </w:pPr>
      <w:r>
        <w:rPr>
          <w:rStyle w:val="FootnoteReference"/>
        </w:rPr>
        <w:footnoteRef/>
      </w:r>
      <w:r>
        <w:t xml:space="preserve"> </w:t>
      </w:r>
      <w:r w:rsidRPr="00420610">
        <w:rPr>
          <w:rFonts w:ascii="Arial" w:eastAsia="Times New Roman" w:hAnsi="Arial" w:cs="Arial"/>
          <w:color w:val="000000"/>
          <w:sz w:val="19"/>
          <w:szCs w:val="19"/>
          <w:lang w:eastAsia="en-GB"/>
        </w:rPr>
        <w:t xml:space="preserve">Chateau De Versailles, </w:t>
      </w:r>
      <w:r>
        <w:rPr>
          <w:rFonts w:ascii="Arial" w:eastAsia="Times New Roman" w:hAnsi="Arial" w:cs="Arial"/>
          <w:color w:val="000000"/>
          <w:sz w:val="19"/>
          <w:szCs w:val="19"/>
          <w:lang w:eastAsia="en-GB"/>
        </w:rPr>
        <w:t>‘</w:t>
      </w:r>
      <w:proofErr w:type="spellStart"/>
      <w:r w:rsidRPr="00420610">
        <w:rPr>
          <w:rFonts w:ascii="Arial" w:eastAsia="Times New Roman" w:hAnsi="Arial" w:cs="Arial"/>
          <w:i/>
          <w:iCs/>
          <w:color w:val="000000"/>
          <w:sz w:val="19"/>
          <w:szCs w:val="19"/>
          <w:lang w:eastAsia="en-GB"/>
        </w:rPr>
        <w:t>Hyacinthe</w:t>
      </w:r>
      <w:proofErr w:type="spellEnd"/>
      <w:r w:rsidRPr="00420610">
        <w:rPr>
          <w:rFonts w:ascii="Arial" w:eastAsia="Times New Roman" w:hAnsi="Arial" w:cs="Arial"/>
          <w:i/>
          <w:iCs/>
          <w:color w:val="000000"/>
          <w:sz w:val="19"/>
          <w:szCs w:val="19"/>
          <w:lang w:eastAsia="en-GB"/>
        </w:rPr>
        <w:t xml:space="preserve"> </w:t>
      </w:r>
      <w:proofErr w:type="spellStart"/>
      <w:r w:rsidRPr="00420610">
        <w:rPr>
          <w:rFonts w:ascii="Arial" w:eastAsia="Times New Roman" w:hAnsi="Arial" w:cs="Arial"/>
          <w:i/>
          <w:iCs/>
          <w:color w:val="000000"/>
          <w:sz w:val="19"/>
          <w:szCs w:val="19"/>
          <w:lang w:eastAsia="en-GB"/>
        </w:rPr>
        <w:t>Rigaud</w:t>
      </w:r>
      <w:proofErr w:type="spellEnd"/>
      <w:r>
        <w:rPr>
          <w:rFonts w:ascii="Arial" w:eastAsia="Times New Roman" w:hAnsi="Arial" w:cs="Arial"/>
          <w:i/>
          <w:iCs/>
          <w:color w:val="000000"/>
          <w:sz w:val="19"/>
          <w:szCs w:val="19"/>
          <w:lang w:eastAsia="en-GB"/>
        </w:rPr>
        <w:t>’</w:t>
      </w:r>
      <w:r w:rsidRPr="00420610">
        <w:rPr>
          <w:rFonts w:ascii="Arial" w:eastAsia="Times New Roman" w:hAnsi="Arial" w:cs="Arial"/>
          <w:color w:val="000000"/>
          <w:sz w:val="19"/>
          <w:szCs w:val="19"/>
          <w:lang w:eastAsia="en-GB"/>
        </w:rPr>
        <w:t xml:space="preserve"> (2018) &lt;http://en.chateauversailles.fr/discover/history/great-characters/hyacinthe-rigaud&gt; [accessed 29 October 2018].</w:t>
      </w:r>
    </w:p>
    <w:p w14:paraId="254B5DBE" w14:textId="77777777" w:rsidR="003D1AD3" w:rsidRDefault="003D1AD3" w:rsidP="003D1AD3">
      <w:pPr>
        <w:pStyle w:val="FootnoteText"/>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131078" w:nlCheck="1" w:checkStyle="0"/>
  <w:activeWritingStyle w:appName="MSWord" w:lang="en-GB" w:vendorID="64" w:dllVersion="131078" w:nlCheck="1" w:checkStyle="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53E5"/>
    <w:rsid w:val="000007EE"/>
    <w:rsid w:val="00007DF3"/>
    <w:rsid w:val="0010352B"/>
    <w:rsid w:val="00107CBF"/>
    <w:rsid w:val="00116894"/>
    <w:rsid w:val="0016602E"/>
    <w:rsid w:val="001A5D97"/>
    <w:rsid w:val="001C3F83"/>
    <w:rsid w:val="00232710"/>
    <w:rsid w:val="002470C7"/>
    <w:rsid w:val="00252906"/>
    <w:rsid w:val="0025636B"/>
    <w:rsid w:val="00297974"/>
    <w:rsid w:val="002D2EBA"/>
    <w:rsid w:val="002E53E5"/>
    <w:rsid w:val="003078E3"/>
    <w:rsid w:val="003D1AD3"/>
    <w:rsid w:val="00411712"/>
    <w:rsid w:val="0043610D"/>
    <w:rsid w:val="00483A02"/>
    <w:rsid w:val="00515170"/>
    <w:rsid w:val="00545A03"/>
    <w:rsid w:val="00561923"/>
    <w:rsid w:val="005A493C"/>
    <w:rsid w:val="005A7CAA"/>
    <w:rsid w:val="005F61A8"/>
    <w:rsid w:val="00627019"/>
    <w:rsid w:val="006908C5"/>
    <w:rsid w:val="00813981"/>
    <w:rsid w:val="00823EF8"/>
    <w:rsid w:val="008B7793"/>
    <w:rsid w:val="008F46B4"/>
    <w:rsid w:val="00925B9A"/>
    <w:rsid w:val="009303DC"/>
    <w:rsid w:val="00A33E50"/>
    <w:rsid w:val="00B77102"/>
    <w:rsid w:val="00BF3620"/>
    <w:rsid w:val="00C07422"/>
    <w:rsid w:val="00C5222E"/>
    <w:rsid w:val="00C76BB4"/>
    <w:rsid w:val="00CD75EF"/>
    <w:rsid w:val="00CE0EFD"/>
    <w:rsid w:val="00D0573E"/>
    <w:rsid w:val="00D9075C"/>
    <w:rsid w:val="00E274F0"/>
    <w:rsid w:val="00F10100"/>
    <w:rsid w:val="00F23619"/>
    <w:rsid w:val="00FF304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0A5B24"/>
  <w15:chartTrackingRefBased/>
  <w15:docId w15:val="{74BB2A76-B434-48C9-B32F-5F2DB85F6D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BF362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F3620"/>
    <w:rPr>
      <w:sz w:val="20"/>
      <w:szCs w:val="20"/>
    </w:rPr>
  </w:style>
  <w:style w:type="character" w:styleId="FootnoteReference">
    <w:name w:val="footnote reference"/>
    <w:basedOn w:val="DefaultParagraphFont"/>
    <w:uiPriority w:val="99"/>
    <w:semiHidden/>
    <w:unhideWhenUsed/>
    <w:rsid w:val="00BF3620"/>
    <w:rPr>
      <w:vertAlign w:val="superscript"/>
    </w:rPr>
  </w:style>
  <w:style w:type="character" w:styleId="Hyperlink">
    <w:name w:val="Hyperlink"/>
    <w:basedOn w:val="DefaultParagraphFont"/>
    <w:uiPriority w:val="99"/>
    <w:unhideWhenUsed/>
    <w:rsid w:val="001C3F83"/>
    <w:rPr>
      <w:color w:val="0563C1" w:themeColor="hyperlink"/>
      <w:u w:val="single"/>
    </w:rPr>
  </w:style>
  <w:style w:type="character" w:customStyle="1" w:styleId="UnresolvedMention">
    <w:name w:val="Unresolved Mention"/>
    <w:basedOn w:val="DefaultParagraphFont"/>
    <w:uiPriority w:val="99"/>
    <w:semiHidden/>
    <w:unhideWhenUsed/>
    <w:rsid w:val="001C3F83"/>
    <w:rPr>
      <w:color w:val="605E5C"/>
      <w:shd w:val="clear" w:color="auto" w:fill="E1DFDD"/>
    </w:rPr>
  </w:style>
  <w:style w:type="paragraph" w:styleId="BalloonText">
    <w:name w:val="Balloon Text"/>
    <w:basedOn w:val="Normal"/>
    <w:link w:val="BalloonTextChar"/>
    <w:uiPriority w:val="99"/>
    <w:semiHidden/>
    <w:unhideWhenUsed/>
    <w:rsid w:val="002470C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470C7"/>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3" Type="http://schemas.openxmlformats.org/officeDocument/2006/relationships/hyperlink" Target="https://www.moneymuseum.com/en/for-sunflower/versailles-a-case-of-squandering-346?&amp;slbox=true" TargetMode="External"/><Relationship Id="rId2" Type="http://schemas.openxmlformats.org/officeDocument/2006/relationships/hyperlink" Target="https://www.historytoday.com/michel-petheram/gossip-or-chronicler-versailles-and-saint-simon" TargetMode="External"/><Relationship Id="rId1" Type="http://schemas.openxmlformats.org/officeDocument/2006/relationships/hyperlink" Target="https://www.telegraph.co.uk/tv/2016/06/01/who-was-louis-xiv-of-france-everything-you-need-to-know-about-th/" TargetMode="External"/><Relationship Id="rId6" Type="http://schemas.openxmlformats.org/officeDocument/2006/relationships/hyperlink" Target="http://chnm.gmu.edu/revolution/exhibits/show/liberty--equality--fraternity/item/3136" TargetMode="External"/><Relationship Id="rId5" Type="http://schemas.openxmlformats.org/officeDocument/2006/relationships/hyperlink" Target="http://chnm.gmu.edu/revolution/exhibits/show/liberty--equality--fraternity/item/3136" TargetMode="External"/><Relationship Id="rId4" Type="http://schemas.openxmlformats.org/officeDocument/2006/relationships/hyperlink" Target="http://chnm.gmu.edu/revolution/exhibits/show/liberty--equality--fraternity/item/313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D54690-A13D-4CEC-ABEF-07A51E59A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2327</Words>
  <Characters>11942</Characters>
  <Application>Microsoft Office Word</Application>
  <DocSecurity>0</DocSecurity>
  <Lines>341</Lines>
  <Paragraphs>43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Timothy Kirk (1710839)</dc:creator>
  <cp:keywords/>
  <dc:description/>
  <cp:lastModifiedBy>Alexander Scott</cp:lastModifiedBy>
  <cp:revision>2</cp:revision>
  <cp:lastPrinted>2019-10-24T09:56:00Z</cp:lastPrinted>
  <dcterms:created xsi:type="dcterms:W3CDTF">2019-10-24T10:00:00Z</dcterms:created>
  <dcterms:modified xsi:type="dcterms:W3CDTF">2019-10-24T10:00:00Z</dcterms:modified>
</cp:coreProperties>
</file>