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7E912" w14:textId="7EC8442A" w:rsidR="005E6F4D" w:rsidRDefault="005E6F4D" w:rsidP="000F6CE3">
      <w:pPr>
        <w:pStyle w:val="af3"/>
        <w:jc w:val="right"/>
        <w:rPr>
          <w:b/>
          <w:bCs/>
        </w:rPr>
      </w:pPr>
      <w:r w:rsidRPr="00E831E1">
        <w:rPr>
          <w:noProof/>
        </w:rPr>
        <w:drawing>
          <wp:anchor distT="0" distB="0" distL="114300" distR="114300" simplePos="0" relativeHeight="251659264" behindDoc="0" locked="0" layoutInCell="1" allowOverlap="1" wp14:anchorId="4B7FB870" wp14:editId="7DD37594">
            <wp:simplePos x="0" y="0"/>
            <wp:positionH relativeFrom="column">
              <wp:align>left</wp:align>
            </wp:positionH>
            <wp:positionV relativeFrom="paragraph">
              <wp:align>top</wp:align>
            </wp:positionV>
            <wp:extent cx="1809750" cy="723900"/>
            <wp:effectExtent l="0" t="0" r="0" b="0"/>
            <wp:wrapSquare wrapText="bothSides"/>
            <wp:docPr id="2015949817" name="Picture 5"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31E1">
        <w:rPr>
          <w:rFonts w:ascii="Arial" w:hAnsi="Arial" w:cs="Arial"/>
        </w:rPr>
        <w:t xml:space="preserve"> </w:t>
      </w:r>
      <w:r w:rsidRPr="00E831E1">
        <w:rPr>
          <w:rFonts w:ascii="Arial" w:hAnsi="Arial" w:cs="Arial"/>
        </w:rPr>
        <w:br w:type="textWrapping" w:clear="all"/>
      </w:r>
    </w:p>
    <w:p w14:paraId="71914E25" w14:textId="78B021D1" w:rsidR="000F6CE3" w:rsidRPr="000F6CE3" w:rsidRDefault="000F6CE3" w:rsidP="000F6CE3">
      <w:pPr>
        <w:jc w:val="center"/>
        <w:rPr>
          <w:rFonts w:hint="eastAsia"/>
          <w:b/>
          <w:color w:val="000000" w:themeColor="text1"/>
        </w:rPr>
      </w:pPr>
      <w:r w:rsidRPr="000F6CE3">
        <w:rPr>
          <w:rFonts w:hint="eastAsia"/>
          <w:b/>
          <w:color w:val="000000" w:themeColor="text1"/>
        </w:rPr>
        <w:t>Unit name: Financial Management</w:t>
      </w:r>
    </w:p>
    <w:p w14:paraId="10B5DE1A" w14:textId="2BA50FBA" w:rsidR="000F6CE3" w:rsidRPr="000F6CE3" w:rsidRDefault="000F6CE3" w:rsidP="000F6CE3">
      <w:pPr>
        <w:jc w:val="center"/>
        <w:rPr>
          <w:rFonts w:hint="eastAsia"/>
          <w:b/>
          <w:color w:val="000000" w:themeColor="text1"/>
        </w:rPr>
      </w:pPr>
      <w:r w:rsidRPr="000F6CE3">
        <w:rPr>
          <w:rFonts w:hint="eastAsia"/>
          <w:b/>
          <w:color w:val="000000" w:themeColor="text1"/>
        </w:rPr>
        <w:t>Module code: BMBM6007</w:t>
      </w:r>
    </w:p>
    <w:p w14:paraId="4D73C389" w14:textId="77777777" w:rsidR="000F6CE3" w:rsidRDefault="000F6CE3" w:rsidP="000F6CE3">
      <w:pPr>
        <w:pStyle w:val="af3"/>
        <w:jc w:val="right"/>
        <w:rPr>
          <w:b/>
          <w:bCs/>
          <w:lang w:eastAsia="zh-CN"/>
        </w:rPr>
      </w:pPr>
    </w:p>
    <w:p w14:paraId="3BC9C621" w14:textId="77777777" w:rsidR="000F6CE3" w:rsidRPr="000F6CE3" w:rsidRDefault="000F6CE3" w:rsidP="000F6CE3">
      <w:pPr>
        <w:pStyle w:val="af3"/>
        <w:rPr>
          <w:b/>
          <w:bCs/>
          <w:sz w:val="44"/>
          <w:szCs w:val="44"/>
          <w:lang w:eastAsia="zh-CN"/>
        </w:rPr>
      </w:pPr>
    </w:p>
    <w:p w14:paraId="5080FD32" w14:textId="6B2E21A9" w:rsidR="000F6CE3" w:rsidRPr="000F6CE3" w:rsidRDefault="000F6CE3" w:rsidP="000F6CE3">
      <w:pPr>
        <w:pStyle w:val="af3"/>
        <w:rPr>
          <w:b/>
          <w:bCs/>
          <w:sz w:val="44"/>
          <w:szCs w:val="44"/>
          <w:lang w:eastAsia="zh-CN"/>
        </w:rPr>
      </w:pPr>
      <w:r w:rsidRPr="000F6CE3">
        <w:rPr>
          <w:b/>
          <w:bCs/>
          <w:sz w:val="44"/>
          <w:szCs w:val="44"/>
          <w:lang w:eastAsia="zh-CN"/>
        </w:rPr>
        <w:t>From Transaction to Transformation: Evaluating M&amp;S's Acquisition of Gist</w:t>
      </w:r>
    </w:p>
    <w:p w14:paraId="2A73AAD2" w14:textId="77777777" w:rsidR="000F6CE3" w:rsidRDefault="000F6CE3" w:rsidP="000F6CE3">
      <w:pPr>
        <w:pStyle w:val="af3"/>
        <w:jc w:val="right"/>
        <w:rPr>
          <w:b/>
          <w:bCs/>
          <w:lang w:eastAsia="zh-CN"/>
        </w:rPr>
      </w:pPr>
    </w:p>
    <w:p w14:paraId="1ACFE883" w14:textId="77777777" w:rsidR="000F6CE3" w:rsidRDefault="000F6CE3" w:rsidP="000F6CE3">
      <w:pPr>
        <w:pStyle w:val="af3"/>
        <w:jc w:val="right"/>
        <w:rPr>
          <w:b/>
          <w:bCs/>
          <w:lang w:eastAsia="zh-CN"/>
        </w:rPr>
      </w:pPr>
    </w:p>
    <w:p w14:paraId="67948310" w14:textId="77777777" w:rsidR="000F6CE3" w:rsidRDefault="000F6CE3" w:rsidP="000F6CE3">
      <w:pPr>
        <w:pStyle w:val="af3"/>
        <w:ind w:right="360"/>
        <w:jc w:val="both"/>
        <w:rPr>
          <w:rFonts w:hint="eastAsia"/>
          <w:b/>
          <w:bCs/>
          <w:lang w:eastAsia="zh-CN"/>
        </w:rPr>
      </w:pPr>
    </w:p>
    <w:p w14:paraId="68C031D0" w14:textId="77777777" w:rsidR="000F6CE3" w:rsidRDefault="000F6CE3" w:rsidP="000F6CE3">
      <w:pPr>
        <w:pStyle w:val="af3"/>
        <w:jc w:val="right"/>
        <w:rPr>
          <w:b/>
          <w:bCs/>
          <w:lang w:eastAsia="zh-CN"/>
        </w:rPr>
      </w:pPr>
    </w:p>
    <w:p w14:paraId="363BDBF6" w14:textId="77777777" w:rsidR="000F6CE3" w:rsidRDefault="000F6CE3" w:rsidP="000F6CE3">
      <w:pPr>
        <w:pStyle w:val="af3"/>
        <w:jc w:val="right"/>
        <w:rPr>
          <w:b/>
          <w:bCs/>
          <w:lang w:eastAsia="zh-CN"/>
        </w:rPr>
      </w:pPr>
    </w:p>
    <w:p w14:paraId="04A67757" w14:textId="77777777" w:rsidR="000F6CE3" w:rsidRDefault="000F6CE3" w:rsidP="000F6CE3">
      <w:pPr>
        <w:pStyle w:val="af3"/>
        <w:jc w:val="right"/>
        <w:rPr>
          <w:b/>
          <w:bCs/>
          <w:lang w:eastAsia="zh-CN"/>
        </w:rPr>
      </w:pPr>
    </w:p>
    <w:p w14:paraId="1A67F66B" w14:textId="77777777" w:rsidR="000F6CE3" w:rsidRDefault="000F6CE3" w:rsidP="000F6CE3">
      <w:pPr>
        <w:pStyle w:val="af3"/>
        <w:jc w:val="right"/>
        <w:rPr>
          <w:rFonts w:hint="eastAsia"/>
          <w:b/>
          <w:bCs/>
          <w:lang w:eastAsia="zh-CN"/>
        </w:rPr>
      </w:pPr>
    </w:p>
    <w:p w14:paraId="69350588" w14:textId="77777777" w:rsidR="000F6CE3" w:rsidRDefault="000F6CE3" w:rsidP="000F6CE3">
      <w:pPr>
        <w:pStyle w:val="af3"/>
        <w:jc w:val="right"/>
        <w:rPr>
          <w:b/>
          <w:bCs/>
          <w:lang w:eastAsia="zh-CN"/>
        </w:rPr>
      </w:pPr>
    </w:p>
    <w:p w14:paraId="487C0336" w14:textId="77777777" w:rsidR="000F6CE3" w:rsidRDefault="000F6CE3" w:rsidP="000F6CE3">
      <w:pPr>
        <w:jc w:val="center"/>
        <w:rPr>
          <w:b/>
          <w:color w:val="000000" w:themeColor="text1"/>
          <w:lang w:eastAsia="zh-CN"/>
        </w:rPr>
      </w:pPr>
      <w:r w:rsidRPr="00D17EA3">
        <w:rPr>
          <w:b/>
          <w:color w:val="000000" w:themeColor="text1"/>
        </w:rPr>
        <w:t>Student ID:</w:t>
      </w:r>
      <w:r>
        <w:rPr>
          <w:rFonts w:hint="eastAsia"/>
          <w:b/>
          <w:color w:val="000000" w:themeColor="text1"/>
          <w:lang w:eastAsia="zh-CN"/>
        </w:rPr>
        <w:t>2500387</w:t>
      </w:r>
    </w:p>
    <w:p w14:paraId="5893FF04" w14:textId="77777777" w:rsidR="000F6CE3" w:rsidRDefault="000F6CE3" w:rsidP="000F6CE3">
      <w:pPr>
        <w:jc w:val="center"/>
        <w:rPr>
          <w:b/>
          <w:color w:val="000000" w:themeColor="text1"/>
          <w:lang w:eastAsia="zh-CN"/>
        </w:rPr>
      </w:pPr>
      <w:r>
        <w:rPr>
          <w:rFonts w:hint="eastAsia"/>
          <w:b/>
          <w:color w:val="000000" w:themeColor="text1"/>
          <w:lang w:eastAsia="zh-CN"/>
        </w:rPr>
        <w:t>Written by</w:t>
      </w:r>
      <w:r>
        <w:rPr>
          <w:rFonts w:hint="eastAsia"/>
          <w:b/>
          <w:color w:val="000000" w:themeColor="text1"/>
          <w:lang w:eastAsia="zh-CN"/>
        </w:rPr>
        <w:t>：</w:t>
      </w:r>
      <w:r>
        <w:rPr>
          <w:rFonts w:hint="eastAsia"/>
          <w:b/>
          <w:color w:val="000000" w:themeColor="text1"/>
          <w:lang w:eastAsia="zh-CN"/>
        </w:rPr>
        <w:t>Junwei Wang</w:t>
      </w:r>
    </w:p>
    <w:p w14:paraId="40AB1279" w14:textId="3892B588" w:rsidR="000F6CE3" w:rsidRDefault="000F6CE3" w:rsidP="000F6CE3">
      <w:pPr>
        <w:jc w:val="center"/>
        <w:rPr>
          <w:rFonts w:hint="eastAsia"/>
          <w:b/>
          <w:color w:val="000000" w:themeColor="text1"/>
          <w:lang w:eastAsia="zh-CN"/>
        </w:rPr>
      </w:pPr>
      <w:r>
        <w:rPr>
          <w:rFonts w:hint="eastAsia"/>
          <w:b/>
          <w:color w:val="000000" w:themeColor="text1"/>
          <w:lang w:eastAsia="zh-CN"/>
        </w:rPr>
        <w:t>Instructor</w:t>
      </w:r>
      <w:r>
        <w:rPr>
          <w:rFonts w:hint="eastAsia"/>
          <w:b/>
          <w:color w:val="000000" w:themeColor="text1"/>
          <w:lang w:eastAsia="zh-CN"/>
        </w:rPr>
        <w:t>：</w:t>
      </w:r>
      <w:r>
        <w:rPr>
          <w:rFonts w:hint="eastAsia"/>
          <w:b/>
          <w:color w:val="000000" w:themeColor="text1"/>
          <w:lang w:eastAsia="zh-CN"/>
        </w:rPr>
        <w:t>Badir Miftah</w:t>
      </w:r>
    </w:p>
    <w:p w14:paraId="7DF07383" w14:textId="4C6AE009" w:rsidR="000F6CE3" w:rsidRPr="00D17EA3" w:rsidRDefault="000F6CE3" w:rsidP="000F6CE3">
      <w:pPr>
        <w:jc w:val="center"/>
        <w:rPr>
          <w:b/>
          <w:color w:val="000000" w:themeColor="text1"/>
          <w:lang w:eastAsia="zh-CN"/>
        </w:rPr>
      </w:pPr>
      <w:r>
        <w:rPr>
          <w:rFonts w:hint="eastAsia"/>
          <w:b/>
          <w:color w:val="000000" w:themeColor="text1"/>
          <w:lang w:eastAsia="zh-CN"/>
        </w:rPr>
        <w:t>Date</w:t>
      </w:r>
      <w:r>
        <w:rPr>
          <w:rFonts w:hint="eastAsia"/>
          <w:b/>
          <w:color w:val="000000" w:themeColor="text1"/>
          <w:lang w:eastAsia="zh-CN"/>
        </w:rPr>
        <w:t>：</w:t>
      </w:r>
      <w:r>
        <w:rPr>
          <w:rFonts w:hint="eastAsia"/>
          <w:b/>
          <w:color w:val="000000" w:themeColor="text1"/>
          <w:lang w:eastAsia="zh-CN"/>
        </w:rPr>
        <w:t>2</w:t>
      </w:r>
      <w:r>
        <w:rPr>
          <w:rFonts w:hint="eastAsia"/>
          <w:b/>
          <w:color w:val="000000" w:themeColor="text1"/>
          <w:lang w:eastAsia="zh-CN"/>
        </w:rPr>
        <w:t xml:space="preserve">7 </w:t>
      </w:r>
      <w:r>
        <w:rPr>
          <w:rFonts w:hint="eastAsia"/>
          <w:b/>
          <w:color w:val="000000" w:themeColor="text1"/>
          <w:lang w:eastAsia="zh-CN"/>
        </w:rPr>
        <w:t>March 2026</w:t>
      </w:r>
    </w:p>
    <w:p w14:paraId="7C93040C" w14:textId="77777777" w:rsidR="000F6CE3" w:rsidRPr="00E831E1" w:rsidRDefault="000F6CE3" w:rsidP="000F6CE3">
      <w:pPr>
        <w:pStyle w:val="af3"/>
        <w:ind w:right="180"/>
        <w:jc w:val="right"/>
        <w:rPr>
          <w:rFonts w:hint="eastAsia"/>
          <w:b/>
          <w:bCs/>
          <w:lang w:eastAsia="zh-CN"/>
        </w:rPr>
      </w:pPr>
    </w:p>
    <w:p w14:paraId="2C452A69" w14:textId="77777777" w:rsidR="005E6F4D" w:rsidRPr="00E831E1" w:rsidRDefault="005E6F4D" w:rsidP="005E6F4D">
      <w:pPr>
        <w:pStyle w:val="1"/>
        <w:rPr>
          <w:rFonts w:hint="eastAsia"/>
        </w:rPr>
      </w:pPr>
      <w:bookmarkStart w:id="0" w:name="_Toc224030204"/>
      <w:bookmarkStart w:id="1" w:name="OLE_LINK1"/>
      <w:r>
        <w:lastRenderedPageBreak/>
        <w:t xml:space="preserve">1. </w:t>
      </w:r>
      <w:r w:rsidRPr="00E831E1">
        <w:t>Executive Summary</w:t>
      </w:r>
      <w:bookmarkEnd w:id="0"/>
    </w:p>
    <w:p w14:paraId="7478D3EF"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The acquisition of Gist Limited by Marks and Spencer was in my opinion a rather successful is a vertical acquisition, nevertheless the success can be well seen in the operations rather than on the pure deal economics. It was announced by M&amp;S in July 2022 and completed on 30 September 2022, as one of the means to gain control over its food supply chain, eliminate an expensive legacy contract, and enhance resilience following the Brexit, Covid-19 disruption and labour shortages (M&amp;S, 2022). This argument applies to the traditional efficiency perspective of mergers, with value being created by coordination and rationalisation, as well as in terms of combining resources and not just by size (Trautwein, 1990; Bradley, Desai and Kim, 1988; Healy, Palepu and Ruback, 1992).</w:t>
      </w:r>
    </w:p>
    <w:p w14:paraId="5A677733"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 xml:space="preserve">The evidence that could be obtained post-transaction indicates that those working objectives were largely realized. M&amp;S claimed the integration created greater logistics savings than anticipated and a payback on invested capital was realized in a very short span however it also added that the inherited network was still old and costly to serve. This is why the acquisition is a good case study of a deal that is strategically correct but leaves significant execution tasks after the deal and this is in line with research findings that M&amp;A value is less on announcement logic and more on the ability to integrate into the deal (Cartwright and Schoenberg, 2006; </w:t>
      </w:r>
      <w:proofErr w:type="spellStart"/>
      <w:r w:rsidRPr="00E831E1">
        <w:rPr>
          <w:rFonts w:eastAsia="Times New Roman" w:cs="Times New Roman"/>
        </w:rPr>
        <w:t>Haleblian</w:t>
      </w:r>
      <w:proofErr w:type="spellEnd"/>
      <w:r w:rsidRPr="00E831E1">
        <w:rPr>
          <w:rFonts w:eastAsia="Times New Roman" w:cs="Times New Roman"/>
        </w:rPr>
        <w:t xml:space="preserve"> et al., 2009; Meglio and Risberg, 2011). In general, this deal appears to have achieved much of its original goals, although the greatest conclusion is that it did not generate automatic value to shareholders but conditional value. </w:t>
      </w:r>
    </w:p>
    <w:p w14:paraId="4E54D7A3" w14:textId="77777777" w:rsidR="005E6F4D" w:rsidRPr="00E831E1" w:rsidRDefault="005E6F4D" w:rsidP="005E6F4D">
      <w:pPr>
        <w:rPr>
          <w:b/>
          <w:bCs/>
        </w:rPr>
      </w:pPr>
      <w:r w:rsidRPr="00E831E1">
        <w:rPr>
          <w:b/>
          <w:bCs/>
        </w:rPr>
        <w:br w:type="page"/>
      </w:r>
    </w:p>
    <w:sdt>
      <w:sdtPr>
        <w:rPr>
          <w:b/>
          <w:bCs/>
        </w:rPr>
        <w:id w:val="1800566622"/>
        <w:docPartObj>
          <w:docPartGallery w:val="Table of Contents"/>
          <w:docPartUnique/>
        </w:docPartObj>
      </w:sdtPr>
      <w:sdtEndPr>
        <w:rPr>
          <w:noProof/>
        </w:rPr>
      </w:sdtEndPr>
      <w:sdtContent>
        <w:p w14:paraId="27E16893" w14:textId="77777777" w:rsidR="005E6F4D" w:rsidRPr="00E533FD" w:rsidRDefault="005E6F4D" w:rsidP="005E6F4D">
          <w:pPr>
            <w:shd w:val="clear" w:color="auto" w:fill="ADADAD" w:themeFill="background2" w:themeFillShade="BF"/>
            <w:jc w:val="center"/>
            <w:rPr>
              <w:b/>
              <w:bCs/>
            </w:rPr>
          </w:pPr>
          <w:r w:rsidRPr="00E533FD">
            <w:rPr>
              <w:b/>
              <w:bCs/>
            </w:rPr>
            <w:t>Table of Contents</w:t>
          </w:r>
        </w:p>
        <w:p w14:paraId="0D759983" w14:textId="77777777" w:rsidR="005E6F4D" w:rsidRDefault="005E6F4D" w:rsidP="005E6F4D">
          <w:pPr>
            <w:pStyle w:val="TOC1"/>
            <w:tabs>
              <w:tab w:val="right" w:leader="dot" w:pos="9350"/>
            </w:tabs>
            <w:rPr>
              <w:rFonts w:asciiTheme="minorHAnsi" w:hAnsiTheme="minorHAnsi" w:hint="eastAsia"/>
              <w:noProof/>
              <w:lang w:val="en-US"/>
            </w:rPr>
          </w:pPr>
          <w:r>
            <w:fldChar w:fldCharType="begin"/>
          </w:r>
          <w:r>
            <w:instrText xml:space="preserve"> TOC \o "1-3" \h \z \u </w:instrText>
          </w:r>
          <w:r>
            <w:fldChar w:fldCharType="separate"/>
          </w:r>
          <w:hyperlink w:anchor="_Toc224030204" w:history="1">
            <w:r w:rsidRPr="00823518">
              <w:rPr>
                <w:rStyle w:val="ae"/>
                <w:noProof/>
              </w:rPr>
              <w:t>1. Executive Summary</w:t>
            </w:r>
            <w:r>
              <w:rPr>
                <w:noProof/>
                <w:webHidden/>
              </w:rPr>
              <w:tab/>
            </w:r>
            <w:r>
              <w:rPr>
                <w:noProof/>
                <w:webHidden/>
              </w:rPr>
              <w:fldChar w:fldCharType="begin"/>
            </w:r>
            <w:r>
              <w:rPr>
                <w:noProof/>
                <w:webHidden/>
              </w:rPr>
              <w:instrText xml:space="preserve"> PAGEREF _Toc224030204 \h </w:instrText>
            </w:r>
            <w:r>
              <w:rPr>
                <w:noProof/>
                <w:webHidden/>
              </w:rPr>
            </w:r>
            <w:r>
              <w:rPr>
                <w:noProof/>
                <w:webHidden/>
              </w:rPr>
              <w:fldChar w:fldCharType="separate"/>
            </w:r>
            <w:r>
              <w:rPr>
                <w:noProof/>
                <w:webHidden/>
              </w:rPr>
              <w:t>2</w:t>
            </w:r>
            <w:r>
              <w:rPr>
                <w:noProof/>
                <w:webHidden/>
              </w:rPr>
              <w:fldChar w:fldCharType="end"/>
            </w:r>
          </w:hyperlink>
        </w:p>
        <w:p w14:paraId="738EDC5A" w14:textId="77777777" w:rsidR="005E6F4D" w:rsidRDefault="005E6F4D" w:rsidP="005E6F4D">
          <w:pPr>
            <w:pStyle w:val="TOC1"/>
            <w:tabs>
              <w:tab w:val="right" w:leader="dot" w:pos="9350"/>
            </w:tabs>
            <w:rPr>
              <w:rFonts w:asciiTheme="minorHAnsi" w:hAnsiTheme="minorHAnsi" w:hint="eastAsia"/>
              <w:noProof/>
              <w:lang w:val="en-US"/>
            </w:rPr>
          </w:pPr>
          <w:hyperlink w:anchor="_Toc224030205" w:history="1">
            <w:r w:rsidRPr="00823518">
              <w:rPr>
                <w:rStyle w:val="ae"/>
                <w:noProof/>
              </w:rPr>
              <w:t>2. Introduction</w:t>
            </w:r>
            <w:r>
              <w:rPr>
                <w:noProof/>
                <w:webHidden/>
              </w:rPr>
              <w:tab/>
            </w:r>
            <w:r>
              <w:rPr>
                <w:noProof/>
                <w:webHidden/>
              </w:rPr>
              <w:fldChar w:fldCharType="begin"/>
            </w:r>
            <w:r>
              <w:rPr>
                <w:noProof/>
                <w:webHidden/>
              </w:rPr>
              <w:instrText xml:space="preserve"> PAGEREF _Toc224030205 \h </w:instrText>
            </w:r>
            <w:r>
              <w:rPr>
                <w:noProof/>
                <w:webHidden/>
              </w:rPr>
            </w:r>
            <w:r>
              <w:rPr>
                <w:noProof/>
                <w:webHidden/>
              </w:rPr>
              <w:fldChar w:fldCharType="separate"/>
            </w:r>
            <w:r>
              <w:rPr>
                <w:noProof/>
                <w:webHidden/>
              </w:rPr>
              <w:t>4</w:t>
            </w:r>
            <w:r>
              <w:rPr>
                <w:noProof/>
                <w:webHidden/>
              </w:rPr>
              <w:fldChar w:fldCharType="end"/>
            </w:r>
          </w:hyperlink>
        </w:p>
        <w:p w14:paraId="4AA85784" w14:textId="77777777" w:rsidR="005E6F4D" w:rsidRDefault="005E6F4D" w:rsidP="005E6F4D">
          <w:pPr>
            <w:pStyle w:val="TOC1"/>
            <w:tabs>
              <w:tab w:val="right" w:leader="dot" w:pos="9350"/>
            </w:tabs>
            <w:rPr>
              <w:rFonts w:asciiTheme="minorHAnsi" w:hAnsiTheme="minorHAnsi" w:hint="eastAsia"/>
              <w:noProof/>
              <w:lang w:val="en-US"/>
            </w:rPr>
          </w:pPr>
          <w:hyperlink w:anchor="_Toc224030206" w:history="1">
            <w:r w:rsidRPr="00823518">
              <w:rPr>
                <w:rStyle w:val="ae"/>
                <w:noProof/>
              </w:rPr>
              <w:t>3. Analysis</w:t>
            </w:r>
            <w:r>
              <w:rPr>
                <w:noProof/>
                <w:webHidden/>
              </w:rPr>
              <w:tab/>
            </w:r>
            <w:r>
              <w:rPr>
                <w:noProof/>
                <w:webHidden/>
              </w:rPr>
              <w:fldChar w:fldCharType="begin"/>
            </w:r>
            <w:r>
              <w:rPr>
                <w:noProof/>
                <w:webHidden/>
              </w:rPr>
              <w:instrText xml:space="preserve"> PAGEREF _Toc224030206 \h </w:instrText>
            </w:r>
            <w:r>
              <w:rPr>
                <w:noProof/>
                <w:webHidden/>
              </w:rPr>
            </w:r>
            <w:r>
              <w:rPr>
                <w:noProof/>
                <w:webHidden/>
              </w:rPr>
              <w:fldChar w:fldCharType="separate"/>
            </w:r>
            <w:r>
              <w:rPr>
                <w:noProof/>
                <w:webHidden/>
              </w:rPr>
              <w:t>5</w:t>
            </w:r>
            <w:r>
              <w:rPr>
                <w:noProof/>
                <w:webHidden/>
              </w:rPr>
              <w:fldChar w:fldCharType="end"/>
            </w:r>
          </w:hyperlink>
        </w:p>
        <w:p w14:paraId="37322F4E" w14:textId="77777777" w:rsidR="005E6F4D" w:rsidRDefault="005E6F4D" w:rsidP="005E6F4D">
          <w:pPr>
            <w:pStyle w:val="TOC1"/>
            <w:tabs>
              <w:tab w:val="right" w:leader="dot" w:pos="9350"/>
            </w:tabs>
            <w:rPr>
              <w:rFonts w:asciiTheme="minorHAnsi" w:hAnsiTheme="minorHAnsi" w:hint="eastAsia"/>
              <w:noProof/>
              <w:lang w:val="en-US"/>
            </w:rPr>
          </w:pPr>
          <w:hyperlink w:anchor="_Toc224030207" w:history="1">
            <w:r w:rsidRPr="00823518">
              <w:rPr>
                <w:rStyle w:val="ae"/>
                <w:noProof/>
              </w:rPr>
              <w:t>4. Conclusion</w:t>
            </w:r>
            <w:r>
              <w:rPr>
                <w:noProof/>
                <w:webHidden/>
              </w:rPr>
              <w:tab/>
            </w:r>
            <w:r>
              <w:rPr>
                <w:noProof/>
                <w:webHidden/>
              </w:rPr>
              <w:fldChar w:fldCharType="begin"/>
            </w:r>
            <w:r>
              <w:rPr>
                <w:noProof/>
                <w:webHidden/>
              </w:rPr>
              <w:instrText xml:space="preserve"> PAGEREF _Toc224030207 \h </w:instrText>
            </w:r>
            <w:r>
              <w:rPr>
                <w:noProof/>
                <w:webHidden/>
              </w:rPr>
            </w:r>
            <w:r>
              <w:rPr>
                <w:noProof/>
                <w:webHidden/>
              </w:rPr>
              <w:fldChar w:fldCharType="separate"/>
            </w:r>
            <w:r>
              <w:rPr>
                <w:noProof/>
                <w:webHidden/>
              </w:rPr>
              <w:t>10</w:t>
            </w:r>
            <w:r>
              <w:rPr>
                <w:noProof/>
                <w:webHidden/>
              </w:rPr>
              <w:fldChar w:fldCharType="end"/>
            </w:r>
          </w:hyperlink>
        </w:p>
        <w:p w14:paraId="1B4DA0B3" w14:textId="77777777" w:rsidR="005E6F4D" w:rsidRDefault="005E6F4D" w:rsidP="005E6F4D">
          <w:pPr>
            <w:pStyle w:val="TOC1"/>
            <w:tabs>
              <w:tab w:val="right" w:leader="dot" w:pos="9350"/>
            </w:tabs>
            <w:rPr>
              <w:rFonts w:asciiTheme="minorHAnsi" w:hAnsiTheme="minorHAnsi" w:hint="eastAsia"/>
              <w:noProof/>
              <w:lang w:val="en-US"/>
            </w:rPr>
          </w:pPr>
          <w:hyperlink w:anchor="_Toc224030208" w:history="1">
            <w:r w:rsidRPr="00823518">
              <w:rPr>
                <w:rStyle w:val="ae"/>
                <w:rFonts w:eastAsia="Times New Roman"/>
                <w:noProof/>
              </w:rPr>
              <w:t>5. References</w:t>
            </w:r>
            <w:r>
              <w:rPr>
                <w:noProof/>
                <w:webHidden/>
              </w:rPr>
              <w:tab/>
            </w:r>
            <w:r>
              <w:rPr>
                <w:noProof/>
                <w:webHidden/>
              </w:rPr>
              <w:fldChar w:fldCharType="begin"/>
            </w:r>
            <w:r>
              <w:rPr>
                <w:noProof/>
                <w:webHidden/>
              </w:rPr>
              <w:instrText xml:space="preserve"> PAGEREF _Toc224030208 \h </w:instrText>
            </w:r>
            <w:r>
              <w:rPr>
                <w:noProof/>
                <w:webHidden/>
              </w:rPr>
            </w:r>
            <w:r>
              <w:rPr>
                <w:noProof/>
                <w:webHidden/>
              </w:rPr>
              <w:fldChar w:fldCharType="separate"/>
            </w:r>
            <w:r>
              <w:rPr>
                <w:noProof/>
                <w:webHidden/>
              </w:rPr>
              <w:t>12</w:t>
            </w:r>
            <w:r>
              <w:rPr>
                <w:noProof/>
                <w:webHidden/>
              </w:rPr>
              <w:fldChar w:fldCharType="end"/>
            </w:r>
          </w:hyperlink>
        </w:p>
        <w:p w14:paraId="0C1AB2F2" w14:textId="77777777" w:rsidR="005E6F4D" w:rsidRDefault="005E6F4D" w:rsidP="005E6F4D">
          <w:r>
            <w:rPr>
              <w:b/>
              <w:bCs/>
              <w:noProof/>
            </w:rPr>
            <w:fldChar w:fldCharType="end"/>
          </w:r>
        </w:p>
      </w:sdtContent>
    </w:sdt>
    <w:p w14:paraId="774F9F10" w14:textId="77777777" w:rsidR="005E6F4D" w:rsidRPr="00E831E1" w:rsidRDefault="005E6F4D" w:rsidP="005E6F4D">
      <w:pPr>
        <w:rPr>
          <w:b/>
          <w:bCs/>
        </w:rPr>
      </w:pPr>
      <w:r w:rsidRPr="00E831E1">
        <w:rPr>
          <w:b/>
          <w:bCs/>
        </w:rPr>
        <w:br w:type="page"/>
      </w:r>
    </w:p>
    <w:p w14:paraId="44962F02" w14:textId="77777777" w:rsidR="005E6F4D" w:rsidRPr="00E831E1" w:rsidRDefault="005E6F4D" w:rsidP="005E6F4D">
      <w:pPr>
        <w:pStyle w:val="1"/>
        <w:rPr>
          <w:rFonts w:hint="eastAsia"/>
        </w:rPr>
      </w:pPr>
      <w:bookmarkStart w:id="2" w:name="_Toc224030205"/>
      <w:r>
        <w:lastRenderedPageBreak/>
        <w:t xml:space="preserve">2. </w:t>
      </w:r>
      <w:r w:rsidRPr="00E831E1">
        <w:t>Introduction</w:t>
      </w:r>
      <w:bookmarkEnd w:id="2"/>
    </w:p>
    <w:p w14:paraId="509645DA"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 xml:space="preserve">M&amp;S purchased one hundred percent of the share capital of Gist with an initial cash sum of £145 million, with additional sums of money dependent on the results of the freehold property purchase, and it was financed through existing cash reserves. Gist was not a new target: they had been the major logistics and supply partner of M&amp;S Food since 1967 and have a network of 8 main and 10 minor distribution centres in the UK and </w:t>
      </w:r>
      <w:r>
        <w:rPr>
          <w:rFonts w:eastAsia="Times New Roman" w:cs="Times New Roman"/>
        </w:rPr>
        <w:t xml:space="preserve">the </w:t>
      </w:r>
      <w:r w:rsidRPr="00E831E1">
        <w:rPr>
          <w:rFonts w:eastAsia="Times New Roman" w:cs="Times New Roman"/>
        </w:rPr>
        <w:t xml:space="preserve">Republic of Ireland with approximately 5,800 employees. This was not a diversification play in the more conventional conglomerate </w:t>
      </w:r>
      <w:r>
        <w:rPr>
          <w:rFonts w:eastAsia="Times New Roman" w:cs="Times New Roman"/>
        </w:rPr>
        <w:t>sense</w:t>
      </w:r>
      <w:r w:rsidRPr="00E831E1">
        <w:rPr>
          <w:rFonts w:eastAsia="Times New Roman" w:cs="Times New Roman"/>
        </w:rPr>
        <w:t xml:space="preserve"> due to that long-standing relationship. It was a vertical acquisition aimed at internalising a strategic value.</w:t>
      </w:r>
    </w:p>
    <w:p w14:paraId="3002AC24"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That distinction matters. According to the lecture notes on Financial Market Efficiency, acquisitions in an efficient market can only be made when the acquirer can generate real gains due to economies, rationalisation or enhanced control</w:t>
      </w:r>
      <w:r>
        <w:rPr>
          <w:rFonts w:eastAsia="Times New Roman" w:cs="Times New Roman"/>
        </w:rPr>
        <w:t>,</w:t>
      </w:r>
      <w:r w:rsidRPr="00E831E1">
        <w:rPr>
          <w:rFonts w:eastAsia="Times New Roman" w:cs="Times New Roman"/>
        </w:rPr>
        <w:t xml:space="preserve"> but not through paying a premium to the already-priced assets (</w:t>
      </w:r>
      <w:r>
        <w:rPr>
          <w:rFonts w:eastAsia="Times New Roman" w:cs="Times New Roman"/>
        </w:rPr>
        <w:t>W</w:t>
      </w:r>
      <w:r w:rsidRPr="00E831E1">
        <w:rPr>
          <w:rFonts w:eastAsia="Times New Roman" w:cs="Times New Roman"/>
        </w:rPr>
        <w:t>eek topic: Financial Market Efficiency). The same is generally supported by M&amp;A theory. Trautwein (1990) demonstrates that motives of mergers vary with efficiency motives as well as empire-building motives</w:t>
      </w:r>
      <w:r>
        <w:rPr>
          <w:rFonts w:eastAsia="Times New Roman" w:cs="Times New Roman"/>
        </w:rPr>
        <w:t>,</w:t>
      </w:r>
      <w:r w:rsidRPr="00E831E1">
        <w:rPr>
          <w:rFonts w:eastAsia="Times New Roman" w:cs="Times New Roman"/>
        </w:rPr>
        <w:t xml:space="preserve"> whereas Roll (1986) and Jensen (1986) caution that the motives of mergers may include managerial hubris, and free cash flow may push the firms to poor dealings. It is against this reason that it is not whether Gist was strategically relevant, as this was pure, but whether its in-house acquisition generated scale, efficiency, cash consumption, profitability and shareholder wealth, which are measurable. </w:t>
      </w:r>
    </w:p>
    <w:p w14:paraId="7192A2CA" w14:textId="77777777" w:rsidR="005E6F4D" w:rsidRPr="00C35628" w:rsidRDefault="005E6F4D" w:rsidP="005E6F4D">
      <w:pPr>
        <w:spacing w:after="100" w:afterAutospacing="1"/>
        <w:jc w:val="center"/>
        <w:rPr>
          <w:rFonts w:eastAsia="Times New Roman" w:cs="Times New Roman"/>
          <w:b/>
          <w:bCs/>
        </w:rPr>
      </w:pPr>
      <w:r w:rsidRPr="00C35628">
        <w:rPr>
          <w:rFonts w:eastAsia="Times New Roman" w:cs="Times New Roman"/>
          <w:b/>
          <w:bCs/>
        </w:rPr>
        <w:t>Table 1 provides the basic transaction context that frames the analysis (Financial Times, 2022).</w:t>
      </w:r>
    </w:p>
    <w:tbl>
      <w:tblPr>
        <w:tblStyle w:val="af"/>
        <w:tblW w:w="0" w:type="auto"/>
        <w:tblLook w:val="04A0" w:firstRow="1" w:lastRow="0" w:firstColumn="1" w:lastColumn="0" w:noHBand="0" w:noVBand="1"/>
      </w:tblPr>
      <w:tblGrid>
        <w:gridCol w:w="1982"/>
        <w:gridCol w:w="7034"/>
      </w:tblGrid>
      <w:tr w:rsidR="005E6F4D" w:rsidRPr="00E831E1" w14:paraId="1DC698E7" w14:textId="77777777" w:rsidTr="0008044B">
        <w:tc>
          <w:tcPr>
            <w:tcW w:w="0" w:type="auto"/>
            <w:hideMark/>
          </w:tcPr>
          <w:p w14:paraId="217C04B0" w14:textId="77777777" w:rsidR="005E6F4D" w:rsidRPr="00E831E1" w:rsidRDefault="005E6F4D" w:rsidP="0008044B">
            <w:pPr>
              <w:jc w:val="center"/>
              <w:rPr>
                <w:rFonts w:eastAsia="Times New Roman" w:cs="Times New Roman"/>
                <w:b/>
                <w:bCs/>
              </w:rPr>
            </w:pPr>
            <w:r w:rsidRPr="00E831E1">
              <w:rPr>
                <w:rFonts w:eastAsia="Times New Roman" w:cs="Times New Roman"/>
                <w:b/>
                <w:bCs/>
              </w:rPr>
              <w:t>Item</w:t>
            </w:r>
          </w:p>
        </w:tc>
        <w:tc>
          <w:tcPr>
            <w:tcW w:w="0" w:type="auto"/>
            <w:hideMark/>
          </w:tcPr>
          <w:p w14:paraId="2DCC9D98" w14:textId="77777777" w:rsidR="005E6F4D" w:rsidRPr="00E831E1" w:rsidRDefault="005E6F4D" w:rsidP="0008044B">
            <w:pPr>
              <w:jc w:val="center"/>
              <w:rPr>
                <w:rFonts w:eastAsia="Times New Roman" w:cs="Times New Roman"/>
                <w:b/>
                <w:bCs/>
              </w:rPr>
            </w:pPr>
            <w:r w:rsidRPr="00E831E1">
              <w:rPr>
                <w:rFonts w:eastAsia="Times New Roman" w:cs="Times New Roman"/>
                <w:b/>
                <w:bCs/>
              </w:rPr>
              <w:t>Evidence</w:t>
            </w:r>
          </w:p>
        </w:tc>
      </w:tr>
      <w:tr w:rsidR="005E6F4D" w:rsidRPr="00E831E1" w14:paraId="0B038777" w14:textId="77777777" w:rsidTr="0008044B">
        <w:tc>
          <w:tcPr>
            <w:tcW w:w="0" w:type="auto"/>
            <w:hideMark/>
          </w:tcPr>
          <w:p w14:paraId="66E490BC" w14:textId="77777777" w:rsidR="005E6F4D" w:rsidRPr="00E831E1" w:rsidRDefault="005E6F4D" w:rsidP="0008044B">
            <w:pPr>
              <w:rPr>
                <w:rFonts w:eastAsia="Times New Roman" w:cs="Times New Roman"/>
              </w:rPr>
            </w:pPr>
            <w:r w:rsidRPr="00E831E1">
              <w:rPr>
                <w:rFonts w:eastAsia="Times New Roman" w:cs="Times New Roman"/>
              </w:rPr>
              <w:t>Deal announcement</w:t>
            </w:r>
          </w:p>
        </w:tc>
        <w:tc>
          <w:tcPr>
            <w:tcW w:w="0" w:type="auto"/>
            <w:hideMark/>
          </w:tcPr>
          <w:p w14:paraId="69916CB0" w14:textId="77777777" w:rsidR="005E6F4D" w:rsidRPr="00E831E1" w:rsidRDefault="005E6F4D" w:rsidP="0008044B">
            <w:pPr>
              <w:rPr>
                <w:rFonts w:eastAsia="Times New Roman" w:cs="Times New Roman"/>
              </w:rPr>
            </w:pPr>
            <w:r w:rsidRPr="00E831E1">
              <w:rPr>
                <w:rFonts w:eastAsia="Times New Roman" w:cs="Times New Roman"/>
              </w:rPr>
              <w:t>July 2022</w:t>
            </w:r>
          </w:p>
        </w:tc>
      </w:tr>
      <w:tr w:rsidR="005E6F4D" w:rsidRPr="00E831E1" w14:paraId="32A0F057" w14:textId="77777777" w:rsidTr="0008044B">
        <w:tc>
          <w:tcPr>
            <w:tcW w:w="0" w:type="auto"/>
            <w:hideMark/>
          </w:tcPr>
          <w:p w14:paraId="21708672" w14:textId="77777777" w:rsidR="005E6F4D" w:rsidRPr="00E831E1" w:rsidRDefault="005E6F4D" w:rsidP="0008044B">
            <w:pPr>
              <w:rPr>
                <w:rFonts w:eastAsia="Times New Roman" w:cs="Times New Roman"/>
              </w:rPr>
            </w:pPr>
            <w:r w:rsidRPr="00E831E1">
              <w:rPr>
                <w:rFonts w:eastAsia="Times New Roman" w:cs="Times New Roman"/>
              </w:rPr>
              <w:t>Completion date</w:t>
            </w:r>
          </w:p>
        </w:tc>
        <w:tc>
          <w:tcPr>
            <w:tcW w:w="0" w:type="auto"/>
            <w:hideMark/>
          </w:tcPr>
          <w:p w14:paraId="74E28F50" w14:textId="77777777" w:rsidR="005E6F4D" w:rsidRPr="00E831E1" w:rsidRDefault="005E6F4D" w:rsidP="0008044B">
            <w:pPr>
              <w:rPr>
                <w:rFonts w:eastAsia="Times New Roman" w:cs="Times New Roman"/>
              </w:rPr>
            </w:pPr>
            <w:r w:rsidRPr="00E831E1">
              <w:rPr>
                <w:rFonts w:eastAsia="Times New Roman" w:cs="Times New Roman"/>
              </w:rPr>
              <w:t>30 September 2022</w:t>
            </w:r>
          </w:p>
        </w:tc>
      </w:tr>
      <w:tr w:rsidR="005E6F4D" w:rsidRPr="00E831E1" w14:paraId="4A5F5D21" w14:textId="77777777" w:rsidTr="0008044B">
        <w:tc>
          <w:tcPr>
            <w:tcW w:w="0" w:type="auto"/>
            <w:hideMark/>
          </w:tcPr>
          <w:p w14:paraId="6331123E" w14:textId="77777777" w:rsidR="005E6F4D" w:rsidRPr="00E831E1" w:rsidRDefault="005E6F4D" w:rsidP="0008044B">
            <w:pPr>
              <w:rPr>
                <w:rFonts w:eastAsia="Times New Roman" w:cs="Times New Roman"/>
              </w:rPr>
            </w:pPr>
            <w:r w:rsidRPr="00E831E1">
              <w:rPr>
                <w:rFonts w:eastAsia="Times New Roman" w:cs="Times New Roman"/>
              </w:rPr>
              <w:lastRenderedPageBreak/>
              <w:t>Initial consideration</w:t>
            </w:r>
          </w:p>
        </w:tc>
        <w:tc>
          <w:tcPr>
            <w:tcW w:w="0" w:type="auto"/>
            <w:hideMark/>
          </w:tcPr>
          <w:p w14:paraId="6C95D027" w14:textId="77777777" w:rsidR="005E6F4D" w:rsidRPr="00E831E1" w:rsidRDefault="005E6F4D" w:rsidP="0008044B">
            <w:pPr>
              <w:rPr>
                <w:rFonts w:eastAsia="Times New Roman" w:cs="Times New Roman"/>
              </w:rPr>
            </w:pPr>
            <w:r w:rsidRPr="00E831E1">
              <w:rPr>
                <w:rFonts w:eastAsia="Times New Roman" w:cs="Times New Roman"/>
              </w:rPr>
              <w:t>£145 million cash</w:t>
            </w:r>
          </w:p>
        </w:tc>
      </w:tr>
      <w:tr w:rsidR="005E6F4D" w:rsidRPr="00E831E1" w14:paraId="4D70E8EE" w14:textId="77777777" w:rsidTr="0008044B">
        <w:tc>
          <w:tcPr>
            <w:tcW w:w="0" w:type="auto"/>
            <w:hideMark/>
          </w:tcPr>
          <w:p w14:paraId="4784A9A8" w14:textId="77777777" w:rsidR="005E6F4D" w:rsidRPr="00E831E1" w:rsidRDefault="005E6F4D" w:rsidP="0008044B">
            <w:pPr>
              <w:rPr>
                <w:rFonts w:eastAsia="Times New Roman" w:cs="Times New Roman"/>
              </w:rPr>
            </w:pPr>
            <w:r w:rsidRPr="00E831E1">
              <w:rPr>
                <w:rFonts w:eastAsia="Times New Roman" w:cs="Times New Roman"/>
              </w:rPr>
              <w:t>Funding source</w:t>
            </w:r>
          </w:p>
        </w:tc>
        <w:tc>
          <w:tcPr>
            <w:tcW w:w="0" w:type="auto"/>
            <w:hideMark/>
          </w:tcPr>
          <w:p w14:paraId="476D76BC" w14:textId="77777777" w:rsidR="005E6F4D" w:rsidRPr="00E831E1" w:rsidRDefault="005E6F4D" w:rsidP="0008044B">
            <w:pPr>
              <w:rPr>
                <w:rFonts w:eastAsia="Times New Roman" w:cs="Times New Roman"/>
              </w:rPr>
            </w:pPr>
            <w:r w:rsidRPr="00E831E1">
              <w:rPr>
                <w:rFonts w:eastAsia="Times New Roman" w:cs="Times New Roman"/>
              </w:rPr>
              <w:t>Existing cash reserves</w:t>
            </w:r>
          </w:p>
        </w:tc>
      </w:tr>
      <w:tr w:rsidR="005E6F4D" w:rsidRPr="00E831E1" w14:paraId="0B8A1557" w14:textId="77777777" w:rsidTr="0008044B">
        <w:tc>
          <w:tcPr>
            <w:tcW w:w="0" w:type="auto"/>
            <w:hideMark/>
          </w:tcPr>
          <w:p w14:paraId="7FA4DC1B" w14:textId="77777777" w:rsidR="005E6F4D" w:rsidRPr="00E831E1" w:rsidRDefault="005E6F4D" w:rsidP="0008044B">
            <w:pPr>
              <w:rPr>
                <w:rFonts w:eastAsia="Times New Roman" w:cs="Times New Roman"/>
              </w:rPr>
            </w:pPr>
            <w:r w:rsidRPr="00E831E1">
              <w:rPr>
                <w:rFonts w:eastAsia="Times New Roman" w:cs="Times New Roman"/>
              </w:rPr>
              <w:t>Gist network</w:t>
            </w:r>
          </w:p>
        </w:tc>
        <w:tc>
          <w:tcPr>
            <w:tcW w:w="0" w:type="auto"/>
            <w:hideMark/>
          </w:tcPr>
          <w:p w14:paraId="729CFC5B" w14:textId="77777777" w:rsidR="005E6F4D" w:rsidRPr="00E831E1" w:rsidRDefault="005E6F4D" w:rsidP="0008044B">
            <w:pPr>
              <w:rPr>
                <w:rFonts w:eastAsia="Times New Roman" w:cs="Times New Roman"/>
              </w:rPr>
            </w:pPr>
            <w:r w:rsidRPr="00E831E1">
              <w:rPr>
                <w:rFonts w:eastAsia="Times New Roman" w:cs="Times New Roman"/>
              </w:rPr>
              <w:t>8 primary and 10 secondary distribution centres</w:t>
            </w:r>
          </w:p>
        </w:tc>
      </w:tr>
      <w:tr w:rsidR="005E6F4D" w:rsidRPr="00E831E1" w14:paraId="162783A5" w14:textId="77777777" w:rsidTr="0008044B">
        <w:tc>
          <w:tcPr>
            <w:tcW w:w="0" w:type="auto"/>
            <w:hideMark/>
          </w:tcPr>
          <w:p w14:paraId="4B615BD5" w14:textId="77777777" w:rsidR="005E6F4D" w:rsidRPr="00E831E1" w:rsidRDefault="005E6F4D" w:rsidP="0008044B">
            <w:pPr>
              <w:rPr>
                <w:rFonts w:eastAsia="Times New Roman" w:cs="Times New Roman"/>
              </w:rPr>
            </w:pPr>
            <w:r w:rsidRPr="00E831E1">
              <w:rPr>
                <w:rFonts w:eastAsia="Times New Roman" w:cs="Times New Roman"/>
              </w:rPr>
              <w:t>Gist workforce</w:t>
            </w:r>
          </w:p>
        </w:tc>
        <w:tc>
          <w:tcPr>
            <w:tcW w:w="0" w:type="auto"/>
            <w:hideMark/>
          </w:tcPr>
          <w:p w14:paraId="710CE12E" w14:textId="77777777" w:rsidR="005E6F4D" w:rsidRPr="00E831E1" w:rsidRDefault="005E6F4D" w:rsidP="0008044B">
            <w:pPr>
              <w:rPr>
                <w:rFonts w:eastAsia="Times New Roman" w:cs="Times New Roman"/>
              </w:rPr>
            </w:pPr>
            <w:r w:rsidRPr="00E831E1">
              <w:rPr>
                <w:rFonts w:eastAsia="Times New Roman" w:cs="Times New Roman"/>
              </w:rPr>
              <w:t>Approximately 5,800 employees ​</w:t>
            </w:r>
          </w:p>
        </w:tc>
      </w:tr>
      <w:tr w:rsidR="005E6F4D" w:rsidRPr="00E831E1" w14:paraId="61280D24" w14:textId="77777777" w:rsidTr="0008044B">
        <w:tc>
          <w:tcPr>
            <w:tcW w:w="0" w:type="auto"/>
            <w:hideMark/>
          </w:tcPr>
          <w:p w14:paraId="04F21402" w14:textId="77777777" w:rsidR="005E6F4D" w:rsidRPr="00E831E1" w:rsidRDefault="005E6F4D" w:rsidP="0008044B">
            <w:pPr>
              <w:rPr>
                <w:rFonts w:eastAsia="Times New Roman" w:cs="Times New Roman"/>
              </w:rPr>
            </w:pPr>
            <w:r w:rsidRPr="00E831E1">
              <w:rPr>
                <w:rFonts w:eastAsia="Times New Roman" w:cs="Times New Roman"/>
              </w:rPr>
              <w:t>Stated aim</w:t>
            </w:r>
          </w:p>
        </w:tc>
        <w:tc>
          <w:tcPr>
            <w:tcW w:w="0" w:type="auto"/>
            <w:hideMark/>
          </w:tcPr>
          <w:p w14:paraId="55F633A4" w14:textId="77777777" w:rsidR="005E6F4D" w:rsidRPr="00E831E1" w:rsidRDefault="005E6F4D" w:rsidP="0008044B">
            <w:pPr>
              <w:rPr>
                <w:rFonts w:eastAsia="Times New Roman" w:cs="Times New Roman"/>
              </w:rPr>
            </w:pPr>
            <w:r w:rsidRPr="00E831E1">
              <w:rPr>
                <w:rFonts w:eastAsia="Times New Roman" w:cs="Times New Roman"/>
              </w:rPr>
              <w:t>Bring food logistics in-house, remove higher-cost legacy contract</w:t>
            </w:r>
            <w:r>
              <w:rPr>
                <w:rFonts w:eastAsia="Times New Roman" w:cs="Times New Roman"/>
              </w:rPr>
              <w:t>s</w:t>
            </w:r>
            <w:r w:rsidRPr="00E831E1">
              <w:rPr>
                <w:rFonts w:eastAsia="Times New Roman" w:cs="Times New Roman"/>
              </w:rPr>
              <w:t xml:space="preserve">, </w:t>
            </w:r>
            <w:r>
              <w:rPr>
                <w:rFonts w:eastAsia="Times New Roman" w:cs="Times New Roman"/>
              </w:rPr>
              <w:t xml:space="preserve">and </w:t>
            </w:r>
            <w:r w:rsidRPr="00E831E1">
              <w:rPr>
                <w:rFonts w:eastAsia="Times New Roman" w:cs="Times New Roman"/>
              </w:rPr>
              <w:t>modernise the network</w:t>
            </w:r>
            <w:r>
              <w:rPr>
                <w:rFonts w:eastAsia="Times New Roman" w:cs="Times New Roman"/>
              </w:rPr>
              <w:t>.</w:t>
            </w:r>
          </w:p>
        </w:tc>
      </w:tr>
    </w:tbl>
    <w:p w14:paraId="588D13DD" w14:textId="77777777" w:rsidR="005E6F4D" w:rsidRPr="00E831E1" w:rsidRDefault="005E6F4D" w:rsidP="005E6F4D">
      <w:pPr>
        <w:pStyle w:val="1"/>
        <w:rPr>
          <w:rFonts w:hint="eastAsia"/>
        </w:rPr>
      </w:pPr>
      <w:bookmarkStart w:id="3" w:name="_Toc224030206"/>
      <w:r>
        <w:t xml:space="preserve">3. </w:t>
      </w:r>
      <w:r w:rsidRPr="00E831E1">
        <w:t>Analysis</w:t>
      </w:r>
      <w:bookmarkEnd w:id="3"/>
    </w:p>
    <w:p w14:paraId="373FF3CE"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The greatest support of success is the economies of scale, which eradicate inefficiencies and complementary resources. Gist was already dealing with most of the logistics of M&amp;S Food</w:t>
      </w:r>
      <w:r>
        <w:rPr>
          <w:rFonts w:eastAsia="Times New Roman" w:cs="Times New Roman"/>
        </w:rPr>
        <w:t>,</w:t>
      </w:r>
      <w:r w:rsidRPr="00E831E1">
        <w:rPr>
          <w:rFonts w:eastAsia="Times New Roman" w:cs="Times New Roman"/>
        </w:rPr>
        <w:t xml:space="preserve"> and therefore ownership enabled M&amp;S to internalise all the planning, eliminate multiple contractual levels and coordinate incentives in the retail</w:t>
      </w:r>
      <w:r>
        <w:rPr>
          <w:rFonts w:eastAsia="Times New Roman" w:cs="Times New Roman"/>
        </w:rPr>
        <w:t>,</w:t>
      </w:r>
      <w:r w:rsidRPr="00E831E1">
        <w:rPr>
          <w:rFonts w:eastAsia="Times New Roman" w:cs="Times New Roman"/>
        </w:rPr>
        <w:t xml:space="preserve"> warehousing and transport services. Chatterjee (1986) writes that synergy is best when the target possesses capabilities closely related to core activities of the acquirer</w:t>
      </w:r>
      <w:r>
        <w:rPr>
          <w:rFonts w:eastAsia="Times New Roman" w:cs="Times New Roman"/>
        </w:rPr>
        <w:t>,</w:t>
      </w:r>
      <w:r w:rsidRPr="00E831E1">
        <w:rPr>
          <w:rFonts w:eastAsia="Times New Roman" w:cs="Times New Roman"/>
        </w:rPr>
        <w:t xml:space="preserve"> and Barney (1988) also argues that the relatedness gives a greater likelihood that returns of the bidders will be facilitated by real operating fit. The fit in this case was an unusual one M&amp;S provided brand, stores and customer demand, and Gist provided logistics assets, depot knowledge and execution capability. Such is precisely the type of complementary resources match-up talked of by Capron and Hulland (1999)</w:t>
      </w:r>
      <w:r>
        <w:rPr>
          <w:rFonts w:eastAsia="Times New Roman" w:cs="Times New Roman"/>
        </w:rPr>
        <w:t>,</w:t>
      </w:r>
      <w:r w:rsidRPr="00E831E1">
        <w:rPr>
          <w:rFonts w:eastAsia="Times New Roman" w:cs="Times New Roman"/>
        </w:rPr>
        <w:t xml:space="preserve"> who reveal that the acquisition worth tends to be contingent upon the capacity to reallocate and arrange the different resources into more efficient operation with common ownership.</w:t>
      </w:r>
    </w:p>
    <w:p w14:paraId="2B78FC9B"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 xml:space="preserve">This is also the reason why </w:t>
      </w:r>
      <w:r>
        <w:rPr>
          <w:rFonts w:eastAsia="Times New Roman" w:cs="Times New Roman"/>
        </w:rPr>
        <w:t xml:space="preserve">the </w:t>
      </w:r>
      <w:r w:rsidRPr="00E831E1">
        <w:rPr>
          <w:rFonts w:eastAsia="Times New Roman" w:cs="Times New Roman"/>
        </w:rPr>
        <w:t xml:space="preserve">speed of growth was a valid motive. Developing a dedicated internal logistics network in terms of chilled-food would have taken a long time, been risky and costly, but the purchase of Gist provided M&amp;S with direct access to infrastructure, management capacity and route density. Resource-based viewpoint can be used to say that acquisitions can hasten the process of capabilities acquisition when the organic market of acquiring capabilities is too sluggish or unstable (Seth, Song and Pettit, 2000; </w:t>
      </w:r>
      <w:proofErr w:type="spellStart"/>
      <w:r w:rsidRPr="00E831E1">
        <w:rPr>
          <w:rFonts w:eastAsia="Times New Roman" w:cs="Times New Roman"/>
        </w:rPr>
        <w:t>Haleblian</w:t>
      </w:r>
      <w:proofErr w:type="spellEnd"/>
      <w:r w:rsidRPr="00E831E1">
        <w:rPr>
          <w:rFonts w:eastAsia="Times New Roman" w:cs="Times New Roman"/>
        </w:rPr>
        <w:t xml:space="preserve"> et al., 2009). In that regard, Gist was a mechanism of faster growth not in terms of creating a new </w:t>
      </w:r>
      <w:r w:rsidRPr="00E831E1">
        <w:rPr>
          <w:rFonts w:eastAsia="Times New Roman" w:cs="Times New Roman"/>
        </w:rPr>
        <w:lastRenderedPageBreak/>
        <w:t xml:space="preserve">revenue stream, but a cork in the neck of </w:t>
      </w:r>
      <w:r>
        <w:rPr>
          <w:rFonts w:eastAsia="Times New Roman" w:cs="Times New Roman"/>
        </w:rPr>
        <w:t xml:space="preserve">the </w:t>
      </w:r>
      <w:r w:rsidRPr="00E831E1">
        <w:rPr>
          <w:rFonts w:eastAsia="Times New Roman" w:cs="Times New Roman"/>
        </w:rPr>
        <w:t>expansion of the M&amp;S Food. This interpretation is evidenced by the fact that M&amp;S termed the old agreement a growth constraint.</w:t>
      </w:r>
    </w:p>
    <w:p w14:paraId="5B7F86D2" w14:textId="77777777" w:rsidR="005E6F4D" w:rsidRPr="00E831E1" w:rsidRDefault="005E6F4D" w:rsidP="005E6F4D">
      <w:pPr>
        <w:spacing w:after="100" w:afterAutospacing="1"/>
        <w:jc w:val="center"/>
        <w:rPr>
          <w:rFonts w:eastAsia="Times New Roman" w:cs="Times New Roman"/>
        </w:rPr>
      </w:pPr>
      <w:r w:rsidRPr="00E831E1">
        <w:rPr>
          <w:noProof/>
        </w:rPr>
        <w:drawing>
          <wp:inline distT="0" distB="0" distL="0" distR="0" wp14:anchorId="3452A740" wp14:editId="61E71F16">
            <wp:extent cx="5943600" cy="2529205"/>
            <wp:effectExtent l="0" t="0" r="0" b="4445"/>
            <wp:docPr id="512360490" name="Picture 4" descr="A diagram of a company's acqui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60490" name="Picture 4" descr="A diagram of a company's acquisitio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29205"/>
                    </a:xfrm>
                    <a:prstGeom prst="rect">
                      <a:avLst/>
                    </a:prstGeom>
                    <a:noFill/>
                    <a:ln>
                      <a:noFill/>
                    </a:ln>
                  </pic:spPr>
                </pic:pic>
              </a:graphicData>
            </a:graphic>
          </wp:inline>
        </w:drawing>
      </w:r>
    </w:p>
    <w:p w14:paraId="46640F30" w14:textId="77777777" w:rsidR="005E6F4D" w:rsidRPr="00E831E1" w:rsidRDefault="005E6F4D" w:rsidP="005E6F4D">
      <w:pPr>
        <w:spacing w:after="100" w:afterAutospacing="1"/>
        <w:jc w:val="center"/>
        <w:rPr>
          <w:rFonts w:eastAsia="Times New Roman" w:cs="Times New Roman"/>
        </w:rPr>
      </w:pPr>
      <w:r w:rsidRPr="00E831E1">
        <w:rPr>
          <w:rFonts w:eastAsia="Times New Roman" w:cs="Times New Roman"/>
        </w:rPr>
        <w:t>(Source: Self-made)</w:t>
      </w:r>
    </w:p>
    <w:p w14:paraId="07A789AB"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As Figure 1 indicates, acquisition was not a one</w:t>
      </w:r>
      <w:r>
        <w:rPr>
          <w:rFonts w:eastAsia="Times New Roman" w:cs="Times New Roman"/>
        </w:rPr>
        <w:t>-</w:t>
      </w:r>
      <w:r w:rsidRPr="00E831E1">
        <w:rPr>
          <w:rFonts w:eastAsia="Times New Roman" w:cs="Times New Roman"/>
        </w:rPr>
        <w:t>time affair but a gradual process where strategic intent, transaction completion, operational integration and reported results were reali</w:t>
      </w:r>
      <w:r>
        <w:rPr>
          <w:rFonts w:eastAsia="Times New Roman" w:cs="Times New Roman"/>
        </w:rPr>
        <w:t>s</w:t>
      </w:r>
      <w:r w:rsidRPr="00E831E1">
        <w:rPr>
          <w:rFonts w:eastAsia="Times New Roman" w:cs="Times New Roman"/>
        </w:rPr>
        <w:t>ed in the course of time, and it can be summari</w:t>
      </w:r>
      <w:r>
        <w:rPr>
          <w:rFonts w:eastAsia="Times New Roman" w:cs="Times New Roman"/>
        </w:rPr>
        <w:t>s</w:t>
      </w:r>
      <w:r w:rsidRPr="00E831E1">
        <w:rPr>
          <w:rFonts w:eastAsia="Times New Roman" w:cs="Times New Roman"/>
        </w:rPr>
        <w:t xml:space="preserve">ed as the reason why the success of the Gist deal is best evaluated based upon post-acquisition execution </w:t>
      </w:r>
      <w:r>
        <w:rPr>
          <w:rFonts w:eastAsia="Times New Roman" w:cs="Times New Roman"/>
        </w:rPr>
        <w:t xml:space="preserve">rather </w:t>
      </w:r>
      <w:r w:rsidRPr="00E831E1">
        <w:rPr>
          <w:rFonts w:eastAsia="Times New Roman" w:cs="Times New Roman"/>
        </w:rPr>
        <w:t>than the original logic behind the announcement.</w:t>
      </w:r>
    </w:p>
    <w:p w14:paraId="415927CF"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The argument against inefficiencies is higher than the argument of scale. M&amp;S stated clearly that the deal would create immediate returns by removing contractual fees and expenditures as well as instituting congruent operational procedures. This is important since the announcement also added that most of the pro forma EBITDA of approximately 55 million of Gist was management fees charged to M&amp;S under the current agreements that would be eliminated on consolidation. More importantly</w:t>
      </w:r>
      <w:r>
        <w:rPr>
          <w:rFonts w:eastAsia="Times New Roman" w:cs="Times New Roman"/>
        </w:rPr>
        <w:t>,</w:t>
      </w:r>
      <w:r w:rsidRPr="00E831E1">
        <w:rPr>
          <w:rFonts w:eastAsia="Times New Roman" w:cs="Times New Roman"/>
        </w:rPr>
        <w:t xml:space="preserve"> this implies that the deal cannot be as though M&amp;S had merely acquired an external stream of profits. The gain had to be through cost elimination, process redesign and network optimisation</w:t>
      </w:r>
      <w:r>
        <w:rPr>
          <w:rFonts w:eastAsia="Times New Roman" w:cs="Times New Roman"/>
        </w:rPr>
        <w:t>;</w:t>
      </w:r>
      <w:r w:rsidRPr="00E831E1">
        <w:rPr>
          <w:rFonts w:eastAsia="Times New Roman" w:cs="Times New Roman"/>
        </w:rPr>
        <w:t xml:space="preserve"> much of the supposed target profit was already in economic substance part of the M&amp;S system. It is much more in line with Devos, </w:t>
      </w:r>
      <w:proofErr w:type="spellStart"/>
      <w:r w:rsidRPr="00E831E1">
        <w:rPr>
          <w:rFonts w:eastAsia="Times New Roman" w:cs="Times New Roman"/>
        </w:rPr>
        <w:t>Kadapakkam</w:t>
      </w:r>
      <w:proofErr w:type="spellEnd"/>
      <w:r w:rsidRPr="00E831E1">
        <w:rPr>
          <w:rFonts w:eastAsia="Times New Roman" w:cs="Times New Roman"/>
        </w:rPr>
        <w:t xml:space="preserve"> and Krishnamurthy (2009)</w:t>
      </w:r>
      <w:r>
        <w:rPr>
          <w:rFonts w:eastAsia="Times New Roman" w:cs="Times New Roman"/>
        </w:rPr>
        <w:t>,</w:t>
      </w:r>
      <w:r w:rsidRPr="00E831E1">
        <w:rPr>
          <w:rFonts w:eastAsia="Times New Roman" w:cs="Times New Roman"/>
        </w:rPr>
        <w:t xml:space="preserve"> who see efficiency gains as a more convincing account of the merger gains than bare market power.</w:t>
      </w:r>
    </w:p>
    <w:p w14:paraId="1458FD01" w14:textId="77777777" w:rsidR="005E6F4D" w:rsidRPr="00B95887" w:rsidRDefault="005E6F4D" w:rsidP="005E6F4D">
      <w:pPr>
        <w:spacing w:after="100" w:afterAutospacing="1"/>
        <w:jc w:val="center"/>
        <w:rPr>
          <w:rFonts w:eastAsia="Times New Roman" w:cs="Times New Roman"/>
          <w:b/>
          <w:bCs/>
        </w:rPr>
      </w:pPr>
      <w:r w:rsidRPr="00B95887">
        <w:rPr>
          <w:rFonts w:eastAsia="Times New Roman" w:cs="Times New Roman"/>
          <w:b/>
          <w:bCs/>
        </w:rPr>
        <w:t>Table 2 can summarise this strategic logic.</w:t>
      </w:r>
    </w:p>
    <w:tbl>
      <w:tblPr>
        <w:tblStyle w:val="af"/>
        <w:tblW w:w="0" w:type="auto"/>
        <w:tblLook w:val="04A0" w:firstRow="1" w:lastRow="0" w:firstColumn="1" w:lastColumn="0" w:noHBand="0" w:noVBand="1"/>
      </w:tblPr>
      <w:tblGrid>
        <w:gridCol w:w="2235"/>
        <w:gridCol w:w="3797"/>
        <w:gridCol w:w="2984"/>
      </w:tblGrid>
      <w:tr w:rsidR="005E6F4D" w:rsidRPr="00E831E1" w14:paraId="44FD24A8" w14:textId="77777777" w:rsidTr="0008044B">
        <w:tc>
          <w:tcPr>
            <w:tcW w:w="0" w:type="auto"/>
            <w:hideMark/>
          </w:tcPr>
          <w:p w14:paraId="34EEC9CF" w14:textId="77777777" w:rsidR="005E6F4D" w:rsidRPr="00E831E1" w:rsidRDefault="005E6F4D" w:rsidP="0008044B">
            <w:pPr>
              <w:jc w:val="center"/>
              <w:rPr>
                <w:rFonts w:eastAsia="Times New Roman" w:cs="Times New Roman"/>
                <w:b/>
                <w:bCs/>
              </w:rPr>
            </w:pPr>
            <w:r w:rsidRPr="00E831E1">
              <w:rPr>
                <w:rFonts w:eastAsia="Times New Roman" w:cs="Times New Roman"/>
                <w:b/>
                <w:bCs/>
              </w:rPr>
              <w:lastRenderedPageBreak/>
              <w:t>Objective</w:t>
            </w:r>
          </w:p>
        </w:tc>
        <w:tc>
          <w:tcPr>
            <w:tcW w:w="0" w:type="auto"/>
            <w:hideMark/>
          </w:tcPr>
          <w:p w14:paraId="47C0D7C0" w14:textId="77777777" w:rsidR="005E6F4D" w:rsidRPr="00E831E1" w:rsidRDefault="005E6F4D" w:rsidP="0008044B">
            <w:pPr>
              <w:jc w:val="center"/>
              <w:rPr>
                <w:rFonts w:eastAsia="Times New Roman" w:cs="Times New Roman"/>
                <w:b/>
                <w:bCs/>
              </w:rPr>
            </w:pPr>
            <w:r w:rsidRPr="00E831E1">
              <w:rPr>
                <w:rFonts w:eastAsia="Times New Roman" w:cs="Times New Roman"/>
                <w:b/>
                <w:bCs/>
              </w:rPr>
              <w:t>Evidence after acquisition</w:t>
            </w:r>
          </w:p>
        </w:tc>
        <w:tc>
          <w:tcPr>
            <w:tcW w:w="0" w:type="auto"/>
            <w:hideMark/>
          </w:tcPr>
          <w:p w14:paraId="4C21BA84" w14:textId="77777777" w:rsidR="005E6F4D" w:rsidRPr="00E831E1" w:rsidRDefault="005E6F4D" w:rsidP="0008044B">
            <w:pPr>
              <w:jc w:val="center"/>
              <w:rPr>
                <w:rFonts w:eastAsia="Times New Roman" w:cs="Times New Roman"/>
                <w:b/>
                <w:bCs/>
              </w:rPr>
            </w:pPr>
            <w:r w:rsidRPr="00E831E1">
              <w:rPr>
                <w:rFonts w:eastAsia="Times New Roman" w:cs="Times New Roman"/>
                <w:b/>
                <w:bCs/>
              </w:rPr>
              <w:t>Critical judgement</w:t>
            </w:r>
          </w:p>
        </w:tc>
      </w:tr>
      <w:tr w:rsidR="005E6F4D" w:rsidRPr="00E831E1" w14:paraId="7ED853E3" w14:textId="77777777" w:rsidTr="0008044B">
        <w:tc>
          <w:tcPr>
            <w:tcW w:w="0" w:type="auto"/>
            <w:hideMark/>
          </w:tcPr>
          <w:p w14:paraId="3E741E8B" w14:textId="77777777" w:rsidR="005E6F4D" w:rsidRPr="00E831E1" w:rsidRDefault="005E6F4D" w:rsidP="0008044B">
            <w:pPr>
              <w:rPr>
                <w:rFonts w:eastAsia="Times New Roman" w:cs="Times New Roman"/>
              </w:rPr>
            </w:pPr>
            <w:r w:rsidRPr="00E831E1">
              <w:rPr>
                <w:rFonts w:eastAsia="Times New Roman" w:cs="Times New Roman"/>
              </w:rPr>
              <w:t>Economies of scale</w:t>
            </w:r>
          </w:p>
        </w:tc>
        <w:tc>
          <w:tcPr>
            <w:tcW w:w="0" w:type="auto"/>
            <w:hideMark/>
          </w:tcPr>
          <w:p w14:paraId="07C4885A" w14:textId="77777777" w:rsidR="005E6F4D" w:rsidRPr="00E831E1" w:rsidRDefault="005E6F4D" w:rsidP="0008044B">
            <w:pPr>
              <w:rPr>
                <w:rFonts w:eastAsia="Times New Roman" w:cs="Times New Roman"/>
              </w:rPr>
            </w:pPr>
            <w:r w:rsidRPr="00E831E1">
              <w:rPr>
                <w:rFonts w:eastAsia="Times New Roman" w:cs="Times New Roman"/>
              </w:rPr>
              <w:t xml:space="preserve">Network control across </w:t>
            </w:r>
            <w:r>
              <w:rPr>
                <w:rFonts w:eastAsia="Times New Roman" w:cs="Times New Roman"/>
              </w:rPr>
              <w:t xml:space="preserve">the </w:t>
            </w:r>
            <w:r w:rsidRPr="00E831E1">
              <w:rPr>
                <w:rFonts w:eastAsia="Times New Roman" w:cs="Times New Roman"/>
              </w:rPr>
              <w:t>existing food logistics footprint</w:t>
            </w:r>
          </w:p>
        </w:tc>
        <w:tc>
          <w:tcPr>
            <w:tcW w:w="0" w:type="auto"/>
            <w:hideMark/>
          </w:tcPr>
          <w:p w14:paraId="19AF8D9C" w14:textId="77777777" w:rsidR="005E6F4D" w:rsidRPr="00E831E1" w:rsidRDefault="005E6F4D" w:rsidP="0008044B">
            <w:pPr>
              <w:rPr>
                <w:rFonts w:eastAsia="Times New Roman" w:cs="Times New Roman"/>
              </w:rPr>
            </w:pPr>
            <w:r w:rsidRPr="00E831E1">
              <w:rPr>
                <w:rFonts w:eastAsia="Times New Roman" w:cs="Times New Roman"/>
              </w:rPr>
              <w:t>Achieved mainly through coordination, not pure size</w:t>
            </w:r>
          </w:p>
        </w:tc>
      </w:tr>
      <w:tr w:rsidR="005E6F4D" w:rsidRPr="00E831E1" w14:paraId="52414BEE" w14:textId="77777777" w:rsidTr="0008044B">
        <w:tc>
          <w:tcPr>
            <w:tcW w:w="0" w:type="auto"/>
            <w:hideMark/>
          </w:tcPr>
          <w:p w14:paraId="4C1730D6" w14:textId="77777777" w:rsidR="005E6F4D" w:rsidRPr="00E831E1" w:rsidRDefault="005E6F4D" w:rsidP="0008044B">
            <w:pPr>
              <w:rPr>
                <w:rFonts w:eastAsia="Times New Roman" w:cs="Times New Roman"/>
              </w:rPr>
            </w:pPr>
            <w:r w:rsidRPr="00E831E1">
              <w:rPr>
                <w:rFonts w:eastAsia="Times New Roman" w:cs="Times New Roman"/>
              </w:rPr>
              <w:t>Elimination of inefficiencies</w:t>
            </w:r>
          </w:p>
        </w:tc>
        <w:tc>
          <w:tcPr>
            <w:tcW w:w="0" w:type="auto"/>
            <w:hideMark/>
          </w:tcPr>
          <w:p w14:paraId="30B967DF" w14:textId="77777777" w:rsidR="005E6F4D" w:rsidRPr="00E831E1" w:rsidRDefault="005E6F4D" w:rsidP="0008044B">
            <w:pPr>
              <w:rPr>
                <w:rFonts w:eastAsia="Times New Roman" w:cs="Times New Roman"/>
              </w:rPr>
            </w:pPr>
            <w:r w:rsidRPr="00E831E1">
              <w:rPr>
                <w:rFonts w:eastAsia="Times New Roman" w:cs="Times New Roman"/>
              </w:rPr>
              <w:t>Contract fees and duplicated processes targeted for removal invest</w:t>
            </w:r>
            <w:r>
              <w:rPr>
                <w:rFonts w:eastAsia="Times New Roman" w:cs="Times New Roman"/>
              </w:rPr>
              <w:t>igation</w:t>
            </w:r>
            <w:r w:rsidRPr="00E831E1">
              <w:rPr>
                <w:rFonts w:eastAsia="Times New Roman" w:cs="Times New Roman"/>
              </w:rPr>
              <w:t>.</w:t>
            </w:r>
          </w:p>
        </w:tc>
        <w:tc>
          <w:tcPr>
            <w:tcW w:w="0" w:type="auto"/>
            <w:hideMark/>
          </w:tcPr>
          <w:p w14:paraId="53D29F97" w14:textId="77777777" w:rsidR="005E6F4D" w:rsidRPr="00E831E1" w:rsidRDefault="005E6F4D" w:rsidP="0008044B">
            <w:pPr>
              <w:rPr>
                <w:rFonts w:eastAsia="Times New Roman" w:cs="Times New Roman"/>
              </w:rPr>
            </w:pPr>
            <w:r w:rsidRPr="00E831E1">
              <w:rPr>
                <w:rFonts w:eastAsia="Times New Roman" w:cs="Times New Roman"/>
              </w:rPr>
              <w:t>Strongest source of value</w:t>
            </w:r>
          </w:p>
        </w:tc>
      </w:tr>
      <w:tr w:rsidR="005E6F4D" w:rsidRPr="00E831E1" w14:paraId="320A2347" w14:textId="77777777" w:rsidTr="0008044B">
        <w:tc>
          <w:tcPr>
            <w:tcW w:w="0" w:type="auto"/>
            <w:hideMark/>
          </w:tcPr>
          <w:p w14:paraId="2E0ACEC4" w14:textId="77777777" w:rsidR="005E6F4D" w:rsidRPr="00E831E1" w:rsidRDefault="005E6F4D" w:rsidP="0008044B">
            <w:pPr>
              <w:rPr>
                <w:rFonts w:eastAsia="Times New Roman" w:cs="Times New Roman"/>
              </w:rPr>
            </w:pPr>
            <w:r w:rsidRPr="00E831E1">
              <w:rPr>
                <w:rFonts w:eastAsia="Times New Roman" w:cs="Times New Roman"/>
              </w:rPr>
              <w:t>Complementary resources</w:t>
            </w:r>
          </w:p>
        </w:tc>
        <w:tc>
          <w:tcPr>
            <w:tcW w:w="0" w:type="auto"/>
            <w:hideMark/>
          </w:tcPr>
          <w:p w14:paraId="6FAAFEDB" w14:textId="77777777" w:rsidR="005E6F4D" w:rsidRPr="00E831E1" w:rsidRDefault="005E6F4D" w:rsidP="0008044B">
            <w:pPr>
              <w:rPr>
                <w:rFonts w:eastAsia="Times New Roman" w:cs="Times New Roman"/>
              </w:rPr>
            </w:pPr>
            <w:r w:rsidRPr="00E831E1">
              <w:rPr>
                <w:rFonts w:eastAsia="Times New Roman" w:cs="Times New Roman"/>
              </w:rPr>
              <w:t>Retail demand plus logistics capability combined</w:t>
            </w:r>
          </w:p>
        </w:tc>
        <w:tc>
          <w:tcPr>
            <w:tcW w:w="0" w:type="auto"/>
            <w:hideMark/>
          </w:tcPr>
          <w:p w14:paraId="0E00069B" w14:textId="77777777" w:rsidR="005E6F4D" w:rsidRPr="00E831E1" w:rsidRDefault="005E6F4D" w:rsidP="0008044B">
            <w:pPr>
              <w:rPr>
                <w:rFonts w:eastAsia="Times New Roman" w:cs="Times New Roman"/>
              </w:rPr>
            </w:pPr>
            <w:r w:rsidRPr="00E831E1">
              <w:rPr>
                <w:rFonts w:eastAsia="Times New Roman" w:cs="Times New Roman"/>
              </w:rPr>
              <w:t>High strategic fit</w:t>
            </w:r>
          </w:p>
        </w:tc>
      </w:tr>
      <w:tr w:rsidR="005E6F4D" w:rsidRPr="00E831E1" w14:paraId="5836FDB2" w14:textId="77777777" w:rsidTr="0008044B">
        <w:tc>
          <w:tcPr>
            <w:tcW w:w="0" w:type="auto"/>
            <w:hideMark/>
          </w:tcPr>
          <w:p w14:paraId="49F832C2" w14:textId="77777777" w:rsidR="005E6F4D" w:rsidRPr="00E831E1" w:rsidRDefault="005E6F4D" w:rsidP="0008044B">
            <w:pPr>
              <w:rPr>
                <w:rFonts w:eastAsia="Times New Roman" w:cs="Times New Roman"/>
              </w:rPr>
            </w:pPr>
            <w:r w:rsidRPr="00E831E1">
              <w:rPr>
                <w:rFonts w:eastAsia="Times New Roman" w:cs="Times New Roman"/>
              </w:rPr>
              <w:t>Speed of growth</w:t>
            </w:r>
          </w:p>
        </w:tc>
        <w:tc>
          <w:tcPr>
            <w:tcW w:w="0" w:type="auto"/>
            <w:hideMark/>
          </w:tcPr>
          <w:p w14:paraId="51C01FC1" w14:textId="77777777" w:rsidR="005E6F4D" w:rsidRPr="00E831E1" w:rsidRDefault="005E6F4D" w:rsidP="0008044B">
            <w:pPr>
              <w:rPr>
                <w:rFonts w:eastAsia="Times New Roman" w:cs="Times New Roman"/>
              </w:rPr>
            </w:pPr>
            <w:r w:rsidRPr="00E831E1">
              <w:rPr>
                <w:rFonts w:eastAsia="Times New Roman" w:cs="Times New Roman"/>
              </w:rPr>
              <w:t>Immediate access to depots, staff and systems</w:t>
            </w:r>
          </w:p>
        </w:tc>
        <w:tc>
          <w:tcPr>
            <w:tcW w:w="0" w:type="auto"/>
            <w:hideMark/>
          </w:tcPr>
          <w:p w14:paraId="528F22CD" w14:textId="77777777" w:rsidR="005E6F4D" w:rsidRPr="00E831E1" w:rsidRDefault="005E6F4D" w:rsidP="0008044B">
            <w:pPr>
              <w:rPr>
                <w:rFonts w:eastAsia="Times New Roman" w:cs="Times New Roman"/>
              </w:rPr>
            </w:pPr>
            <w:r w:rsidRPr="00E831E1">
              <w:rPr>
                <w:rFonts w:eastAsia="Times New Roman" w:cs="Times New Roman"/>
              </w:rPr>
              <w:t>Faster than organic build</w:t>
            </w:r>
          </w:p>
        </w:tc>
      </w:tr>
      <w:tr w:rsidR="005E6F4D" w:rsidRPr="00E831E1" w14:paraId="7202999D" w14:textId="77777777" w:rsidTr="0008044B">
        <w:tc>
          <w:tcPr>
            <w:tcW w:w="0" w:type="auto"/>
            <w:hideMark/>
          </w:tcPr>
          <w:p w14:paraId="50AF6CBB" w14:textId="77777777" w:rsidR="005E6F4D" w:rsidRPr="00E831E1" w:rsidRDefault="005E6F4D" w:rsidP="0008044B">
            <w:pPr>
              <w:rPr>
                <w:rFonts w:eastAsia="Times New Roman" w:cs="Times New Roman"/>
              </w:rPr>
            </w:pPr>
            <w:r w:rsidRPr="00E831E1">
              <w:rPr>
                <w:rFonts w:eastAsia="Times New Roman" w:cs="Times New Roman"/>
              </w:rPr>
              <w:t>Financial benefits</w:t>
            </w:r>
          </w:p>
        </w:tc>
        <w:tc>
          <w:tcPr>
            <w:tcW w:w="0" w:type="auto"/>
            <w:hideMark/>
          </w:tcPr>
          <w:p w14:paraId="74EB1E51" w14:textId="77777777" w:rsidR="005E6F4D" w:rsidRPr="00E831E1" w:rsidRDefault="005E6F4D" w:rsidP="0008044B">
            <w:pPr>
              <w:rPr>
                <w:rFonts w:eastAsia="Times New Roman" w:cs="Times New Roman"/>
              </w:rPr>
            </w:pPr>
            <w:r w:rsidRPr="00E831E1">
              <w:rPr>
                <w:rFonts w:eastAsia="Times New Roman" w:cs="Times New Roman"/>
              </w:rPr>
              <w:t>Savings reported greater than expected; rapid payback claimed</w:t>
            </w:r>
          </w:p>
        </w:tc>
        <w:tc>
          <w:tcPr>
            <w:tcW w:w="0" w:type="auto"/>
            <w:hideMark/>
          </w:tcPr>
          <w:p w14:paraId="7AF70834" w14:textId="77777777" w:rsidR="005E6F4D" w:rsidRPr="00E831E1" w:rsidRDefault="005E6F4D" w:rsidP="0008044B">
            <w:pPr>
              <w:rPr>
                <w:rFonts w:eastAsia="Times New Roman" w:cs="Times New Roman"/>
              </w:rPr>
            </w:pPr>
            <w:r w:rsidRPr="00E831E1">
              <w:rPr>
                <w:rFonts w:eastAsia="Times New Roman" w:cs="Times New Roman"/>
              </w:rPr>
              <w:t>Positive, but attribution must be cautious</w:t>
            </w:r>
          </w:p>
        </w:tc>
      </w:tr>
    </w:tbl>
    <w:p w14:paraId="68CC1D6F"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The original investment case had an element of financial benefits</w:t>
      </w:r>
      <w:r>
        <w:rPr>
          <w:rFonts w:eastAsia="Times New Roman" w:cs="Times New Roman"/>
        </w:rPr>
        <w:t>,</w:t>
      </w:r>
      <w:r w:rsidRPr="00E831E1">
        <w:rPr>
          <w:rFonts w:eastAsia="Times New Roman" w:cs="Times New Roman"/>
        </w:rPr>
        <w:t xml:space="preserve"> and the available evidence is in the positive direction, albeit with caveats. On </w:t>
      </w:r>
      <w:r>
        <w:rPr>
          <w:rFonts w:eastAsia="Times New Roman" w:cs="Times New Roman"/>
        </w:rPr>
        <w:t xml:space="preserve">the </w:t>
      </w:r>
      <w:r w:rsidRPr="00E831E1">
        <w:rPr>
          <w:rFonts w:eastAsia="Times New Roman" w:cs="Times New Roman"/>
        </w:rPr>
        <w:t>announcement, M&amp;S added that the deal would be earnings</w:t>
      </w:r>
      <w:r>
        <w:rPr>
          <w:rFonts w:eastAsia="Times New Roman" w:cs="Times New Roman"/>
        </w:rPr>
        <w:t>-</w:t>
      </w:r>
      <w:r w:rsidRPr="00E831E1">
        <w:rPr>
          <w:rFonts w:eastAsia="Times New Roman" w:cs="Times New Roman"/>
        </w:rPr>
        <w:t xml:space="preserve">enhancing within its first full year. Subsequently, it had indicated that the integration was generating good returns, logistics savings beyond expectation and quick payback of invested capital. On the surface, which appears to be an apparent success. Healy, Palepu and Ruback (1992) concluded that improvements </w:t>
      </w:r>
      <w:r>
        <w:rPr>
          <w:rFonts w:eastAsia="Times New Roman" w:cs="Times New Roman"/>
        </w:rPr>
        <w:t>i</w:t>
      </w:r>
      <w:r w:rsidRPr="00E831E1">
        <w:rPr>
          <w:rFonts w:eastAsia="Times New Roman" w:cs="Times New Roman"/>
        </w:rPr>
        <w:t>n operating post-merger could be used to support the case of synergy, and Gugler et al. (2003) also indicate that not all mergers are inefficient and unprofitable. Nonetheless, Ghosh (2001) is also less optimistic</w:t>
      </w:r>
      <w:r>
        <w:rPr>
          <w:rFonts w:eastAsia="Times New Roman" w:cs="Times New Roman"/>
        </w:rPr>
        <w:t>,</w:t>
      </w:r>
      <w:r w:rsidRPr="00E831E1">
        <w:rPr>
          <w:rFonts w:eastAsia="Times New Roman" w:cs="Times New Roman"/>
        </w:rPr>
        <w:t xml:space="preserve"> stating that the post-acquisition performance gains are widely exaggerated when benchmarking issues are taken into consideration. That warning is relevant in this case since M&amp;S was experiencing a wider commercial recovery during the same period. The improved product performance, pricing, store implementation and brand recovery could have contributed to the profits together with the Gist integration.</w:t>
      </w:r>
    </w:p>
    <w:p w14:paraId="79921FD6"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The lecture notes on Cash Flows and Cash Management come in handy here since it emphasizes that profit is not cash and that managers should not assume that accounting improvement and real liquidity implications of cash management are the same (</w:t>
      </w:r>
      <w:r>
        <w:rPr>
          <w:rFonts w:eastAsia="Times New Roman" w:cs="Times New Roman"/>
        </w:rPr>
        <w:t>W</w:t>
      </w:r>
      <w:r w:rsidRPr="00E831E1">
        <w:rPr>
          <w:rFonts w:eastAsia="Times New Roman" w:cs="Times New Roman"/>
        </w:rPr>
        <w:t xml:space="preserve">eek topic: </w:t>
      </w:r>
      <w:r w:rsidRPr="00E831E1">
        <w:rPr>
          <w:rFonts w:eastAsia="Times New Roman" w:cs="Times New Roman"/>
        </w:rPr>
        <w:lastRenderedPageBreak/>
        <w:t>Cash Flows and Cash Management). M and S used acquired cash as a result of the existing cash reserves hence the surplus cash motive can be interpreted in either way. On the bright side, Jensen (1986) would say that an earnings-accretive deal formed by cash would be preferred instead of sitting idle cash. Poorly, free cash flow may promote acquisitions that the managers are interested in, and the shareholders do not require. The following report that logistics savings are coming faster than expected in this instance undermines the overinvestment objection</w:t>
      </w:r>
      <w:r>
        <w:rPr>
          <w:rFonts w:eastAsia="Times New Roman" w:cs="Times New Roman"/>
        </w:rPr>
        <w:t>,</w:t>
      </w:r>
      <w:r w:rsidRPr="00E831E1">
        <w:rPr>
          <w:rFonts w:eastAsia="Times New Roman" w:cs="Times New Roman"/>
        </w:rPr>
        <w:t xml:space="preserve"> but it does not eradicate it completely. </w:t>
      </w:r>
    </w:p>
    <w:p w14:paraId="75DC3FE3"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 xml:space="preserve">The impact of the acquisition on </w:t>
      </w:r>
      <w:r>
        <w:rPr>
          <w:rFonts w:eastAsia="Times New Roman" w:cs="Times New Roman"/>
        </w:rPr>
        <w:t xml:space="preserve">the </w:t>
      </w:r>
      <w:r w:rsidRPr="00E831E1">
        <w:rPr>
          <w:rFonts w:eastAsia="Times New Roman" w:cs="Times New Roman"/>
        </w:rPr>
        <w:t xml:space="preserve">enhancement of market power and diversification is less overall. Within a very literal sense, the acquisition of Gist can enhance the bargaining power of M&amp;S to the suppliers and enhance service reliability, since logistics is no longer a contract division, but a division of a synchronized internal value chain. However, this does not mean the same as raising the degree of concentration in the food retail in the UK materially. </w:t>
      </w:r>
      <w:proofErr w:type="spellStart"/>
      <w:r w:rsidRPr="00E831E1">
        <w:rPr>
          <w:rFonts w:eastAsia="Times New Roman" w:cs="Times New Roman"/>
        </w:rPr>
        <w:t>Eckbo</w:t>
      </w:r>
      <w:proofErr w:type="spellEnd"/>
      <w:r w:rsidRPr="00E831E1">
        <w:rPr>
          <w:rFonts w:eastAsia="Times New Roman" w:cs="Times New Roman"/>
        </w:rPr>
        <w:t xml:space="preserve"> (1983) and Andrade, Mitchell and Stafford (2001) indicate that certain mergers are subject to concern in raising competition when they make changes in the market structure, but this was primarily a vertical and operation</w:t>
      </w:r>
      <w:r>
        <w:rPr>
          <w:rFonts w:eastAsia="Times New Roman" w:cs="Times New Roman"/>
        </w:rPr>
        <w:t>al</w:t>
      </w:r>
      <w:r w:rsidRPr="00E831E1">
        <w:rPr>
          <w:rFonts w:eastAsia="Times New Roman" w:cs="Times New Roman"/>
        </w:rPr>
        <w:t xml:space="preserve"> merger. It is supported by the fact that all the needed merger control approvals were obtained prior to it being completed; this supports the perception that the regulators did not regard it as a significant competitive threat. Moreover, Gist was slightly continuing with the third-party logistics business, yet the description given by M&amp;S itself makes it clear that this is not the main objective of the acquisition. Thus, the advantages of diversification were low. The deal was also strategically narrow, which </w:t>
      </w:r>
      <w:r>
        <w:rPr>
          <w:rFonts w:eastAsia="Times New Roman" w:cs="Times New Roman"/>
        </w:rPr>
        <w:t xml:space="preserve">is </w:t>
      </w:r>
      <w:r w:rsidRPr="00E831E1">
        <w:rPr>
          <w:rFonts w:eastAsia="Times New Roman" w:cs="Times New Roman"/>
        </w:rPr>
        <w:t>believe</w:t>
      </w:r>
      <w:r>
        <w:rPr>
          <w:rFonts w:eastAsia="Times New Roman" w:cs="Times New Roman"/>
        </w:rPr>
        <w:t>d</w:t>
      </w:r>
      <w:r w:rsidRPr="00E831E1">
        <w:rPr>
          <w:rFonts w:eastAsia="Times New Roman" w:cs="Times New Roman"/>
        </w:rPr>
        <w:t xml:space="preserve"> </w:t>
      </w:r>
      <w:r>
        <w:rPr>
          <w:rFonts w:eastAsia="Times New Roman" w:cs="Times New Roman"/>
        </w:rPr>
        <w:t>to be</w:t>
      </w:r>
      <w:r w:rsidRPr="00E831E1">
        <w:rPr>
          <w:rFonts w:eastAsia="Times New Roman" w:cs="Times New Roman"/>
        </w:rPr>
        <w:t xml:space="preserve"> a strength and not a weakness since it minimi</w:t>
      </w:r>
      <w:r>
        <w:rPr>
          <w:rFonts w:eastAsia="Times New Roman" w:cs="Times New Roman"/>
        </w:rPr>
        <w:t>s</w:t>
      </w:r>
      <w:r w:rsidRPr="00E831E1">
        <w:rPr>
          <w:rFonts w:eastAsia="Times New Roman" w:cs="Times New Roman"/>
        </w:rPr>
        <w:t>ed the integration complexity.</w:t>
      </w:r>
    </w:p>
    <w:p w14:paraId="1D8BDE14" w14:textId="77777777" w:rsidR="005E6F4D" w:rsidRDefault="005E6F4D" w:rsidP="005E6F4D">
      <w:pPr>
        <w:spacing w:after="100" w:afterAutospacing="1"/>
        <w:rPr>
          <w:rFonts w:eastAsia="Times New Roman" w:cs="Times New Roman"/>
        </w:rPr>
      </w:pPr>
      <w:r w:rsidRPr="00E831E1">
        <w:rPr>
          <w:noProof/>
        </w:rPr>
        <w:drawing>
          <wp:inline distT="0" distB="0" distL="0" distR="0" wp14:anchorId="7AA06ADA" wp14:editId="7730218E">
            <wp:extent cx="5943600" cy="2113280"/>
            <wp:effectExtent l="0" t="0" r="0" b="1270"/>
            <wp:docPr id="1439628111" name="Picture 3" descr="A diagram of a food supply ch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28111" name="Picture 3" descr="A diagram of a food supply chai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113280"/>
                    </a:xfrm>
                    <a:prstGeom prst="rect">
                      <a:avLst/>
                    </a:prstGeom>
                    <a:noFill/>
                    <a:ln>
                      <a:noFill/>
                    </a:ln>
                  </pic:spPr>
                </pic:pic>
              </a:graphicData>
            </a:graphic>
          </wp:inline>
        </w:drawing>
      </w:r>
    </w:p>
    <w:p w14:paraId="19D36D6D" w14:textId="77777777" w:rsidR="005E6F4D" w:rsidRPr="00E831E1" w:rsidRDefault="005E6F4D" w:rsidP="005E6F4D">
      <w:pPr>
        <w:spacing w:after="100" w:afterAutospacing="1"/>
        <w:jc w:val="center"/>
        <w:rPr>
          <w:rFonts w:eastAsia="Times New Roman" w:cs="Times New Roman"/>
        </w:rPr>
      </w:pPr>
      <w:r w:rsidRPr="00E831E1">
        <w:rPr>
          <w:rFonts w:eastAsia="Times New Roman" w:cs="Times New Roman"/>
        </w:rPr>
        <w:t>(Source: Self-made)</w:t>
      </w:r>
    </w:p>
    <w:p w14:paraId="5F199F00"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lastRenderedPageBreak/>
        <w:t>Figure 2 illustrates the vertical integration logic behind the acquisition by showing how ownership of logistics was expected to improve coordination, reduce duplication, strengthen food availability and ultimately support margins and long-term positioning, which reinforces the argument that value creation depended mainly on operational control rather than diversification or market concentration. (see the generated image above).</w:t>
      </w:r>
    </w:p>
    <w:p w14:paraId="74F5A9E0"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The hardest aspect to make a judgment about is shareholder wealth. The case to the affirmative is that the acquisition was anticipated to be accretive in terms of earnings per share, financed without apparent financing stress, and subsequently linked with higher-than-anticipated savings and payback speed. Bradley, Desai</w:t>
      </w:r>
      <w:r>
        <w:rPr>
          <w:rFonts w:eastAsia="Times New Roman" w:cs="Times New Roman"/>
        </w:rPr>
        <w:t>,</w:t>
      </w:r>
      <w:r w:rsidRPr="00E831E1">
        <w:rPr>
          <w:rFonts w:eastAsia="Times New Roman" w:cs="Times New Roman"/>
        </w:rPr>
        <w:t xml:space="preserve"> and Kim</w:t>
      </w:r>
      <w:r>
        <w:rPr>
          <w:rFonts w:eastAsia="Times New Roman" w:cs="Times New Roman"/>
        </w:rPr>
        <w:t>'s</w:t>
      </w:r>
      <w:r w:rsidRPr="00E831E1">
        <w:rPr>
          <w:rFonts w:eastAsia="Times New Roman" w:cs="Times New Roman"/>
        </w:rPr>
        <w:t xml:space="preserve"> (1988) study indicates that there may be total gains that can be created in </w:t>
      </w:r>
      <w:r>
        <w:rPr>
          <w:rFonts w:eastAsia="Times New Roman" w:cs="Times New Roman"/>
        </w:rPr>
        <w:t xml:space="preserve">the </w:t>
      </w:r>
      <w:r w:rsidRPr="00E831E1">
        <w:rPr>
          <w:rFonts w:eastAsia="Times New Roman" w:cs="Times New Roman"/>
        </w:rPr>
        <w:t>case of real synergies in the case of acquisitions</w:t>
      </w:r>
      <w:r>
        <w:rPr>
          <w:rFonts w:eastAsia="Times New Roman" w:cs="Times New Roman"/>
        </w:rPr>
        <w:t>,</w:t>
      </w:r>
      <w:r w:rsidRPr="00E831E1">
        <w:rPr>
          <w:rFonts w:eastAsia="Times New Roman" w:cs="Times New Roman"/>
        </w:rPr>
        <w:t xml:space="preserve"> and King et al. (2004) and Schoenberg (2006) urge us to remember that the measurement of value is complex and largely dependent on which metric is used. The cleanest wealth argument in the case of M&amp;S is not that the acquisition changed revenue due to the statement of M&amp;S that like-for-like sales remained unchanged by acquisition in the six-month results, with statutory revenue standing at £6,134.0 million</w:t>
      </w:r>
      <w:r>
        <w:rPr>
          <w:rFonts w:eastAsia="Times New Roman" w:cs="Times New Roman"/>
        </w:rPr>
        <w:t>,</w:t>
      </w:r>
      <w:r w:rsidRPr="00E831E1">
        <w:rPr>
          <w:rFonts w:eastAsia="Times New Roman" w:cs="Times New Roman"/>
        </w:rPr>
        <w:t xml:space="preserve"> 10.8 per cent higher (M&amp;S, 2023, p. 8). Instead, it is more convincing to say that a shareholder would have been advantaged when a strategically weak outsourced functionality was more credible and cost-effective without the need to erode operational discipline.</w:t>
      </w:r>
    </w:p>
    <w:p w14:paraId="0F82DF47"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 xml:space="preserve">Meanwhile, the transaction is not entirely free of the traditional M&amp;A criticisms. As demonstrated by Larsson and Finkelstein (1999), the success of integration is attributed to how well they cooperate and implement, and according to Cartwright and Schoenberg (2006), integration failures happen so often because the promised synergies turn out to be more difficult to reap than the managers had anticipated. The fact that the network was later on admitted by M&amp;S to still be old and costly to serve, demonstrates that the ownership and incentive deficiencies were resolved, but not the entire structural issue. This is the reason why </w:t>
      </w:r>
      <w:r>
        <w:rPr>
          <w:rFonts w:eastAsia="Times New Roman" w:cs="Times New Roman"/>
        </w:rPr>
        <w:t>it</w:t>
      </w:r>
      <w:r w:rsidRPr="00E831E1">
        <w:rPr>
          <w:rFonts w:eastAsia="Times New Roman" w:cs="Times New Roman"/>
        </w:rPr>
        <w:t xml:space="preserve"> would not declare the acquisition as </w:t>
      </w:r>
      <w:r>
        <w:rPr>
          <w:rFonts w:eastAsia="Times New Roman" w:cs="Times New Roman"/>
        </w:rPr>
        <w:t xml:space="preserve">an </w:t>
      </w:r>
      <w:r w:rsidRPr="00E831E1">
        <w:rPr>
          <w:rFonts w:eastAsia="Times New Roman" w:cs="Times New Roman"/>
        </w:rPr>
        <w:t>unqualified success. Apparently</w:t>
      </w:r>
      <w:r>
        <w:rPr>
          <w:rFonts w:eastAsia="Times New Roman" w:cs="Times New Roman"/>
        </w:rPr>
        <w:t>,</w:t>
      </w:r>
      <w:r w:rsidRPr="00E831E1">
        <w:rPr>
          <w:rFonts w:eastAsia="Times New Roman" w:cs="Times New Roman"/>
        </w:rPr>
        <w:t xml:space="preserve"> it is an effective measure in a longer supply-chain change. </w:t>
      </w:r>
    </w:p>
    <w:p w14:paraId="2ABC65A9" w14:textId="77777777" w:rsidR="005E6F4D" w:rsidRPr="00E831E1" w:rsidRDefault="005E6F4D" w:rsidP="005E6F4D">
      <w:pPr>
        <w:spacing w:after="100" w:afterAutospacing="1"/>
        <w:jc w:val="center"/>
        <w:rPr>
          <w:rFonts w:eastAsia="Times New Roman" w:cs="Times New Roman"/>
        </w:rPr>
      </w:pPr>
      <w:r w:rsidRPr="00E831E1">
        <w:rPr>
          <w:rFonts w:eastAsia="Times New Roman" w:cs="Times New Roman"/>
        </w:rPr>
        <w:t>Table 3 captures that balanced judgement.</w:t>
      </w:r>
    </w:p>
    <w:tbl>
      <w:tblPr>
        <w:tblStyle w:val="af"/>
        <w:tblW w:w="0" w:type="auto"/>
        <w:jc w:val="center"/>
        <w:tblLook w:val="04A0" w:firstRow="1" w:lastRow="0" w:firstColumn="1" w:lastColumn="0" w:noHBand="0" w:noVBand="1"/>
      </w:tblPr>
      <w:tblGrid>
        <w:gridCol w:w="2962"/>
        <w:gridCol w:w="5336"/>
      </w:tblGrid>
      <w:tr w:rsidR="005E6F4D" w:rsidRPr="00E831E1" w14:paraId="6A8F85C4" w14:textId="77777777" w:rsidTr="0008044B">
        <w:trPr>
          <w:jc w:val="center"/>
        </w:trPr>
        <w:tc>
          <w:tcPr>
            <w:tcW w:w="0" w:type="auto"/>
            <w:hideMark/>
          </w:tcPr>
          <w:p w14:paraId="1894C715" w14:textId="77777777" w:rsidR="005E6F4D" w:rsidRPr="00E831E1" w:rsidRDefault="005E6F4D" w:rsidP="0008044B">
            <w:pPr>
              <w:jc w:val="center"/>
              <w:rPr>
                <w:rFonts w:eastAsia="Times New Roman" w:cs="Times New Roman"/>
                <w:b/>
                <w:bCs/>
              </w:rPr>
            </w:pPr>
            <w:r w:rsidRPr="00E831E1">
              <w:rPr>
                <w:rFonts w:eastAsia="Times New Roman" w:cs="Times New Roman"/>
                <w:b/>
                <w:bCs/>
              </w:rPr>
              <w:t>Area</w:t>
            </w:r>
          </w:p>
        </w:tc>
        <w:tc>
          <w:tcPr>
            <w:tcW w:w="0" w:type="auto"/>
            <w:hideMark/>
          </w:tcPr>
          <w:p w14:paraId="1EA63D6F" w14:textId="77777777" w:rsidR="005E6F4D" w:rsidRPr="00E831E1" w:rsidRDefault="005E6F4D" w:rsidP="0008044B">
            <w:pPr>
              <w:jc w:val="center"/>
              <w:rPr>
                <w:rFonts w:eastAsia="Times New Roman" w:cs="Times New Roman"/>
                <w:b/>
                <w:bCs/>
              </w:rPr>
            </w:pPr>
            <w:r w:rsidRPr="00E831E1">
              <w:rPr>
                <w:rFonts w:eastAsia="Times New Roman" w:cs="Times New Roman"/>
                <w:b/>
                <w:bCs/>
              </w:rPr>
              <w:t>Assessment</w:t>
            </w:r>
          </w:p>
        </w:tc>
      </w:tr>
      <w:tr w:rsidR="005E6F4D" w:rsidRPr="00E831E1" w14:paraId="57BB0076" w14:textId="77777777" w:rsidTr="0008044B">
        <w:trPr>
          <w:jc w:val="center"/>
        </w:trPr>
        <w:tc>
          <w:tcPr>
            <w:tcW w:w="0" w:type="auto"/>
            <w:hideMark/>
          </w:tcPr>
          <w:p w14:paraId="1F0BA41F" w14:textId="77777777" w:rsidR="005E6F4D" w:rsidRPr="00E831E1" w:rsidRDefault="005E6F4D" w:rsidP="0008044B">
            <w:pPr>
              <w:rPr>
                <w:rFonts w:eastAsia="Times New Roman" w:cs="Times New Roman"/>
              </w:rPr>
            </w:pPr>
            <w:r w:rsidRPr="00E831E1">
              <w:rPr>
                <w:rFonts w:eastAsia="Times New Roman" w:cs="Times New Roman"/>
              </w:rPr>
              <w:lastRenderedPageBreak/>
              <w:t>Economies of scale</w:t>
            </w:r>
          </w:p>
        </w:tc>
        <w:tc>
          <w:tcPr>
            <w:tcW w:w="0" w:type="auto"/>
            <w:hideMark/>
          </w:tcPr>
          <w:p w14:paraId="1CA3ECAA" w14:textId="77777777" w:rsidR="005E6F4D" w:rsidRPr="00E831E1" w:rsidRDefault="005E6F4D" w:rsidP="0008044B">
            <w:pPr>
              <w:rPr>
                <w:rFonts w:eastAsia="Times New Roman" w:cs="Times New Roman"/>
              </w:rPr>
            </w:pPr>
            <w:r w:rsidRPr="00E831E1">
              <w:rPr>
                <w:rFonts w:eastAsia="Times New Roman" w:cs="Times New Roman"/>
              </w:rPr>
              <w:t>Moderately strong</w:t>
            </w:r>
          </w:p>
        </w:tc>
      </w:tr>
      <w:tr w:rsidR="005E6F4D" w:rsidRPr="00E831E1" w14:paraId="1DE7C8A2" w14:textId="77777777" w:rsidTr="0008044B">
        <w:trPr>
          <w:jc w:val="center"/>
        </w:trPr>
        <w:tc>
          <w:tcPr>
            <w:tcW w:w="0" w:type="auto"/>
            <w:hideMark/>
          </w:tcPr>
          <w:p w14:paraId="3C0D8C61" w14:textId="77777777" w:rsidR="005E6F4D" w:rsidRPr="00E831E1" w:rsidRDefault="005E6F4D" w:rsidP="0008044B">
            <w:pPr>
              <w:rPr>
                <w:rFonts w:eastAsia="Times New Roman" w:cs="Times New Roman"/>
              </w:rPr>
            </w:pPr>
            <w:r w:rsidRPr="00E831E1">
              <w:rPr>
                <w:rFonts w:eastAsia="Times New Roman" w:cs="Times New Roman"/>
              </w:rPr>
              <w:t>Elimination of inefficiencies</w:t>
            </w:r>
          </w:p>
        </w:tc>
        <w:tc>
          <w:tcPr>
            <w:tcW w:w="0" w:type="auto"/>
            <w:hideMark/>
          </w:tcPr>
          <w:p w14:paraId="6ECF3316" w14:textId="77777777" w:rsidR="005E6F4D" w:rsidRPr="00E831E1" w:rsidRDefault="005E6F4D" w:rsidP="0008044B">
            <w:pPr>
              <w:rPr>
                <w:rFonts w:eastAsia="Times New Roman" w:cs="Times New Roman"/>
              </w:rPr>
            </w:pPr>
            <w:r w:rsidRPr="00E831E1">
              <w:rPr>
                <w:rFonts w:eastAsia="Times New Roman" w:cs="Times New Roman"/>
              </w:rPr>
              <w:t>Very strong</w:t>
            </w:r>
          </w:p>
        </w:tc>
      </w:tr>
      <w:tr w:rsidR="005E6F4D" w:rsidRPr="00E831E1" w14:paraId="7E6E12C4" w14:textId="77777777" w:rsidTr="0008044B">
        <w:trPr>
          <w:jc w:val="center"/>
        </w:trPr>
        <w:tc>
          <w:tcPr>
            <w:tcW w:w="0" w:type="auto"/>
            <w:hideMark/>
          </w:tcPr>
          <w:p w14:paraId="6008A938" w14:textId="77777777" w:rsidR="005E6F4D" w:rsidRPr="00E831E1" w:rsidRDefault="005E6F4D" w:rsidP="0008044B">
            <w:pPr>
              <w:rPr>
                <w:rFonts w:eastAsia="Times New Roman" w:cs="Times New Roman"/>
              </w:rPr>
            </w:pPr>
            <w:r w:rsidRPr="00E831E1">
              <w:rPr>
                <w:rFonts w:eastAsia="Times New Roman" w:cs="Times New Roman"/>
              </w:rPr>
              <w:t>Surplus cash use</w:t>
            </w:r>
          </w:p>
        </w:tc>
        <w:tc>
          <w:tcPr>
            <w:tcW w:w="0" w:type="auto"/>
            <w:hideMark/>
          </w:tcPr>
          <w:p w14:paraId="4750B64A" w14:textId="77777777" w:rsidR="005E6F4D" w:rsidRPr="00E831E1" w:rsidRDefault="005E6F4D" w:rsidP="0008044B">
            <w:pPr>
              <w:rPr>
                <w:rFonts w:eastAsia="Times New Roman" w:cs="Times New Roman"/>
              </w:rPr>
            </w:pPr>
            <w:r w:rsidRPr="00E831E1">
              <w:rPr>
                <w:rFonts w:eastAsia="Times New Roman" w:cs="Times New Roman"/>
              </w:rPr>
              <w:t>Justified, but worth scrutinising</w:t>
            </w:r>
          </w:p>
        </w:tc>
      </w:tr>
      <w:tr w:rsidR="005E6F4D" w:rsidRPr="00E831E1" w14:paraId="4A67F82A" w14:textId="77777777" w:rsidTr="0008044B">
        <w:trPr>
          <w:jc w:val="center"/>
        </w:trPr>
        <w:tc>
          <w:tcPr>
            <w:tcW w:w="0" w:type="auto"/>
            <w:hideMark/>
          </w:tcPr>
          <w:p w14:paraId="5FD2D9E5" w14:textId="77777777" w:rsidR="005E6F4D" w:rsidRPr="00E831E1" w:rsidRDefault="005E6F4D" w:rsidP="0008044B">
            <w:pPr>
              <w:rPr>
                <w:rFonts w:eastAsia="Times New Roman" w:cs="Times New Roman"/>
              </w:rPr>
            </w:pPr>
            <w:r w:rsidRPr="00E831E1">
              <w:rPr>
                <w:rFonts w:eastAsia="Times New Roman" w:cs="Times New Roman"/>
              </w:rPr>
              <w:t>Increased market power</w:t>
            </w:r>
          </w:p>
        </w:tc>
        <w:tc>
          <w:tcPr>
            <w:tcW w:w="0" w:type="auto"/>
            <w:hideMark/>
          </w:tcPr>
          <w:p w14:paraId="36FE0739" w14:textId="77777777" w:rsidR="005E6F4D" w:rsidRPr="00E831E1" w:rsidRDefault="005E6F4D" w:rsidP="0008044B">
            <w:pPr>
              <w:rPr>
                <w:rFonts w:eastAsia="Times New Roman" w:cs="Times New Roman"/>
              </w:rPr>
            </w:pPr>
            <w:r w:rsidRPr="00E831E1">
              <w:rPr>
                <w:rFonts w:eastAsia="Times New Roman" w:cs="Times New Roman"/>
              </w:rPr>
              <w:t>Limited externally, stronger internally</w:t>
            </w:r>
          </w:p>
        </w:tc>
      </w:tr>
      <w:tr w:rsidR="005E6F4D" w:rsidRPr="00E831E1" w14:paraId="790650A6" w14:textId="77777777" w:rsidTr="0008044B">
        <w:trPr>
          <w:jc w:val="center"/>
        </w:trPr>
        <w:tc>
          <w:tcPr>
            <w:tcW w:w="0" w:type="auto"/>
            <w:hideMark/>
          </w:tcPr>
          <w:p w14:paraId="11A830A9" w14:textId="77777777" w:rsidR="005E6F4D" w:rsidRPr="00E831E1" w:rsidRDefault="005E6F4D" w:rsidP="0008044B">
            <w:pPr>
              <w:rPr>
                <w:rFonts w:eastAsia="Times New Roman" w:cs="Times New Roman"/>
              </w:rPr>
            </w:pPr>
            <w:r w:rsidRPr="00E831E1">
              <w:rPr>
                <w:rFonts w:eastAsia="Times New Roman" w:cs="Times New Roman"/>
              </w:rPr>
              <w:t>Complementary resources</w:t>
            </w:r>
          </w:p>
        </w:tc>
        <w:tc>
          <w:tcPr>
            <w:tcW w:w="0" w:type="auto"/>
            <w:hideMark/>
          </w:tcPr>
          <w:p w14:paraId="7C5F8F38" w14:textId="77777777" w:rsidR="005E6F4D" w:rsidRPr="00E831E1" w:rsidRDefault="005E6F4D" w:rsidP="0008044B">
            <w:pPr>
              <w:rPr>
                <w:rFonts w:eastAsia="Times New Roman" w:cs="Times New Roman"/>
              </w:rPr>
            </w:pPr>
            <w:r w:rsidRPr="00E831E1">
              <w:rPr>
                <w:rFonts w:eastAsia="Times New Roman" w:cs="Times New Roman"/>
              </w:rPr>
              <w:t>Very strong</w:t>
            </w:r>
          </w:p>
        </w:tc>
      </w:tr>
      <w:tr w:rsidR="005E6F4D" w:rsidRPr="00E831E1" w14:paraId="1EF2C872" w14:textId="77777777" w:rsidTr="0008044B">
        <w:trPr>
          <w:jc w:val="center"/>
        </w:trPr>
        <w:tc>
          <w:tcPr>
            <w:tcW w:w="0" w:type="auto"/>
            <w:hideMark/>
          </w:tcPr>
          <w:p w14:paraId="0250F382" w14:textId="77777777" w:rsidR="005E6F4D" w:rsidRPr="00E831E1" w:rsidRDefault="005E6F4D" w:rsidP="0008044B">
            <w:pPr>
              <w:rPr>
                <w:rFonts w:eastAsia="Times New Roman" w:cs="Times New Roman"/>
              </w:rPr>
            </w:pPr>
            <w:r w:rsidRPr="00E831E1">
              <w:rPr>
                <w:rFonts w:eastAsia="Times New Roman" w:cs="Times New Roman"/>
              </w:rPr>
              <w:t>Speed of growth</w:t>
            </w:r>
          </w:p>
        </w:tc>
        <w:tc>
          <w:tcPr>
            <w:tcW w:w="0" w:type="auto"/>
            <w:hideMark/>
          </w:tcPr>
          <w:p w14:paraId="769A77CC" w14:textId="77777777" w:rsidR="005E6F4D" w:rsidRPr="00E831E1" w:rsidRDefault="005E6F4D" w:rsidP="0008044B">
            <w:pPr>
              <w:rPr>
                <w:rFonts w:eastAsia="Times New Roman" w:cs="Times New Roman"/>
              </w:rPr>
            </w:pPr>
            <w:r w:rsidRPr="00E831E1">
              <w:rPr>
                <w:rFonts w:eastAsia="Times New Roman" w:cs="Times New Roman"/>
              </w:rPr>
              <w:t>Strong</w:t>
            </w:r>
          </w:p>
        </w:tc>
      </w:tr>
      <w:tr w:rsidR="005E6F4D" w:rsidRPr="00E831E1" w14:paraId="7098C74E" w14:textId="77777777" w:rsidTr="0008044B">
        <w:trPr>
          <w:jc w:val="center"/>
        </w:trPr>
        <w:tc>
          <w:tcPr>
            <w:tcW w:w="0" w:type="auto"/>
            <w:hideMark/>
          </w:tcPr>
          <w:p w14:paraId="63008737" w14:textId="77777777" w:rsidR="005E6F4D" w:rsidRPr="00E831E1" w:rsidRDefault="005E6F4D" w:rsidP="0008044B">
            <w:pPr>
              <w:rPr>
                <w:rFonts w:eastAsia="Times New Roman" w:cs="Times New Roman"/>
              </w:rPr>
            </w:pPr>
            <w:r w:rsidRPr="00E831E1">
              <w:rPr>
                <w:rFonts w:eastAsia="Times New Roman" w:cs="Times New Roman"/>
              </w:rPr>
              <w:t>Financial benefits</w:t>
            </w:r>
          </w:p>
        </w:tc>
        <w:tc>
          <w:tcPr>
            <w:tcW w:w="0" w:type="auto"/>
            <w:hideMark/>
          </w:tcPr>
          <w:p w14:paraId="265045F6" w14:textId="77777777" w:rsidR="005E6F4D" w:rsidRPr="00E831E1" w:rsidRDefault="005E6F4D" w:rsidP="0008044B">
            <w:pPr>
              <w:rPr>
                <w:rFonts w:eastAsia="Times New Roman" w:cs="Times New Roman"/>
              </w:rPr>
            </w:pPr>
            <w:r w:rsidRPr="00E831E1">
              <w:rPr>
                <w:rFonts w:eastAsia="Times New Roman" w:cs="Times New Roman"/>
              </w:rPr>
              <w:t>Positive but partly intertwined with wider turnaround</w:t>
            </w:r>
          </w:p>
        </w:tc>
      </w:tr>
      <w:tr w:rsidR="005E6F4D" w:rsidRPr="00E831E1" w14:paraId="3DB389F2" w14:textId="77777777" w:rsidTr="0008044B">
        <w:trPr>
          <w:jc w:val="center"/>
        </w:trPr>
        <w:tc>
          <w:tcPr>
            <w:tcW w:w="0" w:type="auto"/>
            <w:hideMark/>
          </w:tcPr>
          <w:p w14:paraId="3022EC7B" w14:textId="77777777" w:rsidR="005E6F4D" w:rsidRPr="00E831E1" w:rsidRDefault="005E6F4D" w:rsidP="0008044B">
            <w:pPr>
              <w:rPr>
                <w:rFonts w:eastAsia="Times New Roman" w:cs="Times New Roman"/>
              </w:rPr>
            </w:pPr>
            <w:r w:rsidRPr="00E831E1">
              <w:rPr>
                <w:rFonts w:eastAsia="Times New Roman" w:cs="Times New Roman"/>
              </w:rPr>
              <w:t>Diversification</w:t>
            </w:r>
          </w:p>
        </w:tc>
        <w:tc>
          <w:tcPr>
            <w:tcW w:w="0" w:type="auto"/>
            <w:hideMark/>
          </w:tcPr>
          <w:p w14:paraId="46D6E8F3" w14:textId="77777777" w:rsidR="005E6F4D" w:rsidRPr="00E831E1" w:rsidRDefault="005E6F4D" w:rsidP="0008044B">
            <w:pPr>
              <w:rPr>
                <w:rFonts w:eastAsia="Times New Roman" w:cs="Times New Roman"/>
              </w:rPr>
            </w:pPr>
            <w:r w:rsidRPr="00E831E1">
              <w:rPr>
                <w:rFonts w:eastAsia="Times New Roman" w:cs="Times New Roman"/>
              </w:rPr>
              <w:t>Weak motive, limited outcome</w:t>
            </w:r>
          </w:p>
        </w:tc>
      </w:tr>
      <w:tr w:rsidR="005E6F4D" w:rsidRPr="00E831E1" w14:paraId="553B524E" w14:textId="77777777" w:rsidTr="0008044B">
        <w:trPr>
          <w:jc w:val="center"/>
        </w:trPr>
        <w:tc>
          <w:tcPr>
            <w:tcW w:w="0" w:type="auto"/>
            <w:hideMark/>
          </w:tcPr>
          <w:p w14:paraId="2BBFD053" w14:textId="77777777" w:rsidR="005E6F4D" w:rsidRPr="00E831E1" w:rsidRDefault="005E6F4D" w:rsidP="0008044B">
            <w:pPr>
              <w:rPr>
                <w:rFonts w:eastAsia="Times New Roman" w:cs="Times New Roman"/>
              </w:rPr>
            </w:pPr>
            <w:r w:rsidRPr="00E831E1">
              <w:rPr>
                <w:rFonts w:eastAsia="Times New Roman" w:cs="Times New Roman"/>
              </w:rPr>
              <w:t>Regulatory framework</w:t>
            </w:r>
          </w:p>
        </w:tc>
        <w:tc>
          <w:tcPr>
            <w:tcW w:w="0" w:type="auto"/>
            <w:hideMark/>
          </w:tcPr>
          <w:p w14:paraId="78A7B799" w14:textId="77777777" w:rsidR="005E6F4D" w:rsidRPr="00E831E1" w:rsidRDefault="005E6F4D" w:rsidP="0008044B">
            <w:pPr>
              <w:rPr>
                <w:rFonts w:eastAsia="Times New Roman" w:cs="Times New Roman"/>
              </w:rPr>
            </w:pPr>
            <w:r w:rsidRPr="00E831E1">
              <w:rPr>
                <w:rFonts w:eastAsia="Times New Roman" w:cs="Times New Roman"/>
              </w:rPr>
              <w:t>Managed successfully (Financial Times, 2022)</w:t>
            </w:r>
          </w:p>
        </w:tc>
      </w:tr>
      <w:tr w:rsidR="005E6F4D" w:rsidRPr="00E831E1" w14:paraId="44B6BC96" w14:textId="77777777" w:rsidTr="0008044B">
        <w:trPr>
          <w:jc w:val="center"/>
        </w:trPr>
        <w:tc>
          <w:tcPr>
            <w:tcW w:w="0" w:type="auto"/>
            <w:hideMark/>
          </w:tcPr>
          <w:p w14:paraId="5FD15F90" w14:textId="77777777" w:rsidR="005E6F4D" w:rsidRPr="00E831E1" w:rsidRDefault="005E6F4D" w:rsidP="0008044B">
            <w:pPr>
              <w:rPr>
                <w:rFonts w:eastAsia="Times New Roman" w:cs="Times New Roman"/>
              </w:rPr>
            </w:pPr>
            <w:r w:rsidRPr="00E831E1">
              <w:rPr>
                <w:rFonts w:eastAsia="Times New Roman" w:cs="Times New Roman"/>
              </w:rPr>
              <w:t>Shareholder wealth</w:t>
            </w:r>
          </w:p>
        </w:tc>
        <w:tc>
          <w:tcPr>
            <w:tcW w:w="0" w:type="auto"/>
            <w:hideMark/>
          </w:tcPr>
          <w:p w14:paraId="7E4C005C" w14:textId="77777777" w:rsidR="005E6F4D" w:rsidRPr="00E831E1" w:rsidRDefault="005E6F4D" w:rsidP="0008044B">
            <w:pPr>
              <w:rPr>
                <w:rFonts w:eastAsia="Times New Roman" w:cs="Times New Roman"/>
              </w:rPr>
            </w:pPr>
            <w:r w:rsidRPr="00E831E1">
              <w:rPr>
                <w:rFonts w:eastAsia="Times New Roman" w:cs="Times New Roman"/>
              </w:rPr>
              <w:t>Probably positive, but only conditionally proven</w:t>
            </w:r>
          </w:p>
        </w:tc>
      </w:tr>
    </w:tbl>
    <w:p w14:paraId="316DA760"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 xml:space="preserve">Figure 3 </w:t>
      </w:r>
      <w:r>
        <w:rPr>
          <w:rFonts w:eastAsia="Times New Roman" w:cs="Times New Roman"/>
        </w:rPr>
        <w:t xml:space="preserve">below </w:t>
      </w:r>
      <w:r w:rsidRPr="00E831E1">
        <w:rPr>
          <w:rFonts w:eastAsia="Times New Roman" w:cs="Times New Roman"/>
        </w:rPr>
        <w:t xml:space="preserve">offers a brief analysis of the results of the acquisition by separating the aspects that were greatly supported by the advantages and </w:t>
      </w:r>
      <w:r>
        <w:rPr>
          <w:rFonts w:eastAsia="Times New Roman" w:cs="Times New Roman"/>
        </w:rPr>
        <w:t xml:space="preserve">the </w:t>
      </w:r>
      <w:r w:rsidRPr="00E831E1">
        <w:rPr>
          <w:rFonts w:eastAsia="Times New Roman" w:cs="Times New Roman"/>
        </w:rPr>
        <w:t>more ambiguous arguments. The visual is that efficiency-related gains are the most plausible achievements</w:t>
      </w:r>
      <w:r>
        <w:rPr>
          <w:rFonts w:eastAsia="Times New Roman" w:cs="Times New Roman"/>
        </w:rPr>
        <w:t>;</w:t>
      </w:r>
      <w:r w:rsidRPr="00E831E1">
        <w:rPr>
          <w:rFonts w:eastAsia="Times New Roman" w:cs="Times New Roman"/>
        </w:rPr>
        <w:t xml:space="preserve"> other generali</w:t>
      </w:r>
      <w:r>
        <w:rPr>
          <w:rFonts w:eastAsia="Times New Roman" w:cs="Times New Roman"/>
        </w:rPr>
        <w:t>s</w:t>
      </w:r>
      <w:r w:rsidRPr="00E831E1">
        <w:rPr>
          <w:rFonts w:eastAsia="Times New Roman" w:cs="Times New Roman"/>
        </w:rPr>
        <w:t>ations involving diversification, market power and total shareholder wealth need to be approached more carefully since the results are less transparent and more diverse.</w:t>
      </w:r>
    </w:p>
    <w:p w14:paraId="56BAE265" w14:textId="77777777" w:rsidR="005E6F4D" w:rsidRPr="00E831E1" w:rsidRDefault="005E6F4D" w:rsidP="005E6F4D">
      <w:pPr>
        <w:spacing w:after="0"/>
        <w:jc w:val="center"/>
        <w:rPr>
          <w:rFonts w:eastAsia="Times New Roman" w:cs="Times New Roman"/>
          <w:b/>
          <w:bCs/>
        </w:rPr>
      </w:pPr>
      <w:r w:rsidRPr="00E831E1">
        <w:rPr>
          <w:rFonts w:eastAsia="Times New Roman" w:cs="Times New Roman"/>
          <w:b/>
          <w:bCs/>
        </w:rPr>
        <w:t>Figure 3</w:t>
      </w:r>
      <w:r>
        <w:rPr>
          <w:rFonts w:eastAsia="Times New Roman" w:cs="Times New Roman"/>
          <w:b/>
          <w:bCs/>
        </w:rPr>
        <w:t>:</w:t>
      </w:r>
      <w:r w:rsidRPr="00E831E1">
        <w:rPr>
          <w:rFonts w:eastAsia="Times New Roman" w:cs="Times New Roman"/>
          <w:b/>
          <w:bCs/>
        </w:rPr>
        <w:t xml:space="preserve"> Expected value drivers vs reali</w:t>
      </w:r>
      <w:r>
        <w:rPr>
          <w:rFonts w:eastAsia="Times New Roman" w:cs="Times New Roman"/>
          <w:b/>
          <w:bCs/>
        </w:rPr>
        <w:t>s</w:t>
      </w:r>
      <w:r w:rsidRPr="00E831E1">
        <w:rPr>
          <w:rFonts w:eastAsia="Times New Roman" w:cs="Times New Roman"/>
          <w:b/>
          <w:bCs/>
        </w:rPr>
        <w:t>ed evidence.</w:t>
      </w:r>
    </w:p>
    <w:p w14:paraId="5A8C1255" w14:textId="77777777" w:rsidR="005E6F4D" w:rsidRPr="00E831E1" w:rsidRDefault="005E6F4D" w:rsidP="005E6F4D">
      <w:pPr>
        <w:spacing w:after="0"/>
        <w:jc w:val="center"/>
        <w:rPr>
          <w:rFonts w:eastAsia="Times New Roman" w:cs="Times New Roman"/>
          <w:b/>
          <w:bCs/>
        </w:rPr>
      </w:pPr>
      <w:r w:rsidRPr="00E831E1">
        <w:rPr>
          <w:rFonts w:eastAsia="Times New Roman" w:cs="Times New Roman"/>
          <w:b/>
          <w:bCs/>
        </w:rPr>
        <w:t>Assessment matrix for M&amp;S acquisition of Gist</w:t>
      </w:r>
    </w:p>
    <w:tbl>
      <w:tblPr>
        <w:tblStyle w:val="af"/>
        <w:tblW w:w="0" w:type="auto"/>
        <w:jc w:val="center"/>
        <w:tblLook w:val="04A0" w:firstRow="1" w:lastRow="0" w:firstColumn="1" w:lastColumn="0" w:noHBand="0" w:noVBand="1"/>
      </w:tblPr>
      <w:tblGrid>
        <w:gridCol w:w="3271"/>
        <w:gridCol w:w="2297"/>
      </w:tblGrid>
      <w:tr w:rsidR="005E6F4D" w:rsidRPr="00F361F0" w14:paraId="45EA60E7" w14:textId="77777777" w:rsidTr="0008044B">
        <w:trPr>
          <w:jc w:val="center"/>
        </w:trPr>
        <w:tc>
          <w:tcPr>
            <w:tcW w:w="0" w:type="auto"/>
            <w:hideMark/>
          </w:tcPr>
          <w:p w14:paraId="4AA83852"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Value driver</w:t>
            </w:r>
          </w:p>
        </w:tc>
        <w:tc>
          <w:tcPr>
            <w:tcW w:w="0" w:type="auto"/>
            <w:hideMark/>
          </w:tcPr>
          <w:p w14:paraId="32857BC7"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Evidence strength</w:t>
            </w:r>
          </w:p>
        </w:tc>
      </w:tr>
      <w:tr w:rsidR="005E6F4D" w:rsidRPr="00F361F0" w14:paraId="7DEDB2E0" w14:textId="77777777" w:rsidTr="0008044B">
        <w:trPr>
          <w:jc w:val="center"/>
        </w:trPr>
        <w:tc>
          <w:tcPr>
            <w:tcW w:w="0" w:type="auto"/>
            <w:hideMark/>
          </w:tcPr>
          <w:p w14:paraId="4B944F11"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Cost savings</w:t>
            </w:r>
          </w:p>
        </w:tc>
        <w:tc>
          <w:tcPr>
            <w:tcW w:w="0" w:type="auto"/>
            <w:shd w:val="clear" w:color="auto" w:fill="00B050"/>
            <w:hideMark/>
          </w:tcPr>
          <w:p w14:paraId="13AA0E27"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Strong</w:t>
            </w:r>
            <w:r w:rsidRPr="00F361F0">
              <w:rPr>
                <w:rFonts w:ascii="Arial" w:eastAsia="Times New Roman" w:hAnsi="Arial" w:cs="Arial"/>
                <w:color w:val="1F1F1F"/>
                <w:bdr w:val="none" w:sz="0" w:space="0" w:color="auto" w:frame="1"/>
              </w:rPr>
              <w:t xml:space="preserve"> </w:t>
            </w:r>
          </w:p>
        </w:tc>
      </w:tr>
      <w:tr w:rsidR="005E6F4D" w:rsidRPr="00F361F0" w14:paraId="5FA95A75" w14:textId="77777777" w:rsidTr="0008044B">
        <w:trPr>
          <w:jc w:val="center"/>
        </w:trPr>
        <w:tc>
          <w:tcPr>
            <w:tcW w:w="0" w:type="auto"/>
            <w:hideMark/>
          </w:tcPr>
          <w:p w14:paraId="22F42ADF"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Rapid payback</w:t>
            </w:r>
          </w:p>
        </w:tc>
        <w:tc>
          <w:tcPr>
            <w:tcW w:w="0" w:type="auto"/>
            <w:shd w:val="clear" w:color="auto" w:fill="00B050"/>
            <w:hideMark/>
          </w:tcPr>
          <w:p w14:paraId="0C1D6B48"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Strong</w:t>
            </w:r>
            <w:r w:rsidRPr="00F361F0">
              <w:rPr>
                <w:rFonts w:ascii="Arial" w:eastAsia="Times New Roman" w:hAnsi="Arial" w:cs="Arial"/>
                <w:color w:val="1F1F1F"/>
                <w:bdr w:val="none" w:sz="0" w:space="0" w:color="auto" w:frame="1"/>
              </w:rPr>
              <w:t xml:space="preserve"> </w:t>
            </w:r>
          </w:p>
        </w:tc>
      </w:tr>
      <w:tr w:rsidR="005E6F4D" w:rsidRPr="00F361F0" w14:paraId="16BB84E3" w14:textId="77777777" w:rsidTr="0008044B">
        <w:trPr>
          <w:jc w:val="center"/>
        </w:trPr>
        <w:tc>
          <w:tcPr>
            <w:tcW w:w="0" w:type="auto"/>
            <w:hideMark/>
          </w:tcPr>
          <w:p w14:paraId="7F002845"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Supply-chain control</w:t>
            </w:r>
          </w:p>
        </w:tc>
        <w:tc>
          <w:tcPr>
            <w:tcW w:w="0" w:type="auto"/>
            <w:shd w:val="clear" w:color="auto" w:fill="00B050"/>
            <w:hideMark/>
          </w:tcPr>
          <w:p w14:paraId="4415E33D"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Strong</w:t>
            </w:r>
            <w:r w:rsidRPr="00F361F0">
              <w:rPr>
                <w:rFonts w:ascii="Arial" w:eastAsia="Times New Roman" w:hAnsi="Arial" w:cs="Arial"/>
                <w:color w:val="1F1F1F"/>
                <w:bdr w:val="none" w:sz="0" w:space="0" w:color="auto" w:frame="1"/>
              </w:rPr>
              <w:t xml:space="preserve"> </w:t>
            </w:r>
          </w:p>
        </w:tc>
      </w:tr>
      <w:tr w:rsidR="005E6F4D" w:rsidRPr="00F361F0" w14:paraId="6570EF96" w14:textId="77777777" w:rsidTr="0008044B">
        <w:trPr>
          <w:jc w:val="center"/>
        </w:trPr>
        <w:tc>
          <w:tcPr>
            <w:tcW w:w="0" w:type="auto"/>
            <w:hideMark/>
          </w:tcPr>
          <w:p w14:paraId="32E5B742"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Market power</w:t>
            </w:r>
          </w:p>
        </w:tc>
        <w:tc>
          <w:tcPr>
            <w:tcW w:w="0" w:type="auto"/>
            <w:shd w:val="clear" w:color="auto" w:fill="ADADAD" w:themeFill="background2" w:themeFillShade="BF"/>
            <w:hideMark/>
          </w:tcPr>
          <w:p w14:paraId="31B41AB2"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Limited</w:t>
            </w:r>
            <w:r w:rsidRPr="00F361F0">
              <w:rPr>
                <w:rFonts w:ascii="Arial" w:eastAsia="Times New Roman" w:hAnsi="Arial" w:cs="Arial"/>
                <w:color w:val="1F1F1F"/>
                <w:bdr w:val="none" w:sz="0" w:space="0" w:color="auto" w:frame="1"/>
              </w:rPr>
              <w:t xml:space="preserve"> </w:t>
            </w:r>
          </w:p>
        </w:tc>
      </w:tr>
      <w:tr w:rsidR="005E6F4D" w:rsidRPr="00F361F0" w14:paraId="696095FD" w14:textId="77777777" w:rsidTr="0008044B">
        <w:trPr>
          <w:jc w:val="center"/>
        </w:trPr>
        <w:tc>
          <w:tcPr>
            <w:tcW w:w="0" w:type="auto"/>
            <w:hideMark/>
          </w:tcPr>
          <w:p w14:paraId="38A42DED"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lastRenderedPageBreak/>
              <w:t>Diversification</w:t>
            </w:r>
          </w:p>
        </w:tc>
        <w:tc>
          <w:tcPr>
            <w:tcW w:w="0" w:type="auto"/>
            <w:hideMark/>
          </w:tcPr>
          <w:p w14:paraId="0D82AE2C"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Weak</w:t>
            </w:r>
            <w:r w:rsidRPr="00F361F0">
              <w:rPr>
                <w:rFonts w:ascii="Arial" w:eastAsia="Times New Roman" w:hAnsi="Arial" w:cs="Arial"/>
                <w:color w:val="1F1F1F"/>
                <w:bdr w:val="none" w:sz="0" w:space="0" w:color="auto" w:frame="1"/>
              </w:rPr>
              <w:t xml:space="preserve"> </w:t>
            </w:r>
          </w:p>
        </w:tc>
      </w:tr>
      <w:tr w:rsidR="005E6F4D" w:rsidRPr="00F361F0" w14:paraId="0E23CA77" w14:textId="77777777" w:rsidTr="0008044B">
        <w:trPr>
          <w:trHeight w:val="312"/>
          <w:jc w:val="center"/>
        </w:trPr>
        <w:tc>
          <w:tcPr>
            <w:tcW w:w="0" w:type="auto"/>
            <w:hideMark/>
          </w:tcPr>
          <w:p w14:paraId="3966FA1B"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Shareholder wealth impact</w:t>
            </w:r>
          </w:p>
        </w:tc>
        <w:tc>
          <w:tcPr>
            <w:tcW w:w="0" w:type="auto"/>
            <w:shd w:val="clear" w:color="auto" w:fill="B3E5A1" w:themeFill="accent6" w:themeFillTint="66"/>
            <w:hideMark/>
          </w:tcPr>
          <w:p w14:paraId="3E95A690" w14:textId="77777777" w:rsidR="005E6F4D" w:rsidRPr="00F361F0" w:rsidRDefault="005E6F4D" w:rsidP="0008044B">
            <w:pPr>
              <w:rPr>
                <w:rFonts w:ascii="Arial" w:eastAsia="Times New Roman" w:hAnsi="Arial" w:cs="Arial"/>
                <w:color w:val="1F1F1F"/>
              </w:rPr>
            </w:pPr>
            <w:r w:rsidRPr="00F361F0">
              <w:rPr>
                <w:rFonts w:ascii="Arial" w:eastAsia="Times New Roman" w:hAnsi="Arial" w:cs="Arial"/>
                <w:b/>
                <w:bCs/>
                <w:color w:val="1F1F1F"/>
                <w:bdr w:val="none" w:sz="0" w:space="0" w:color="auto" w:frame="1"/>
              </w:rPr>
              <w:t>Mixed</w:t>
            </w:r>
          </w:p>
        </w:tc>
      </w:tr>
    </w:tbl>
    <w:p w14:paraId="0E1AFD24" w14:textId="77777777" w:rsidR="005E6F4D" w:rsidRPr="00E831E1" w:rsidRDefault="005E6F4D" w:rsidP="005E6F4D">
      <w:pPr>
        <w:spacing w:after="100" w:afterAutospacing="1"/>
        <w:jc w:val="center"/>
        <w:rPr>
          <w:rFonts w:eastAsia="Times New Roman" w:cs="Times New Roman"/>
        </w:rPr>
      </w:pPr>
      <w:r w:rsidRPr="00E831E1">
        <w:rPr>
          <w:rFonts w:eastAsia="Times New Roman" w:cs="Times New Roman"/>
        </w:rPr>
        <w:t>(Source: Self-made)</w:t>
      </w:r>
    </w:p>
    <w:p w14:paraId="3C6E139D" w14:textId="77777777" w:rsidR="005E6F4D" w:rsidRPr="00E831E1" w:rsidRDefault="005E6F4D" w:rsidP="005E6F4D">
      <w:pPr>
        <w:pStyle w:val="1"/>
        <w:rPr>
          <w:rFonts w:hint="eastAsia"/>
        </w:rPr>
      </w:pPr>
      <w:bookmarkStart w:id="4" w:name="_Toc224030207"/>
      <w:r>
        <w:t xml:space="preserve">4. </w:t>
      </w:r>
      <w:r w:rsidRPr="00E831E1">
        <w:t>Conclusion</w:t>
      </w:r>
      <w:bookmarkEnd w:id="4"/>
    </w:p>
    <w:p w14:paraId="65F33717"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Marking the conclusion, Marks and Spencer</w:t>
      </w:r>
      <w:r>
        <w:rPr>
          <w:rFonts w:eastAsia="Times New Roman" w:cs="Times New Roman"/>
        </w:rPr>
        <w:t>'s</w:t>
      </w:r>
      <w:r w:rsidRPr="00E831E1">
        <w:rPr>
          <w:rFonts w:eastAsia="Times New Roman" w:cs="Times New Roman"/>
        </w:rPr>
        <w:t xml:space="preserve"> acquisition of Gist succeeded in reaching the most significant strategic goals, namely, superior control of the supply chain, elimination of the inefficiency of the old contracts, accelerated ability of acquisition and immediate logistical benefits. The fact that savings were higher than anticipated and that payback was quick is a strong indication that the deal had generated operational value. Nevertheless, the new deal was not an expansive diversification triumph, and any post-deal advancement cannot be blamed entirely on Gist since M&amp;S was transforming in multiple directions simultaneously. </w:t>
      </w:r>
    </w:p>
    <w:p w14:paraId="3E954B04" w14:textId="77777777" w:rsidR="005E6F4D" w:rsidRPr="00E831E1" w:rsidRDefault="005E6F4D" w:rsidP="005E6F4D">
      <w:pPr>
        <w:spacing w:after="100" w:afterAutospacing="1"/>
        <w:rPr>
          <w:rFonts w:eastAsia="Times New Roman" w:cs="Times New Roman"/>
        </w:rPr>
      </w:pPr>
      <w:r w:rsidRPr="00E831E1">
        <w:rPr>
          <w:rFonts w:eastAsia="Times New Roman" w:cs="Times New Roman"/>
        </w:rPr>
        <w:t>I would say that the overall result of the transaction is successful in a balance, although primarily due to a focused vertical integration action, with a clear operational rationale behind it, and not a speculative growth acquisition. It is more believable than most of the M&amp;A cases scrutini</w:t>
      </w:r>
      <w:r>
        <w:rPr>
          <w:rFonts w:eastAsia="Times New Roman" w:cs="Times New Roman"/>
        </w:rPr>
        <w:t>s</w:t>
      </w:r>
      <w:r w:rsidRPr="00E831E1">
        <w:rPr>
          <w:rFonts w:eastAsia="Times New Roman" w:cs="Times New Roman"/>
        </w:rPr>
        <w:t>ed in the literature as a result of hubris, poor fit or overpayment (Roll, 1986; King et al., 2004; Meglio and Risberg, 2011). It is, therefore, the most reasonable conclusion that M&amp;S made significant strategic and financial gains in the Gist deal</w:t>
      </w:r>
      <w:r>
        <w:rPr>
          <w:rFonts w:eastAsia="Times New Roman" w:cs="Times New Roman"/>
        </w:rPr>
        <w:t>,</w:t>
      </w:r>
      <w:r w:rsidRPr="00E831E1">
        <w:rPr>
          <w:rFonts w:eastAsia="Times New Roman" w:cs="Times New Roman"/>
        </w:rPr>
        <w:t xml:space="preserve"> and the full shareholder value issue remains to rely upon the effectiveness with which </w:t>
      </w:r>
      <w:r>
        <w:rPr>
          <w:rFonts w:eastAsia="Times New Roman" w:cs="Times New Roman"/>
        </w:rPr>
        <w:t xml:space="preserve">the </w:t>
      </w:r>
      <w:r w:rsidRPr="00E831E1">
        <w:rPr>
          <w:rFonts w:eastAsia="Times New Roman" w:cs="Times New Roman"/>
        </w:rPr>
        <w:t>company can further modernise the inherited system of logistics in the course of time.</w:t>
      </w:r>
    </w:p>
    <w:bookmarkEnd w:id="1"/>
    <w:p w14:paraId="006BB43F" w14:textId="77777777" w:rsidR="005E6F4D" w:rsidRPr="00E831E1" w:rsidRDefault="005E6F4D" w:rsidP="005E6F4D">
      <w:pPr>
        <w:rPr>
          <w:rFonts w:eastAsia="Times New Roman" w:cs="Times New Roman"/>
        </w:rPr>
      </w:pPr>
      <w:r w:rsidRPr="00E831E1">
        <w:rPr>
          <w:rFonts w:eastAsia="Times New Roman" w:cs="Times New Roman"/>
        </w:rPr>
        <w:br w:type="page"/>
      </w:r>
    </w:p>
    <w:p w14:paraId="3EEE758E" w14:textId="77777777" w:rsidR="005E6F4D" w:rsidRPr="00E831E1" w:rsidRDefault="005E6F4D" w:rsidP="005E6F4D">
      <w:pPr>
        <w:pStyle w:val="1"/>
        <w:rPr>
          <w:rFonts w:eastAsia="Times New Roman"/>
        </w:rPr>
      </w:pPr>
      <w:bookmarkStart w:id="5" w:name="_Toc224030208"/>
      <w:r>
        <w:rPr>
          <w:rFonts w:eastAsia="Times New Roman"/>
        </w:rPr>
        <w:lastRenderedPageBreak/>
        <w:t xml:space="preserve">5. </w:t>
      </w:r>
      <w:r w:rsidRPr="00E831E1">
        <w:rPr>
          <w:rFonts w:eastAsia="Times New Roman"/>
        </w:rPr>
        <w:t>References</w:t>
      </w:r>
      <w:bookmarkEnd w:id="5"/>
    </w:p>
    <w:p w14:paraId="5D20A9EB" w14:textId="77777777" w:rsidR="005E6F4D" w:rsidRDefault="005E6F4D" w:rsidP="005E6F4D">
      <w:pPr>
        <w:pStyle w:val="af5"/>
        <w:spacing w:before="0" w:beforeAutospacing="0" w:after="240" w:afterAutospacing="0" w:line="360" w:lineRule="auto"/>
      </w:pPr>
      <w:r>
        <w:t xml:space="preserve">Andrade, G., Mitchell, M. and Stafford, E. (2001) ‘New Evidence and Perspectives on Mergers’, </w:t>
      </w:r>
      <w:r>
        <w:rPr>
          <w:i/>
          <w:iCs/>
        </w:rPr>
        <w:t>Journal of Economic Perspectives</w:t>
      </w:r>
      <w:r>
        <w:t>, 15(2), pp. 103–120. Available at: https://doi.org/10.1257/jep.15.2.103.</w:t>
      </w:r>
    </w:p>
    <w:p w14:paraId="49237FCD" w14:textId="77777777" w:rsidR="005E6F4D" w:rsidRDefault="005E6F4D" w:rsidP="005E6F4D">
      <w:pPr>
        <w:pStyle w:val="af5"/>
        <w:spacing w:before="0" w:beforeAutospacing="0" w:after="240" w:afterAutospacing="0" w:line="360" w:lineRule="auto"/>
      </w:pPr>
      <w:r>
        <w:t xml:space="preserve">Barney, J.B. (1988) ‘Returns to bidding firms in mergers and acquisitions: Reconsidering the relatedness hypothesis’, </w:t>
      </w:r>
      <w:r>
        <w:rPr>
          <w:i/>
          <w:iCs/>
        </w:rPr>
        <w:t>Strategic Management Journal</w:t>
      </w:r>
      <w:r>
        <w:t>, 9(S1), pp. 71–78. Available at: https://doi.org/10.1002/smj.4250090708.</w:t>
      </w:r>
    </w:p>
    <w:p w14:paraId="71EAB6BC" w14:textId="77777777" w:rsidR="005E6F4D" w:rsidRDefault="005E6F4D" w:rsidP="005E6F4D">
      <w:pPr>
        <w:pStyle w:val="af5"/>
        <w:spacing w:before="0" w:beforeAutospacing="0" w:after="240" w:afterAutospacing="0" w:line="360" w:lineRule="auto"/>
      </w:pPr>
      <w:r>
        <w:t xml:space="preserve">Bradley, M., Desai, A. and Kim, </w:t>
      </w:r>
      <w:proofErr w:type="spellStart"/>
      <w:proofErr w:type="gramStart"/>
      <w:r>
        <w:t>E.Han</w:t>
      </w:r>
      <w:proofErr w:type="spellEnd"/>
      <w:proofErr w:type="gramEnd"/>
      <w:r>
        <w:t xml:space="preserve">. (1988) ‘Synergistic gains from corporate acquisitions and their division between the stockholders of target and acquiring firms’, </w:t>
      </w:r>
      <w:r>
        <w:rPr>
          <w:i/>
          <w:iCs/>
        </w:rPr>
        <w:t>Journal of Financial Economics</w:t>
      </w:r>
      <w:r>
        <w:t>, 21(1), pp. 3–40. Available at: https://doi.org/10.1016/0304-405X(88)90030-X.</w:t>
      </w:r>
    </w:p>
    <w:p w14:paraId="54712D47" w14:textId="77777777" w:rsidR="005E6F4D" w:rsidRDefault="005E6F4D" w:rsidP="005E6F4D">
      <w:pPr>
        <w:pStyle w:val="af5"/>
        <w:spacing w:before="0" w:beforeAutospacing="0" w:after="240" w:afterAutospacing="0" w:line="360" w:lineRule="auto"/>
      </w:pPr>
      <w:r>
        <w:t xml:space="preserve">Capron, L. and Hulland, J. (1999) ‘Redeployment of Brands, Sales Forces, and General Marketing Management Expertise following Horizontal Acquisitions: A Resource-Based View’, </w:t>
      </w:r>
      <w:r>
        <w:rPr>
          <w:i/>
          <w:iCs/>
        </w:rPr>
        <w:t>Journal of Marketing</w:t>
      </w:r>
      <w:r>
        <w:t>, 63(2), pp. 41–54. Available at: https://doi.org/10.1177/002224299906300203.</w:t>
      </w:r>
    </w:p>
    <w:p w14:paraId="14E2D4B0" w14:textId="77777777" w:rsidR="005E6F4D" w:rsidRDefault="005E6F4D" w:rsidP="005E6F4D">
      <w:pPr>
        <w:pStyle w:val="af5"/>
        <w:spacing w:before="0" w:beforeAutospacing="0" w:after="240" w:afterAutospacing="0" w:line="360" w:lineRule="auto"/>
      </w:pPr>
      <w:r>
        <w:t xml:space="preserve">Cartwright, S. and Schoenberg, R. (2006) ‘Thirty Years of Mergers and Acquisitions Research: Recent Advances and Future Opportunities’, </w:t>
      </w:r>
      <w:r>
        <w:rPr>
          <w:i/>
          <w:iCs/>
        </w:rPr>
        <w:t>British Journal of Management</w:t>
      </w:r>
      <w:r>
        <w:t>, 17(S1), pp. S1–S5. Available at: https://doi.org/10.1111/j.1467-8551.2006.00475.x.</w:t>
      </w:r>
    </w:p>
    <w:p w14:paraId="5D0619E2" w14:textId="77777777" w:rsidR="005E6F4D" w:rsidRDefault="005E6F4D" w:rsidP="005E6F4D">
      <w:pPr>
        <w:pStyle w:val="af5"/>
        <w:spacing w:before="0" w:beforeAutospacing="0" w:after="240" w:afterAutospacing="0" w:line="360" w:lineRule="auto"/>
      </w:pPr>
      <w:r>
        <w:t xml:space="preserve">Chatterjee, S. (1986) ‘Types of synergy and economic value: The impact of acquisitions on merging and rival firms’, </w:t>
      </w:r>
      <w:r>
        <w:rPr>
          <w:i/>
          <w:iCs/>
        </w:rPr>
        <w:t>Strategic Management Journal</w:t>
      </w:r>
      <w:r>
        <w:t>, 7(2), pp. 119–139. Available at: https://doi.org/10.1002/smj.4250070203.</w:t>
      </w:r>
    </w:p>
    <w:p w14:paraId="4E1BEAE9" w14:textId="77777777" w:rsidR="005E6F4D" w:rsidRDefault="005E6F4D" w:rsidP="005E6F4D">
      <w:pPr>
        <w:pStyle w:val="af5"/>
        <w:spacing w:before="0" w:beforeAutospacing="0" w:after="240" w:afterAutospacing="0" w:line="360" w:lineRule="auto"/>
      </w:pPr>
      <w:r>
        <w:t xml:space="preserve">Devos, E., </w:t>
      </w:r>
      <w:proofErr w:type="spellStart"/>
      <w:r>
        <w:t>Kadapakkam</w:t>
      </w:r>
      <w:proofErr w:type="spellEnd"/>
      <w:r>
        <w:t xml:space="preserve">, P.-R. and Krishnamurthy, S. (2009) ‘How Do Mergers Create Value? A Comparison of Taxes, Market Power, and Efficiency Improvements as Explanations for Synergies’, </w:t>
      </w:r>
      <w:r>
        <w:rPr>
          <w:i/>
          <w:iCs/>
        </w:rPr>
        <w:t>The Review of Financial Studies</w:t>
      </w:r>
      <w:r>
        <w:t>, 22(3), pp. 1179–1211.</w:t>
      </w:r>
    </w:p>
    <w:p w14:paraId="200FD77F" w14:textId="77777777" w:rsidR="005E6F4D" w:rsidRDefault="005E6F4D" w:rsidP="005E6F4D">
      <w:pPr>
        <w:pStyle w:val="af5"/>
        <w:spacing w:before="0" w:beforeAutospacing="0" w:after="240" w:afterAutospacing="0" w:line="360" w:lineRule="auto"/>
      </w:pPr>
      <w:proofErr w:type="spellStart"/>
      <w:r>
        <w:t>Eckbo</w:t>
      </w:r>
      <w:proofErr w:type="spellEnd"/>
      <w:r>
        <w:t xml:space="preserve">, </w:t>
      </w:r>
      <w:proofErr w:type="spellStart"/>
      <w:proofErr w:type="gramStart"/>
      <w:r>
        <w:t>B.Espen</w:t>
      </w:r>
      <w:proofErr w:type="spellEnd"/>
      <w:proofErr w:type="gramEnd"/>
      <w:r>
        <w:t xml:space="preserve">. (1983) ‘Horizontal mergers, collusion, and stockholder wealth’, </w:t>
      </w:r>
      <w:r>
        <w:rPr>
          <w:i/>
          <w:iCs/>
        </w:rPr>
        <w:t>Journal of Financial Economics</w:t>
      </w:r>
      <w:r>
        <w:t>, 11(1-4), pp. 241–273. Available at: https://doi.org/10.1016/0304-405x(83)90013-2.</w:t>
      </w:r>
    </w:p>
    <w:p w14:paraId="1ACAD75D" w14:textId="77777777" w:rsidR="005E6F4D" w:rsidRDefault="005E6F4D" w:rsidP="005E6F4D">
      <w:pPr>
        <w:pStyle w:val="af5"/>
        <w:spacing w:before="0" w:beforeAutospacing="0" w:after="240" w:afterAutospacing="0" w:line="360" w:lineRule="auto"/>
      </w:pPr>
      <w:r>
        <w:lastRenderedPageBreak/>
        <w:t xml:space="preserve">Financial Times (2022) </w:t>
      </w:r>
      <w:r>
        <w:rPr>
          <w:i/>
          <w:iCs/>
        </w:rPr>
        <w:t>Marks &amp; Spencer completes acquisition of Gist – Company Announcement - FT.com</w:t>
      </w:r>
      <w:r>
        <w:t xml:space="preserve">, </w:t>
      </w:r>
      <w:r>
        <w:rPr>
          <w:i/>
          <w:iCs/>
        </w:rPr>
        <w:t>markets.ft.com</w:t>
      </w:r>
      <w:r>
        <w:t>. Available at: https://markets.ft.com/data/announce/full?dockey=1323-15652707-2LKNLGKK9CI0QQSO3MA00EPL4S (Accessed: 8 March 2026).</w:t>
      </w:r>
    </w:p>
    <w:p w14:paraId="72B4D569" w14:textId="77777777" w:rsidR="005E6F4D" w:rsidRDefault="005E6F4D" w:rsidP="005E6F4D">
      <w:pPr>
        <w:pStyle w:val="af5"/>
        <w:spacing w:before="0" w:beforeAutospacing="0" w:after="240" w:afterAutospacing="0" w:line="360" w:lineRule="auto"/>
      </w:pPr>
      <w:r>
        <w:t xml:space="preserve">Ghosh, A. (2001) ‘Does operating performance really improve following corporate acquisitions?’, </w:t>
      </w:r>
      <w:r>
        <w:rPr>
          <w:i/>
          <w:iCs/>
        </w:rPr>
        <w:t>Journal of Corporate Finance</w:t>
      </w:r>
      <w:r>
        <w:t>, 7(2), pp. 151–178. Available at: https://doi.org/10.1016/s0929-1199(01)00018-9.</w:t>
      </w:r>
    </w:p>
    <w:p w14:paraId="1E6C1A0D" w14:textId="77777777" w:rsidR="005E6F4D" w:rsidRDefault="005E6F4D" w:rsidP="005E6F4D">
      <w:pPr>
        <w:pStyle w:val="af5"/>
        <w:spacing w:before="0" w:beforeAutospacing="0" w:after="240" w:afterAutospacing="0" w:line="360" w:lineRule="auto"/>
      </w:pPr>
      <w:r>
        <w:t xml:space="preserve">Gugler, K., Mueller, D.C., </w:t>
      </w:r>
      <w:proofErr w:type="spellStart"/>
      <w:r>
        <w:t>Yurtoglu</w:t>
      </w:r>
      <w:proofErr w:type="spellEnd"/>
      <w:r>
        <w:t xml:space="preserve">, </w:t>
      </w:r>
      <w:proofErr w:type="spellStart"/>
      <w:proofErr w:type="gramStart"/>
      <w:r>
        <w:t>B.Burcin</w:t>
      </w:r>
      <w:proofErr w:type="spellEnd"/>
      <w:proofErr w:type="gramEnd"/>
      <w:r>
        <w:t xml:space="preserve">. and </w:t>
      </w:r>
      <w:proofErr w:type="spellStart"/>
      <w:r>
        <w:t>Zulehner</w:t>
      </w:r>
      <w:proofErr w:type="spellEnd"/>
      <w:r>
        <w:t xml:space="preserve">, C. (2003) ‘The effects of mergers: an international comparison’, </w:t>
      </w:r>
      <w:r>
        <w:rPr>
          <w:i/>
          <w:iCs/>
        </w:rPr>
        <w:t>International Journal of Industrial Organization</w:t>
      </w:r>
      <w:r>
        <w:t>, 21(5), pp. 625–653. Available at: https://doi.org/10.1016/s0167-7187(02)00107-8.</w:t>
      </w:r>
    </w:p>
    <w:p w14:paraId="343036C5" w14:textId="77777777" w:rsidR="005E6F4D" w:rsidRDefault="005E6F4D" w:rsidP="005E6F4D">
      <w:pPr>
        <w:pStyle w:val="af5"/>
        <w:spacing w:before="0" w:beforeAutospacing="0" w:after="240" w:afterAutospacing="0" w:line="360" w:lineRule="auto"/>
      </w:pPr>
      <w:proofErr w:type="spellStart"/>
      <w:r>
        <w:t>Haleblian</w:t>
      </w:r>
      <w:proofErr w:type="spellEnd"/>
      <w:r>
        <w:t xml:space="preserve">, J., Devers, C.E., McNamara, G., Carpenter, M.A. and Davison, R.B. (2009) ‘Taking Stock of What We Know About Mergers and Acquisitions: A Review and Research Agenda’, </w:t>
      </w:r>
      <w:r>
        <w:rPr>
          <w:i/>
          <w:iCs/>
        </w:rPr>
        <w:t>Journal of Management</w:t>
      </w:r>
      <w:r>
        <w:t>, 35(3), pp. 469–502.</w:t>
      </w:r>
    </w:p>
    <w:p w14:paraId="38B1F96F" w14:textId="77777777" w:rsidR="005E6F4D" w:rsidRDefault="005E6F4D" w:rsidP="005E6F4D">
      <w:pPr>
        <w:pStyle w:val="af5"/>
        <w:spacing w:before="0" w:beforeAutospacing="0" w:after="240" w:afterAutospacing="0" w:line="360" w:lineRule="auto"/>
      </w:pPr>
      <w:r>
        <w:t xml:space="preserve">Healy, P.M., Palepu, K.G. and Ruback, R.S. (1992) ‘Does Corporate Performance Improve after mergers?’, </w:t>
      </w:r>
      <w:r>
        <w:rPr>
          <w:i/>
          <w:iCs/>
        </w:rPr>
        <w:t>Journal of Financial Economics</w:t>
      </w:r>
      <w:r>
        <w:t>, 31(2), pp. 135–175. Available at: https://doi.org/10.1016/0304-405X(92)90002-F.</w:t>
      </w:r>
    </w:p>
    <w:p w14:paraId="1EBAF74F" w14:textId="77777777" w:rsidR="005E6F4D" w:rsidRDefault="005E6F4D" w:rsidP="005E6F4D">
      <w:pPr>
        <w:pStyle w:val="af5"/>
        <w:spacing w:before="0" w:beforeAutospacing="0" w:after="240" w:afterAutospacing="0" w:line="360" w:lineRule="auto"/>
      </w:pPr>
      <w:r>
        <w:t xml:space="preserve">Jensen, M.C. (1986) ‘Agency Costs of Free Cash Flow, Corporate Finance, and Takeovers’, </w:t>
      </w:r>
      <w:r>
        <w:rPr>
          <w:i/>
          <w:iCs/>
        </w:rPr>
        <w:t>The American Economic Review</w:t>
      </w:r>
      <w:r>
        <w:t>, 76(2), pp. 323–329. Available at: https://www.jstor.org/stable/1818789.</w:t>
      </w:r>
    </w:p>
    <w:p w14:paraId="05AE5F54" w14:textId="77777777" w:rsidR="005E6F4D" w:rsidRDefault="005E6F4D" w:rsidP="005E6F4D">
      <w:pPr>
        <w:pStyle w:val="af5"/>
        <w:spacing w:before="0" w:beforeAutospacing="0" w:after="240" w:afterAutospacing="0" w:line="360" w:lineRule="auto"/>
      </w:pPr>
      <w:r>
        <w:t xml:space="preserve">King, D.R., Dalton, D.R., Daily, C.M. and Covin, J.G. (2004) ‘Meta-analyses of post-acquisition performance: indications of unidentified moderators’, </w:t>
      </w:r>
      <w:r>
        <w:rPr>
          <w:i/>
          <w:iCs/>
        </w:rPr>
        <w:t>Strategic Management Journal</w:t>
      </w:r>
      <w:r>
        <w:t>, 25(2), pp. 187–200.</w:t>
      </w:r>
    </w:p>
    <w:p w14:paraId="0D8BD3E3" w14:textId="77777777" w:rsidR="005E6F4D" w:rsidRDefault="005E6F4D" w:rsidP="005E6F4D">
      <w:pPr>
        <w:pStyle w:val="af5"/>
        <w:spacing w:before="0" w:beforeAutospacing="0" w:after="240" w:afterAutospacing="0" w:line="360" w:lineRule="auto"/>
      </w:pPr>
      <w:r>
        <w:t xml:space="preserve">Larsson, R. and Finkelstein, S. (1999) ‘Integrating Strategic, Organizational, and Human Resource Perspectives on Mergers and Acquisitions: A Case Survey of Synergy Realization’, </w:t>
      </w:r>
      <w:r>
        <w:rPr>
          <w:i/>
          <w:iCs/>
        </w:rPr>
        <w:t>Organization Science</w:t>
      </w:r>
      <w:r>
        <w:t>, 10(1), pp. 1–26.</w:t>
      </w:r>
    </w:p>
    <w:p w14:paraId="484C720C" w14:textId="77777777" w:rsidR="005E6F4D" w:rsidRDefault="005E6F4D" w:rsidP="005E6F4D">
      <w:pPr>
        <w:pStyle w:val="af5"/>
        <w:spacing w:before="0" w:beforeAutospacing="0" w:after="240" w:afterAutospacing="0" w:line="360" w:lineRule="auto"/>
      </w:pPr>
      <w:r>
        <w:t xml:space="preserve">M&amp;S (2022) </w:t>
      </w:r>
      <w:r>
        <w:rPr>
          <w:i/>
          <w:iCs/>
        </w:rPr>
        <w:t>MARKS AND SPENCER TO ACQUIRE GIST AS PART OF ACCELERATING ITS FOOD SUPPLY CHAIN TRANSFORMATION</w:t>
      </w:r>
      <w:r>
        <w:t xml:space="preserve">, </w:t>
      </w:r>
      <w:r>
        <w:rPr>
          <w:i/>
          <w:iCs/>
        </w:rPr>
        <w:t>Marks &amp; Spencer</w:t>
      </w:r>
      <w:r>
        <w:t>. Available at: https://corporate.marksandspencer.com/newsroom/press-releases/marks-and-spencer-acquire-gist-part-accelerating-its-food-supply-chain (Accessed: 8 March 2026).</w:t>
      </w:r>
    </w:p>
    <w:p w14:paraId="37C0143F" w14:textId="77777777" w:rsidR="005E6F4D" w:rsidRDefault="005E6F4D" w:rsidP="005E6F4D">
      <w:pPr>
        <w:pStyle w:val="af5"/>
        <w:spacing w:before="0" w:beforeAutospacing="0" w:after="240" w:afterAutospacing="0" w:line="360" w:lineRule="auto"/>
      </w:pPr>
      <w:r>
        <w:lastRenderedPageBreak/>
        <w:t xml:space="preserve">M&amp;S (2023) </w:t>
      </w:r>
      <w:r>
        <w:rPr>
          <w:i/>
          <w:iCs/>
        </w:rPr>
        <w:t>Marks and Spencer Group Plc Half Year Results for 26 Weeks Ended 30 September 2023 ‘RESHAPING M&amp;S’ STRATEGY DELIVERS STRONG RESULTS</w:t>
      </w:r>
      <w:r>
        <w:t>. Available at: https://corporate.marksandspencer.com/sites/marksandspencer/files/2023-11/Marks-and-Spencer-Group-Plc-Half-Year-Results-for-26-Weeks-Ended-30-September-2023.pdf (Accessed: 9 March 2026).</w:t>
      </w:r>
    </w:p>
    <w:p w14:paraId="5ED57F37" w14:textId="77777777" w:rsidR="005E6F4D" w:rsidRDefault="005E6F4D" w:rsidP="005E6F4D">
      <w:pPr>
        <w:pStyle w:val="af5"/>
        <w:spacing w:before="0" w:beforeAutospacing="0" w:after="240" w:afterAutospacing="0" w:line="360" w:lineRule="auto"/>
      </w:pPr>
      <w:r>
        <w:t xml:space="preserve">Meglio, O. and Risberg, A. (2011) ‘The (mis)measurement of M&amp;A performance—A systematic narrative literature review’, </w:t>
      </w:r>
      <w:r>
        <w:rPr>
          <w:i/>
          <w:iCs/>
        </w:rPr>
        <w:t>Scandinavian Journal of Management</w:t>
      </w:r>
      <w:r>
        <w:t>, 27(4), pp. 418–433. Available at: https://doi.org/10.1016/j.scaman.2011.09.002.</w:t>
      </w:r>
    </w:p>
    <w:p w14:paraId="3F7E4203" w14:textId="77777777" w:rsidR="005E6F4D" w:rsidRDefault="005E6F4D" w:rsidP="005E6F4D">
      <w:pPr>
        <w:pStyle w:val="af5"/>
        <w:spacing w:before="0" w:beforeAutospacing="0" w:after="240" w:afterAutospacing="0" w:line="360" w:lineRule="auto"/>
      </w:pPr>
      <w:r>
        <w:t xml:space="preserve">Roll, R. (1986) ‘The Hubris Hypothesis of Corporate Takeovers’, </w:t>
      </w:r>
      <w:r>
        <w:rPr>
          <w:i/>
          <w:iCs/>
        </w:rPr>
        <w:t>The Journal of Business</w:t>
      </w:r>
      <w:r>
        <w:t>, 59(2), pp. 197–216.</w:t>
      </w:r>
    </w:p>
    <w:p w14:paraId="69B74F8B" w14:textId="77777777" w:rsidR="005E6F4D" w:rsidRDefault="005E6F4D" w:rsidP="005E6F4D">
      <w:pPr>
        <w:pStyle w:val="af5"/>
        <w:spacing w:before="0" w:beforeAutospacing="0" w:after="240" w:afterAutospacing="0" w:line="360" w:lineRule="auto"/>
      </w:pPr>
      <w:r>
        <w:t xml:space="preserve">Schoenberg, R. (2006) ‘Measuring the Performance of Corporate Acquisitions: An Empirical Comparison of Alternative Metrics’, </w:t>
      </w:r>
      <w:r>
        <w:rPr>
          <w:i/>
          <w:iCs/>
        </w:rPr>
        <w:t>British Journal of Management</w:t>
      </w:r>
      <w:r>
        <w:t>, 17(4), pp. 361–370. Available at: https://doi.org/10.1111/j.1467-8551.2006.00488.x.</w:t>
      </w:r>
    </w:p>
    <w:p w14:paraId="38737B43" w14:textId="77777777" w:rsidR="005E6F4D" w:rsidRDefault="005E6F4D" w:rsidP="005E6F4D">
      <w:pPr>
        <w:pStyle w:val="af5"/>
        <w:spacing w:before="0" w:beforeAutospacing="0" w:after="240" w:afterAutospacing="0" w:line="360" w:lineRule="auto"/>
      </w:pPr>
      <w:r>
        <w:t xml:space="preserve">Seth, A., Song, K.P. and Pettit, R. (2000) ‘Synergy, Managerialism or Hubris? An Empirical Examination of Motives for Foreign Acquisitions of U.S. Firms’, </w:t>
      </w:r>
      <w:r>
        <w:rPr>
          <w:i/>
          <w:iCs/>
        </w:rPr>
        <w:t>Journal of International Business Studies</w:t>
      </w:r>
      <w:r>
        <w:t>, 31(3), pp. 387–405. Available at: https://doi.org/10.1057/palgrave.jibs.8490913.</w:t>
      </w:r>
    </w:p>
    <w:p w14:paraId="414C852B" w14:textId="77777777" w:rsidR="005E6F4D" w:rsidRPr="009C66CE" w:rsidRDefault="005E6F4D" w:rsidP="005E6F4D">
      <w:pPr>
        <w:pStyle w:val="af5"/>
        <w:spacing w:before="0" w:beforeAutospacing="0" w:after="240" w:afterAutospacing="0" w:line="360" w:lineRule="auto"/>
      </w:pPr>
      <w:r>
        <w:t xml:space="preserve">Trautwein, F. (1990) ‘Merger motives and merger prescriptions’, </w:t>
      </w:r>
      <w:r>
        <w:rPr>
          <w:i/>
          <w:iCs/>
        </w:rPr>
        <w:t>Strategic Management Journal</w:t>
      </w:r>
      <w:r>
        <w:t>, 11(4), pp. 283–295.</w:t>
      </w:r>
    </w:p>
    <w:p w14:paraId="2F9D9591" w14:textId="77777777" w:rsidR="005E6F4D" w:rsidRDefault="005E6F4D" w:rsidP="005E6F4D">
      <w:r w:rsidRPr="00E831E1">
        <w:rPr>
          <w:rFonts w:eastAsia="Times New Roman" w:cs="Times New Roman"/>
        </w:rPr>
        <w:t xml:space="preserve">University of Wales Trinity Saint David (n.d.) </w:t>
      </w:r>
      <w:r w:rsidRPr="00E831E1">
        <w:rPr>
          <w:rFonts w:eastAsia="Times New Roman" w:cs="Times New Roman"/>
          <w:i/>
          <w:iCs/>
        </w:rPr>
        <w:t>Financial Management BMBM6007</w:t>
      </w:r>
      <w:r w:rsidRPr="00E831E1">
        <w:rPr>
          <w:rFonts w:eastAsia="Times New Roman" w:cs="Times New Roman"/>
        </w:rPr>
        <w:t>: [module lecture notes]. Topics used: ‘Fin</w:t>
      </w:r>
    </w:p>
    <w:p w14:paraId="49A65836" w14:textId="77777777" w:rsidR="0005368F" w:rsidRPr="005E6F4D" w:rsidRDefault="0005368F" w:rsidP="005E6F4D"/>
    <w:sectPr w:rsidR="0005368F" w:rsidRPr="005E6F4D" w:rsidSect="00435B3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44C2E" w14:textId="77777777" w:rsidR="00981285" w:rsidRDefault="00981285">
      <w:pPr>
        <w:spacing w:before="0" w:after="0" w:line="240" w:lineRule="auto"/>
      </w:pPr>
      <w:r>
        <w:separator/>
      </w:r>
    </w:p>
  </w:endnote>
  <w:endnote w:type="continuationSeparator" w:id="0">
    <w:p w14:paraId="0DAE3C3C" w14:textId="77777777" w:rsidR="00981285" w:rsidRDefault="0098128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01837"/>
      <w:docPartObj>
        <w:docPartGallery w:val="Page Numbers (Bottom of Page)"/>
        <w:docPartUnique/>
      </w:docPartObj>
    </w:sdtPr>
    <w:sdtContent>
      <w:p w14:paraId="2A7892F8" w14:textId="77777777" w:rsidR="00435B32" w:rsidRDefault="00435B32">
        <w:pPr>
          <w:pStyle w:val="af1"/>
          <w:jc w:val="right"/>
        </w:pPr>
        <w:r>
          <w:fldChar w:fldCharType="begin"/>
        </w:r>
        <w:r>
          <w:instrText>PAGE   \* MERGEFORMAT</w:instrText>
        </w:r>
        <w:r>
          <w:fldChar w:fldCharType="separate"/>
        </w:r>
        <w:r>
          <w:t>2</w:t>
        </w:r>
        <w:r>
          <w:fldChar w:fldCharType="end"/>
        </w:r>
      </w:p>
    </w:sdtContent>
  </w:sdt>
  <w:p w14:paraId="6EAB0A42" w14:textId="77777777" w:rsidR="00435B32" w:rsidRDefault="00435B3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506DC" w14:textId="77777777" w:rsidR="00981285" w:rsidRDefault="00981285">
      <w:pPr>
        <w:spacing w:before="0" w:after="0" w:line="240" w:lineRule="auto"/>
      </w:pPr>
      <w:r>
        <w:separator/>
      </w:r>
    </w:p>
  </w:footnote>
  <w:footnote w:type="continuationSeparator" w:id="0">
    <w:p w14:paraId="02BB5B9D" w14:textId="77777777" w:rsidR="00981285" w:rsidRDefault="0098128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687815"/>
    <w:multiLevelType w:val="hybridMultilevel"/>
    <w:tmpl w:val="33EE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B4554C"/>
    <w:multiLevelType w:val="hybridMultilevel"/>
    <w:tmpl w:val="3DAE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F4B5A"/>
    <w:multiLevelType w:val="hybridMultilevel"/>
    <w:tmpl w:val="A1B41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415038">
    <w:abstractNumId w:val="1"/>
  </w:num>
  <w:num w:numId="2" w16cid:durableId="1725522190">
    <w:abstractNumId w:val="0"/>
  </w:num>
  <w:num w:numId="3" w16cid:durableId="606696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B32"/>
    <w:rsid w:val="00044721"/>
    <w:rsid w:val="0005368F"/>
    <w:rsid w:val="00076FDE"/>
    <w:rsid w:val="00077BF9"/>
    <w:rsid w:val="000925AE"/>
    <w:rsid w:val="000A7276"/>
    <w:rsid w:val="000F6CE3"/>
    <w:rsid w:val="00106EB9"/>
    <w:rsid w:val="001450C6"/>
    <w:rsid w:val="003700C9"/>
    <w:rsid w:val="0038688D"/>
    <w:rsid w:val="003B51E3"/>
    <w:rsid w:val="003D4C4E"/>
    <w:rsid w:val="00414ACA"/>
    <w:rsid w:val="00435B32"/>
    <w:rsid w:val="00461F0F"/>
    <w:rsid w:val="004C1537"/>
    <w:rsid w:val="004F7BFA"/>
    <w:rsid w:val="00531402"/>
    <w:rsid w:val="00542332"/>
    <w:rsid w:val="00547FA7"/>
    <w:rsid w:val="005539DA"/>
    <w:rsid w:val="00561E97"/>
    <w:rsid w:val="005668F3"/>
    <w:rsid w:val="00585755"/>
    <w:rsid w:val="005D00A4"/>
    <w:rsid w:val="005E6F4D"/>
    <w:rsid w:val="00604D37"/>
    <w:rsid w:val="00673922"/>
    <w:rsid w:val="006D565C"/>
    <w:rsid w:val="007970E6"/>
    <w:rsid w:val="007E37C5"/>
    <w:rsid w:val="007E64C2"/>
    <w:rsid w:val="0085535A"/>
    <w:rsid w:val="008D0717"/>
    <w:rsid w:val="00981285"/>
    <w:rsid w:val="00AA097E"/>
    <w:rsid w:val="00B125DE"/>
    <w:rsid w:val="00B65B82"/>
    <w:rsid w:val="00BD4862"/>
    <w:rsid w:val="00BD6C4B"/>
    <w:rsid w:val="00C55368"/>
    <w:rsid w:val="00CE67D5"/>
    <w:rsid w:val="00D36BE4"/>
    <w:rsid w:val="00E227B1"/>
    <w:rsid w:val="00E809CF"/>
    <w:rsid w:val="00E8619D"/>
    <w:rsid w:val="00E94A8B"/>
    <w:rsid w:val="00E95A52"/>
    <w:rsid w:val="00F370EA"/>
    <w:rsid w:val="00F92708"/>
    <w:rsid w:val="00FC3968"/>
    <w:rsid w:val="00FF5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D476F2"/>
  <w15:chartTrackingRefBased/>
  <w15:docId w15:val="{487DD1B2-03F2-4FB0-84CB-6C353A42F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5B32"/>
    <w:pPr>
      <w:spacing w:before="100" w:beforeAutospacing="1" w:after="240" w:line="360" w:lineRule="auto"/>
      <w:jc w:val="both"/>
    </w:pPr>
    <w:rPr>
      <w:rFonts w:ascii="Times New Roman" w:hAnsi="Times New Roman"/>
      <w:kern w:val="0"/>
      <w:sz w:val="24"/>
      <w:lang w:val="en-GB" w:eastAsia="en-US" w:bidi="en-US"/>
      <w14:ligatures w14:val="none"/>
    </w:rPr>
  </w:style>
  <w:style w:type="paragraph" w:styleId="1">
    <w:name w:val="heading 1"/>
    <w:basedOn w:val="a"/>
    <w:next w:val="a"/>
    <w:link w:val="10"/>
    <w:uiPriority w:val="9"/>
    <w:qFormat/>
    <w:rsid w:val="00435B3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35B3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35B3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35B3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35B32"/>
    <w:pPr>
      <w:keepNext/>
      <w:keepLines/>
      <w:spacing w:before="80" w:after="40"/>
      <w:outlineLvl w:val="4"/>
    </w:pPr>
    <w:rPr>
      <w:rFonts w:cstheme="majorBidi"/>
      <w:color w:val="0F4761" w:themeColor="accent1" w:themeShade="BF"/>
      <w:szCs w:val="24"/>
    </w:rPr>
  </w:style>
  <w:style w:type="paragraph" w:styleId="6">
    <w:name w:val="heading 6"/>
    <w:basedOn w:val="a"/>
    <w:next w:val="a"/>
    <w:link w:val="60"/>
    <w:uiPriority w:val="9"/>
    <w:semiHidden/>
    <w:unhideWhenUsed/>
    <w:qFormat/>
    <w:rsid w:val="00435B3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35B3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35B3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35B3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35B3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35B3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35B3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35B32"/>
    <w:rPr>
      <w:rFonts w:cstheme="majorBidi"/>
      <w:color w:val="0F4761" w:themeColor="accent1" w:themeShade="BF"/>
      <w:sz w:val="28"/>
      <w:szCs w:val="28"/>
    </w:rPr>
  </w:style>
  <w:style w:type="character" w:customStyle="1" w:styleId="50">
    <w:name w:val="标题 5 字符"/>
    <w:basedOn w:val="a0"/>
    <w:link w:val="5"/>
    <w:uiPriority w:val="9"/>
    <w:semiHidden/>
    <w:rsid w:val="00435B32"/>
    <w:rPr>
      <w:rFonts w:cstheme="majorBidi"/>
      <w:color w:val="0F4761" w:themeColor="accent1" w:themeShade="BF"/>
      <w:sz w:val="24"/>
      <w:szCs w:val="24"/>
    </w:rPr>
  </w:style>
  <w:style w:type="character" w:customStyle="1" w:styleId="60">
    <w:name w:val="标题 6 字符"/>
    <w:basedOn w:val="a0"/>
    <w:link w:val="6"/>
    <w:uiPriority w:val="9"/>
    <w:semiHidden/>
    <w:rsid w:val="00435B32"/>
    <w:rPr>
      <w:rFonts w:cstheme="majorBidi"/>
      <w:b/>
      <w:bCs/>
      <w:color w:val="0F4761" w:themeColor="accent1" w:themeShade="BF"/>
    </w:rPr>
  </w:style>
  <w:style w:type="character" w:customStyle="1" w:styleId="70">
    <w:name w:val="标题 7 字符"/>
    <w:basedOn w:val="a0"/>
    <w:link w:val="7"/>
    <w:uiPriority w:val="9"/>
    <w:semiHidden/>
    <w:rsid w:val="00435B32"/>
    <w:rPr>
      <w:rFonts w:cstheme="majorBidi"/>
      <w:b/>
      <w:bCs/>
      <w:color w:val="595959" w:themeColor="text1" w:themeTint="A6"/>
    </w:rPr>
  </w:style>
  <w:style w:type="character" w:customStyle="1" w:styleId="80">
    <w:name w:val="标题 8 字符"/>
    <w:basedOn w:val="a0"/>
    <w:link w:val="8"/>
    <w:uiPriority w:val="9"/>
    <w:semiHidden/>
    <w:rsid w:val="00435B32"/>
    <w:rPr>
      <w:rFonts w:cstheme="majorBidi"/>
      <w:color w:val="595959" w:themeColor="text1" w:themeTint="A6"/>
    </w:rPr>
  </w:style>
  <w:style w:type="character" w:customStyle="1" w:styleId="90">
    <w:name w:val="标题 9 字符"/>
    <w:basedOn w:val="a0"/>
    <w:link w:val="9"/>
    <w:uiPriority w:val="9"/>
    <w:semiHidden/>
    <w:rsid w:val="00435B32"/>
    <w:rPr>
      <w:rFonts w:eastAsiaTheme="majorEastAsia" w:cstheme="majorBidi"/>
      <w:color w:val="595959" w:themeColor="text1" w:themeTint="A6"/>
    </w:rPr>
  </w:style>
  <w:style w:type="paragraph" w:styleId="a3">
    <w:name w:val="Title"/>
    <w:basedOn w:val="a"/>
    <w:next w:val="a"/>
    <w:link w:val="a4"/>
    <w:uiPriority w:val="10"/>
    <w:qFormat/>
    <w:rsid w:val="00435B3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35B3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5B3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35B3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35B32"/>
    <w:pPr>
      <w:spacing w:before="160" w:after="160"/>
      <w:jc w:val="center"/>
    </w:pPr>
    <w:rPr>
      <w:i/>
      <w:iCs/>
      <w:color w:val="404040" w:themeColor="text1" w:themeTint="BF"/>
    </w:rPr>
  </w:style>
  <w:style w:type="character" w:customStyle="1" w:styleId="a8">
    <w:name w:val="引用 字符"/>
    <w:basedOn w:val="a0"/>
    <w:link w:val="a7"/>
    <w:uiPriority w:val="29"/>
    <w:rsid w:val="00435B32"/>
    <w:rPr>
      <w:i/>
      <w:iCs/>
      <w:color w:val="404040" w:themeColor="text1" w:themeTint="BF"/>
    </w:rPr>
  </w:style>
  <w:style w:type="paragraph" w:styleId="a9">
    <w:name w:val="List Paragraph"/>
    <w:basedOn w:val="a"/>
    <w:uiPriority w:val="34"/>
    <w:qFormat/>
    <w:rsid w:val="00435B32"/>
    <w:pPr>
      <w:ind w:left="720"/>
      <w:contextualSpacing/>
    </w:pPr>
  </w:style>
  <w:style w:type="character" w:styleId="aa">
    <w:name w:val="Intense Emphasis"/>
    <w:basedOn w:val="a0"/>
    <w:uiPriority w:val="21"/>
    <w:qFormat/>
    <w:rsid w:val="00435B32"/>
    <w:rPr>
      <w:i/>
      <w:iCs/>
      <w:color w:val="0F4761" w:themeColor="accent1" w:themeShade="BF"/>
    </w:rPr>
  </w:style>
  <w:style w:type="paragraph" w:styleId="ab">
    <w:name w:val="Intense Quote"/>
    <w:basedOn w:val="a"/>
    <w:next w:val="a"/>
    <w:link w:val="ac"/>
    <w:uiPriority w:val="30"/>
    <w:qFormat/>
    <w:rsid w:val="00435B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35B32"/>
    <w:rPr>
      <w:i/>
      <w:iCs/>
      <w:color w:val="0F4761" w:themeColor="accent1" w:themeShade="BF"/>
    </w:rPr>
  </w:style>
  <w:style w:type="character" w:styleId="ad">
    <w:name w:val="Intense Reference"/>
    <w:basedOn w:val="a0"/>
    <w:uiPriority w:val="32"/>
    <w:qFormat/>
    <w:rsid w:val="00435B32"/>
    <w:rPr>
      <w:b/>
      <w:bCs/>
      <w:smallCaps/>
      <w:color w:val="0F4761" w:themeColor="accent1" w:themeShade="BF"/>
      <w:spacing w:val="5"/>
    </w:rPr>
  </w:style>
  <w:style w:type="paragraph" w:styleId="TOC">
    <w:name w:val="TOC Heading"/>
    <w:basedOn w:val="1"/>
    <w:next w:val="a"/>
    <w:uiPriority w:val="39"/>
    <w:unhideWhenUsed/>
    <w:qFormat/>
    <w:rsid w:val="00435B32"/>
    <w:pPr>
      <w:spacing w:before="240" w:after="0"/>
      <w:outlineLvl w:val="9"/>
    </w:pPr>
    <w:rPr>
      <w:rFonts w:ascii="Times New Roman" w:hAnsi="Times New Roman"/>
      <w:b/>
      <w:color w:val="auto"/>
      <w:sz w:val="32"/>
      <w:szCs w:val="32"/>
    </w:rPr>
  </w:style>
  <w:style w:type="character" w:styleId="ae">
    <w:name w:val="Hyperlink"/>
    <w:basedOn w:val="a0"/>
    <w:uiPriority w:val="99"/>
    <w:unhideWhenUsed/>
    <w:rsid w:val="00435B32"/>
    <w:rPr>
      <w:color w:val="467886" w:themeColor="hyperlink"/>
      <w:u w:val="single"/>
    </w:rPr>
  </w:style>
  <w:style w:type="table" w:styleId="af">
    <w:name w:val="Table Grid"/>
    <w:basedOn w:val="a1"/>
    <w:uiPriority w:val="39"/>
    <w:rsid w:val="00435B32"/>
    <w:rPr>
      <w:kern w:val="0"/>
      <w:sz w:val="22"/>
      <w:lang w:eastAsia="en-US" w:bidi="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caption"/>
    <w:basedOn w:val="a"/>
    <w:next w:val="a"/>
    <w:uiPriority w:val="35"/>
    <w:unhideWhenUsed/>
    <w:qFormat/>
    <w:rsid w:val="00435B32"/>
    <w:pPr>
      <w:spacing w:before="0" w:after="200" w:line="240" w:lineRule="auto"/>
    </w:pPr>
    <w:rPr>
      <w:i/>
      <w:iCs/>
      <w:color w:val="0E2841" w:themeColor="text2"/>
      <w:sz w:val="18"/>
      <w:szCs w:val="18"/>
    </w:rPr>
  </w:style>
  <w:style w:type="paragraph" w:styleId="TOC1">
    <w:name w:val="toc 1"/>
    <w:basedOn w:val="a"/>
    <w:next w:val="a"/>
    <w:autoRedefine/>
    <w:uiPriority w:val="39"/>
    <w:unhideWhenUsed/>
    <w:rsid w:val="00435B32"/>
    <w:pPr>
      <w:spacing w:after="100"/>
    </w:pPr>
  </w:style>
  <w:style w:type="table" w:styleId="11">
    <w:name w:val="Plain Table 1"/>
    <w:basedOn w:val="a1"/>
    <w:uiPriority w:val="41"/>
    <w:rsid w:val="00435B32"/>
    <w:rPr>
      <w:sz w:val="22"/>
      <w:lang w:val="en-IN"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1">
    <w:name w:val="footer"/>
    <w:basedOn w:val="a"/>
    <w:link w:val="af2"/>
    <w:uiPriority w:val="99"/>
    <w:unhideWhenUsed/>
    <w:rsid w:val="00435B32"/>
    <w:pPr>
      <w:tabs>
        <w:tab w:val="center" w:pos="4513"/>
        <w:tab w:val="right" w:pos="9026"/>
      </w:tabs>
      <w:spacing w:before="0" w:after="0" w:line="240" w:lineRule="auto"/>
    </w:pPr>
  </w:style>
  <w:style w:type="character" w:customStyle="1" w:styleId="af2">
    <w:name w:val="页脚 字符"/>
    <w:basedOn w:val="a0"/>
    <w:link w:val="af1"/>
    <w:uiPriority w:val="99"/>
    <w:rsid w:val="00435B32"/>
    <w:rPr>
      <w:rFonts w:ascii="Times New Roman" w:hAnsi="Times New Roman"/>
      <w:kern w:val="0"/>
      <w:sz w:val="24"/>
      <w:lang w:val="en-GB" w:eastAsia="en-US" w:bidi="en-US"/>
      <w14:ligatures w14:val="none"/>
    </w:rPr>
  </w:style>
  <w:style w:type="paragraph" w:styleId="af3">
    <w:name w:val="header"/>
    <w:basedOn w:val="a"/>
    <w:link w:val="af4"/>
    <w:unhideWhenUsed/>
    <w:rsid w:val="00F370EA"/>
    <w:pPr>
      <w:tabs>
        <w:tab w:val="center" w:pos="4153"/>
        <w:tab w:val="right" w:pos="8306"/>
      </w:tabs>
      <w:snapToGrid w:val="0"/>
      <w:spacing w:line="240" w:lineRule="auto"/>
      <w:jc w:val="center"/>
    </w:pPr>
    <w:rPr>
      <w:sz w:val="18"/>
      <w:szCs w:val="18"/>
    </w:rPr>
  </w:style>
  <w:style w:type="character" w:customStyle="1" w:styleId="af4">
    <w:name w:val="页眉 字符"/>
    <w:basedOn w:val="a0"/>
    <w:link w:val="af3"/>
    <w:rsid w:val="00F370EA"/>
    <w:rPr>
      <w:rFonts w:ascii="Times New Roman" w:hAnsi="Times New Roman"/>
      <w:kern w:val="0"/>
      <w:sz w:val="18"/>
      <w:szCs w:val="18"/>
      <w:lang w:val="en-GB" w:eastAsia="en-US" w:bidi="en-US"/>
      <w14:ligatures w14:val="none"/>
    </w:rPr>
  </w:style>
  <w:style w:type="paragraph" w:styleId="af5">
    <w:name w:val="Normal (Web)"/>
    <w:basedOn w:val="a"/>
    <w:uiPriority w:val="99"/>
    <w:unhideWhenUsed/>
    <w:rsid w:val="005E6F4D"/>
    <w:pPr>
      <w:spacing w:after="100" w:afterAutospacing="1" w:line="240" w:lineRule="auto"/>
      <w:jc w:val="left"/>
    </w:pPr>
    <w:rPr>
      <w:rFonts w:eastAsia="Times New Roman" w:cs="Times New Roman"/>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1E6B0-1565-41BA-91CA-4D8EA7800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1639</TotalTime>
  <Pages>14</Pages>
  <Words>4538</Words>
  <Characters>17654</Characters>
  <Application>Microsoft Office Word</Application>
  <DocSecurity>0</DocSecurity>
  <Lines>392</Lines>
  <Paragraphs>155</Paragraphs>
  <ScaleCrop>false</ScaleCrop>
  <Company/>
  <LinksUpToDate>false</LinksUpToDate>
  <CharactersWithSpaces>22037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俊炜 王</dc:creator>
  <cp:keywords/>
  <dc:description/>
  <cp:lastModifiedBy>俊炜 王</cp:lastModifiedBy>
  <cp:revision>10</cp:revision>
  <dcterms:created xsi:type="dcterms:W3CDTF">2026-03-17T09:54:00Z</dcterms:created>
  <dcterms:modified xsi:type="dcterms:W3CDTF">2026-03-27T15:28:00Z</dcterms:modified>
</cp:coreProperties>
</file>