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D52E2" w14:textId="77777777" w:rsidR="004B4D68" w:rsidRDefault="005D22E2" w:rsidP="004B4D68">
      <w:pPr>
        <w:spacing w:line="278" w:lineRule="auto"/>
        <w:jc w:val="center"/>
        <w:rPr>
          <w:lang w:val="en-IN"/>
        </w:rPr>
      </w:pPr>
      <w:r w:rsidRPr="005D22E2">
        <w:rPr>
          <w:noProof/>
          <w:lang w:val="en-IN" w:eastAsia="en-IN" w:bidi="ar-SA"/>
        </w:rPr>
        <w:drawing>
          <wp:inline distT="0" distB="0" distL="0" distR="0" wp14:anchorId="249360AD" wp14:editId="44F096F4">
            <wp:extent cx="2600688" cy="952633"/>
            <wp:effectExtent l="0" t="0" r="9525" b="0"/>
            <wp:docPr id="1307846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46650" name=""/>
                    <pic:cNvPicPr/>
                  </pic:nvPicPr>
                  <pic:blipFill>
                    <a:blip r:embed="rId8"/>
                    <a:stretch>
                      <a:fillRect/>
                    </a:stretch>
                  </pic:blipFill>
                  <pic:spPr>
                    <a:xfrm>
                      <a:off x="0" y="0"/>
                      <a:ext cx="2600688" cy="952633"/>
                    </a:xfrm>
                    <a:prstGeom prst="rect">
                      <a:avLst/>
                    </a:prstGeom>
                  </pic:spPr>
                </pic:pic>
              </a:graphicData>
            </a:graphic>
          </wp:inline>
        </w:drawing>
      </w:r>
    </w:p>
    <w:p w14:paraId="3A0DC92D" w14:textId="77777777" w:rsidR="004B4D68" w:rsidRDefault="004B4D68" w:rsidP="004B4D68">
      <w:pPr>
        <w:spacing w:line="278" w:lineRule="auto"/>
        <w:jc w:val="center"/>
        <w:rPr>
          <w:lang w:val="en-IN"/>
        </w:rPr>
      </w:pPr>
    </w:p>
    <w:p w14:paraId="1244F443" w14:textId="77777777" w:rsidR="004B4D68" w:rsidRDefault="004B4D68" w:rsidP="004B4D68">
      <w:pPr>
        <w:spacing w:line="278" w:lineRule="auto"/>
        <w:jc w:val="center"/>
        <w:rPr>
          <w:lang w:val="en-IN"/>
        </w:rPr>
      </w:pPr>
    </w:p>
    <w:p w14:paraId="1D5D10C4" w14:textId="77777777" w:rsidR="004B4D68" w:rsidRDefault="004B4D68" w:rsidP="004B4D68">
      <w:pPr>
        <w:spacing w:line="278" w:lineRule="auto"/>
        <w:jc w:val="center"/>
        <w:rPr>
          <w:lang w:val="en-IN"/>
        </w:rPr>
      </w:pPr>
    </w:p>
    <w:p w14:paraId="6D642334" w14:textId="77777777" w:rsidR="004B4D68" w:rsidRDefault="004B4D68" w:rsidP="004B4D68">
      <w:pPr>
        <w:spacing w:line="278" w:lineRule="auto"/>
        <w:jc w:val="center"/>
        <w:rPr>
          <w:lang w:val="en-IN"/>
        </w:rPr>
      </w:pPr>
    </w:p>
    <w:p w14:paraId="36DF345D" w14:textId="77777777" w:rsidR="001E5C98" w:rsidRPr="0023792E" w:rsidRDefault="001E5C98" w:rsidP="004B4D68">
      <w:pPr>
        <w:spacing w:line="278" w:lineRule="auto"/>
        <w:jc w:val="center"/>
        <w:rPr>
          <w:rFonts w:ascii="Arial" w:hAnsi="Arial" w:cs="Arial"/>
          <w:b/>
          <w:sz w:val="44"/>
          <w:szCs w:val="44"/>
        </w:rPr>
      </w:pPr>
      <w:r w:rsidRPr="0023792E">
        <w:rPr>
          <w:rFonts w:ascii="Arial" w:hAnsi="Arial" w:cs="Arial"/>
          <w:b/>
          <w:sz w:val="44"/>
          <w:szCs w:val="44"/>
        </w:rPr>
        <w:t>Stakeholder Engagement</w:t>
      </w:r>
    </w:p>
    <w:p w14:paraId="697F7A74" w14:textId="77777777" w:rsidR="0023792E" w:rsidRDefault="0023792E" w:rsidP="004B4D68">
      <w:pPr>
        <w:spacing w:line="278" w:lineRule="auto"/>
        <w:jc w:val="center"/>
        <w:rPr>
          <w:rFonts w:ascii="Arial" w:hAnsi="Arial" w:cs="Arial"/>
          <w:b/>
          <w:bCs/>
          <w:color w:val="000000"/>
          <w:sz w:val="44"/>
          <w:szCs w:val="44"/>
        </w:rPr>
      </w:pPr>
      <w:r w:rsidRPr="0023792E">
        <w:rPr>
          <w:rFonts w:ascii="Arial" w:hAnsi="Arial" w:cs="Arial"/>
          <w:b/>
          <w:bCs/>
          <w:color w:val="000000"/>
          <w:sz w:val="44"/>
          <w:szCs w:val="44"/>
        </w:rPr>
        <w:t>LCBB4013</w:t>
      </w:r>
    </w:p>
    <w:p w14:paraId="6C9C8AE2" w14:textId="77777777" w:rsidR="0023792E" w:rsidRDefault="0023792E" w:rsidP="004B4D68">
      <w:pPr>
        <w:spacing w:line="278" w:lineRule="auto"/>
        <w:jc w:val="center"/>
        <w:rPr>
          <w:rFonts w:ascii="Arial" w:hAnsi="Arial" w:cs="Arial"/>
          <w:b/>
          <w:bCs/>
          <w:color w:val="000000"/>
          <w:sz w:val="44"/>
          <w:szCs w:val="44"/>
        </w:rPr>
      </w:pPr>
    </w:p>
    <w:p w14:paraId="3E7046FF" w14:textId="77777777" w:rsidR="0023792E" w:rsidRDefault="0023792E" w:rsidP="004B4D68">
      <w:pPr>
        <w:spacing w:line="278" w:lineRule="auto"/>
        <w:jc w:val="center"/>
        <w:rPr>
          <w:rFonts w:ascii="Arial" w:hAnsi="Arial" w:cs="Arial"/>
          <w:b/>
          <w:bCs/>
          <w:color w:val="000000"/>
          <w:sz w:val="44"/>
          <w:szCs w:val="44"/>
        </w:rPr>
      </w:pPr>
    </w:p>
    <w:p w14:paraId="3653AF4F" w14:textId="77777777" w:rsidR="0023792E" w:rsidRDefault="0023792E" w:rsidP="004B4D68">
      <w:pPr>
        <w:spacing w:line="278" w:lineRule="auto"/>
        <w:jc w:val="center"/>
        <w:rPr>
          <w:rFonts w:ascii="Arial" w:hAnsi="Arial" w:cs="Arial"/>
          <w:b/>
          <w:bCs/>
          <w:color w:val="000000"/>
          <w:sz w:val="44"/>
          <w:szCs w:val="44"/>
        </w:rPr>
      </w:pPr>
    </w:p>
    <w:p w14:paraId="1EE44E03" w14:textId="77777777" w:rsidR="0023792E" w:rsidRDefault="0023792E" w:rsidP="004B4D68">
      <w:pPr>
        <w:spacing w:line="278" w:lineRule="auto"/>
        <w:jc w:val="center"/>
        <w:rPr>
          <w:rFonts w:ascii="Arial" w:hAnsi="Arial" w:cs="Arial"/>
          <w:b/>
          <w:bCs/>
          <w:color w:val="000000"/>
          <w:sz w:val="44"/>
          <w:szCs w:val="44"/>
        </w:rPr>
      </w:pPr>
    </w:p>
    <w:p w14:paraId="6752AB15" w14:textId="77777777" w:rsidR="0023792E" w:rsidRDefault="0023792E" w:rsidP="004B4D68">
      <w:pPr>
        <w:spacing w:line="278" w:lineRule="auto"/>
        <w:jc w:val="center"/>
        <w:rPr>
          <w:rFonts w:ascii="Arial" w:hAnsi="Arial" w:cs="Arial"/>
          <w:b/>
          <w:bCs/>
          <w:color w:val="000000"/>
          <w:sz w:val="44"/>
          <w:szCs w:val="44"/>
        </w:rPr>
      </w:pPr>
    </w:p>
    <w:p w14:paraId="0F2E9967" w14:textId="77777777" w:rsidR="0023792E" w:rsidRDefault="0023792E" w:rsidP="004B4D68">
      <w:pPr>
        <w:spacing w:line="278" w:lineRule="auto"/>
        <w:jc w:val="center"/>
        <w:rPr>
          <w:rFonts w:ascii="Arial" w:hAnsi="Arial" w:cs="Arial"/>
          <w:b/>
          <w:bCs/>
          <w:color w:val="000000"/>
          <w:sz w:val="44"/>
          <w:szCs w:val="44"/>
        </w:rPr>
      </w:pPr>
    </w:p>
    <w:p w14:paraId="1DE43C80" w14:textId="77777777" w:rsidR="0023792E" w:rsidRDefault="0023792E" w:rsidP="004B4D68">
      <w:pPr>
        <w:spacing w:line="278" w:lineRule="auto"/>
        <w:jc w:val="center"/>
        <w:rPr>
          <w:rFonts w:ascii="Arial" w:hAnsi="Arial" w:cs="Arial"/>
          <w:b/>
          <w:bCs/>
          <w:color w:val="000000"/>
          <w:sz w:val="44"/>
          <w:szCs w:val="44"/>
        </w:rPr>
      </w:pPr>
    </w:p>
    <w:p w14:paraId="6F3E8F62" w14:textId="77777777" w:rsidR="0023792E" w:rsidRDefault="0023792E" w:rsidP="004B4D68">
      <w:pPr>
        <w:spacing w:line="278" w:lineRule="auto"/>
        <w:jc w:val="center"/>
        <w:rPr>
          <w:rFonts w:ascii="Arial" w:hAnsi="Arial" w:cs="Arial"/>
          <w:b/>
          <w:bCs/>
          <w:color w:val="000000"/>
          <w:sz w:val="44"/>
          <w:szCs w:val="44"/>
        </w:rPr>
      </w:pPr>
    </w:p>
    <w:p w14:paraId="6CB722D5" w14:textId="2DC26427" w:rsidR="0023792E" w:rsidRPr="0023792E" w:rsidRDefault="0023792E" w:rsidP="004B4D68">
      <w:pPr>
        <w:spacing w:line="278" w:lineRule="auto"/>
        <w:jc w:val="center"/>
        <w:rPr>
          <w:rFonts w:ascii="Arial" w:hAnsi="Arial" w:cs="Arial"/>
          <w:b/>
          <w:bCs/>
          <w:color w:val="000000"/>
          <w:sz w:val="36"/>
          <w:szCs w:val="36"/>
        </w:rPr>
      </w:pPr>
      <w:r w:rsidRPr="0023792E">
        <w:rPr>
          <w:rFonts w:ascii="Arial" w:hAnsi="Arial" w:cs="Arial"/>
          <w:b/>
          <w:bCs/>
          <w:color w:val="000000"/>
          <w:sz w:val="36"/>
          <w:szCs w:val="36"/>
        </w:rPr>
        <w:t>Student Name:</w:t>
      </w:r>
      <w:r w:rsidR="00957380">
        <w:rPr>
          <w:rFonts w:ascii="Arial" w:hAnsi="Arial" w:cs="Arial"/>
          <w:b/>
          <w:bCs/>
          <w:color w:val="000000"/>
          <w:sz w:val="36"/>
          <w:szCs w:val="36"/>
        </w:rPr>
        <w:t xml:space="preserve"> Stefanita Calarasu</w:t>
      </w:r>
    </w:p>
    <w:p w14:paraId="2BC54A21" w14:textId="6A6679E9" w:rsidR="0023792E" w:rsidRDefault="0023792E" w:rsidP="004B4D68">
      <w:pPr>
        <w:spacing w:line="278" w:lineRule="auto"/>
        <w:jc w:val="center"/>
        <w:rPr>
          <w:rFonts w:ascii="Arial" w:hAnsi="Arial" w:cs="Arial"/>
          <w:b/>
          <w:bCs/>
          <w:color w:val="000000"/>
          <w:sz w:val="36"/>
          <w:szCs w:val="36"/>
        </w:rPr>
      </w:pPr>
      <w:r w:rsidRPr="0023792E">
        <w:rPr>
          <w:rFonts w:ascii="Arial" w:hAnsi="Arial" w:cs="Arial"/>
          <w:b/>
          <w:bCs/>
          <w:color w:val="000000"/>
          <w:sz w:val="36"/>
          <w:szCs w:val="36"/>
        </w:rPr>
        <w:t>Student Number:</w:t>
      </w:r>
      <w:r w:rsidR="00EA5723">
        <w:rPr>
          <w:rFonts w:ascii="Arial" w:hAnsi="Arial" w:cs="Arial"/>
          <w:b/>
          <w:bCs/>
          <w:color w:val="000000"/>
          <w:sz w:val="36"/>
          <w:szCs w:val="36"/>
        </w:rPr>
        <w:t>2328896</w:t>
      </w:r>
    </w:p>
    <w:p w14:paraId="4B8BA685" w14:textId="77777777" w:rsidR="0023792E" w:rsidRDefault="0023792E">
      <w:pPr>
        <w:spacing w:line="278" w:lineRule="auto"/>
        <w:jc w:val="left"/>
        <w:rPr>
          <w:rFonts w:ascii="Arial" w:hAnsi="Arial" w:cs="Arial"/>
          <w:b/>
          <w:bCs/>
          <w:color w:val="000000"/>
          <w:sz w:val="36"/>
          <w:szCs w:val="36"/>
        </w:rPr>
      </w:pPr>
      <w:r>
        <w:rPr>
          <w:rFonts w:ascii="Arial" w:hAnsi="Arial" w:cs="Arial"/>
          <w:b/>
          <w:bCs/>
          <w:color w:val="000000"/>
          <w:sz w:val="36"/>
          <w:szCs w:val="36"/>
        </w:rPr>
        <w:br w:type="page"/>
      </w:r>
    </w:p>
    <w:sdt>
      <w:sdtPr>
        <w:rPr>
          <w:rFonts w:ascii="Times New Roman" w:eastAsiaTheme="minorHAnsi" w:hAnsi="Times New Roman" w:cstheme="minorBidi"/>
          <w:color w:val="0D0D0D" w:themeColor="text1" w:themeTint="F2"/>
          <w:kern w:val="2"/>
          <w:sz w:val="24"/>
          <w:szCs w:val="24"/>
          <w:lang w:val="en-GB" w:bidi="hi-IN"/>
          <w14:ligatures w14:val="standardContextual"/>
        </w:rPr>
        <w:id w:val="1172994164"/>
        <w:docPartObj>
          <w:docPartGallery w:val="Table of Contents"/>
          <w:docPartUnique/>
        </w:docPartObj>
      </w:sdtPr>
      <w:sdtEndPr>
        <w:rPr>
          <w:b/>
          <w:bCs/>
          <w:noProof/>
        </w:rPr>
      </w:sdtEndPr>
      <w:sdtContent>
        <w:p w14:paraId="79C0B510" w14:textId="04CC0C02" w:rsidR="0023792E" w:rsidRPr="0023792E" w:rsidRDefault="0023792E">
          <w:pPr>
            <w:pStyle w:val="TOCHeading"/>
            <w:rPr>
              <w:rFonts w:ascii="Times New Roman" w:hAnsi="Times New Roman" w:cs="Times New Roman"/>
              <w:b/>
              <w:bCs/>
              <w:color w:val="0D0D0D" w:themeColor="text1" w:themeTint="F2"/>
              <w:sz w:val="36"/>
              <w:szCs w:val="36"/>
            </w:rPr>
          </w:pPr>
          <w:r w:rsidRPr="0023792E">
            <w:rPr>
              <w:rFonts w:ascii="Times New Roman" w:hAnsi="Times New Roman" w:cs="Times New Roman"/>
              <w:b/>
              <w:bCs/>
              <w:color w:val="0D0D0D" w:themeColor="text1" w:themeTint="F2"/>
              <w:sz w:val="36"/>
              <w:szCs w:val="36"/>
            </w:rPr>
            <w:t>Table of Contents</w:t>
          </w:r>
        </w:p>
        <w:p w14:paraId="487440CA" w14:textId="043D8683" w:rsidR="00386408" w:rsidRDefault="0023792E">
          <w:pPr>
            <w:pStyle w:val="TOC1"/>
            <w:tabs>
              <w:tab w:val="right" w:leader="dot" w:pos="9016"/>
            </w:tabs>
            <w:rPr>
              <w:rFonts w:asciiTheme="minorHAnsi" w:eastAsiaTheme="minorEastAsia" w:hAnsiTheme="minorHAnsi"/>
              <w:noProof/>
              <w:color w:val="auto"/>
              <w:lang w:val="en-IN" w:eastAsia="en-IN"/>
            </w:rPr>
          </w:pPr>
          <w:r>
            <w:fldChar w:fldCharType="begin"/>
          </w:r>
          <w:r>
            <w:instrText xml:space="preserve"> TOC \o "1-3" \h \z \u </w:instrText>
          </w:r>
          <w:r>
            <w:fldChar w:fldCharType="separate"/>
          </w:r>
          <w:hyperlink w:anchor="_Toc222992966" w:history="1">
            <w:r w:rsidR="00386408" w:rsidRPr="00A35CF0">
              <w:rPr>
                <w:rStyle w:val="Hyperlink"/>
                <w:noProof/>
                <w:lang w:val="en-IN"/>
              </w:rPr>
              <w:t>Element 1: Introduction</w:t>
            </w:r>
            <w:r w:rsidR="00386408">
              <w:rPr>
                <w:noProof/>
                <w:webHidden/>
              </w:rPr>
              <w:tab/>
            </w:r>
            <w:r w:rsidR="00386408">
              <w:rPr>
                <w:noProof/>
                <w:webHidden/>
              </w:rPr>
              <w:fldChar w:fldCharType="begin"/>
            </w:r>
            <w:r w:rsidR="00386408">
              <w:rPr>
                <w:noProof/>
                <w:webHidden/>
              </w:rPr>
              <w:instrText xml:space="preserve"> PAGEREF _Toc222992966 \h </w:instrText>
            </w:r>
            <w:r w:rsidR="00386408">
              <w:rPr>
                <w:noProof/>
                <w:webHidden/>
              </w:rPr>
            </w:r>
            <w:r w:rsidR="00386408">
              <w:rPr>
                <w:noProof/>
                <w:webHidden/>
              </w:rPr>
              <w:fldChar w:fldCharType="separate"/>
            </w:r>
            <w:r w:rsidR="00386408">
              <w:rPr>
                <w:noProof/>
                <w:webHidden/>
              </w:rPr>
              <w:t>4</w:t>
            </w:r>
            <w:r w:rsidR="00386408">
              <w:rPr>
                <w:noProof/>
                <w:webHidden/>
              </w:rPr>
              <w:fldChar w:fldCharType="end"/>
            </w:r>
          </w:hyperlink>
        </w:p>
        <w:p w14:paraId="2EE66F42" w14:textId="7C329A26"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67" w:history="1">
            <w:r w:rsidRPr="00A35CF0">
              <w:rPr>
                <w:rStyle w:val="Hyperlink"/>
                <w:noProof/>
                <w:lang w:val="en-IN"/>
              </w:rPr>
              <w:t>1.0 Introduction</w:t>
            </w:r>
            <w:r>
              <w:rPr>
                <w:noProof/>
                <w:webHidden/>
              </w:rPr>
              <w:tab/>
            </w:r>
            <w:r>
              <w:rPr>
                <w:noProof/>
                <w:webHidden/>
              </w:rPr>
              <w:fldChar w:fldCharType="begin"/>
            </w:r>
            <w:r>
              <w:rPr>
                <w:noProof/>
                <w:webHidden/>
              </w:rPr>
              <w:instrText xml:space="preserve"> PAGEREF _Toc222992967 \h </w:instrText>
            </w:r>
            <w:r>
              <w:rPr>
                <w:noProof/>
                <w:webHidden/>
              </w:rPr>
            </w:r>
            <w:r>
              <w:rPr>
                <w:noProof/>
                <w:webHidden/>
              </w:rPr>
              <w:fldChar w:fldCharType="separate"/>
            </w:r>
            <w:r>
              <w:rPr>
                <w:noProof/>
                <w:webHidden/>
              </w:rPr>
              <w:t>4</w:t>
            </w:r>
            <w:r>
              <w:rPr>
                <w:noProof/>
                <w:webHidden/>
              </w:rPr>
              <w:fldChar w:fldCharType="end"/>
            </w:r>
          </w:hyperlink>
        </w:p>
        <w:p w14:paraId="594703B4" w14:textId="7932BA9E" w:rsidR="00386408" w:rsidRDefault="00386408">
          <w:pPr>
            <w:pStyle w:val="TOC1"/>
            <w:tabs>
              <w:tab w:val="right" w:leader="dot" w:pos="9016"/>
            </w:tabs>
            <w:rPr>
              <w:rFonts w:asciiTheme="minorHAnsi" w:eastAsiaTheme="minorEastAsia" w:hAnsiTheme="minorHAnsi"/>
              <w:noProof/>
              <w:color w:val="auto"/>
              <w:lang w:val="en-IN" w:eastAsia="en-IN"/>
            </w:rPr>
          </w:pPr>
          <w:hyperlink w:anchor="_Toc222992968" w:history="1">
            <w:r w:rsidRPr="00A35CF0">
              <w:rPr>
                <w:rStyle w:val="Hyperlink"/>
                <w:noProof/>
                <w:lang w:val="en-IN"/>
              </w:rPr>
              <w:t>Element 2: Depth of Analysis and Application</w:t>
            </w:r>
            <w:r>
              <w:rPr>
                <w:noProof/>
                <w:webHidden/>
              </w:rPr>
              <w:tab/>
            </w:r>
            <w:r>
              <w:rPr>
                <w:noProof/>
                <w:webHidden/>
              </w:rPr>
              <w:fldChar w:fldCharType="begin"/>
            </w:r>
            <w:r>
              <w:rPr>
                <w:noProof/>
                <w:webHidden/>
              </w:rPr>
              <w:instrText xml:space="preserve"> PAGEREF _Toc222992968 \h </w:instrText>
            </w:r>
            <w:r>
              <w:rPr>
                <w:noProof/>
                <w:webHidden/>
              </w:rPr>
            </w:r>
            <w:r>
              <w:rPr>
                <w:noProof/>
                <w:webHidden/>
              </w:rPr>
              <w:fldChar w:fldCharType="separate"/>
            </w:r>
            <w:r>
              <w:rPr>
                <w:noProof/>
                <w:webHidden/>
              </w:rPr>
              <w:t>5</w:t>
            </w:r>
            <w:r>
              <w:rPr>
                <w:noProof/>
                <w:webHidden/>
              </w:rPr>
              <w:fldChar w:fldCharType="end"/>
            </w:r>
          </w:hyperlink>
        </w:p>
        <w:p w14:paraId="1465EA3C" w14:textId="47D290BB"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69" w:history="1">
            <w:r w:rsidRPr="00A35CF0">
              <w:rPr>
                <w:rStyle w:val="Hyperlink"/>
                <w:noProof/>
                <w:lang w:val="en-IN"/>
              </w:rPr>
              <w:t>2.0 Introduction to Stakeholder Engagement in Regeneration Projects</w:t>
            </w:r>
            <w:r>
              <w:rPr>
                <w:noProof/>
                <w:webHidden/>
              </w:rPr>
              <w:tab/>
            </w:r>
            <w:r>
              <w:rPr>
                <w:noProof/>
                <w:webHidden/>
              </w:rPr>
              <w:fldChar w:fldCharType="begin"/>
            </w:r>
            <w:r>
              <w:rPr>
                <w:noProof/>
                <w:webHidden/>
              </w:rPr>
              <w:instrText xml:space="preserve"> PAGEREF _Toc222992969 \h </w:instrText>
            </w:r>
            <w:r>
              <w:rPr>
                <w:noProof/>
                <w:webHidden/>
              </w:rPr>
            </w:r>
            <w:r>
              <w:rPr>
                <w:noProof/>
                <w:webHidden/>
              </w:rPr>
              <w:fldChar w:fldCharType="separate"/>
            </w:r>
            <w:r>
              <w:rPr>
                <w:noProof/>
                <w:webHidden/>
              </w:rPr>
              <w:t>5</w:t>
            </w:r>
            <w:r>
              <w:rPr>
                <w:noProof/>
                <w:webHidden/>
              </w:rPr>
              <w:fldChar w:fldCharType="end"/>
            </w:r>
          </w:hyperlink>
        </w:p>
        <w:p w14:paraId="24D7AB1B" w14:textId="5022CEBC"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0" w:history="1">
            <w:r w:rsidRPr="00A35CF0">
              <w:rPr>
                <w:rStyle w:val="Hyperlink"/>
                <w:noProof/>
                <w:lang w:val="en-IN"/>
              </w:rPr>
              <w:t>2.1 Stakeholder Identification</w:t>
            </w:r>
            <w:r>
              <w:rPr>
                <w:noProof/>
                <w:webHidden/>
              </w:rPr>
              <w:tab/>
            </w:r>
            <w:r>
              <w:rPr>
                <w:noProof/>
                <w:webHidden/>
              </w:rPr>
              <w:fldChar w:fldCharType="begin"/>
            </w:r>
            <w:r>
              <w:rPr>
                <w:noProof/>
                <w:webHidden/>
              </w:rPr>
              <w:instrText xml:space="preserve"> PAGEREF _Toc222992970 \h </w:instrText>
            </w:r>
            <w:r>
              <w:rPr>
                <w:noProof/>
                <w:webHidden/>
              </w:rPr>
            </w:r>
            <w:r>
              <w:rPr>
                <w:noProof/>
                <w:webHidden/>
              </w:rPr>
              <w:fldChar w:fldCharType="separate"/>
            </w:r>
            <w:r>
              <w:rPr>
                <w:noProof/>
                <w:webHidden/>
              </w:rPr>
              <w:t>6</w:t>
            </w:r>
            <w:r>
              <w:rPr>
                <w:noProof/>
                <w:webHidden/>
              </w:rPr>
              <w:fldChar w:fldCharType="end"/>
            </w:r>
          </w:hyperlink>
        </w:p>
        <w:p w14:paraId="00CC0434" w14:textId="5F63BB18"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1" w:history="1">
            <w:r w:rsidRPr="00A35CF0">
              <w:rPr>
                <w:rStyle w:val="Hyperlink"/>
                <w:noProof/>
                <w:lang w:val="en-IN"/>
              </w:rPr>
              <w:t>2.2 Power–Interest Matrix Analysis</w:t>
            </w:r>
            <w:r>
              <w:rPr>
                <w:noProof/>
                <w:webHidden/>
              </w:rPr>
              <w:tab/>
            </w:r>
            <w:r>
              <w:rPr>
                <w:noProof/>
                <w:webHidden/>
              </w:rPr>
              <w:fldChar w:fldCharType="begin"/>
            </w:r>
            <w:r>
              <w:rPr>
                <w:noProof/>
                <w:webHidden/>
              </w:rPr>
              <w:instrText xml:space="preserve"> PAGEREF _Toc222992971 \h </w:instrText>
            </w:r>
            <w:r>
              <w:rPr>
                <w:noProof/>
                <w:webHidden/>
              </w:rPr>
            </w:r>
            <w:r>
              <w:rPr>
                <w:noProof/>
                <w:webHidden/>
              </w:rPr>
              <w:fldChar w:fldCharType="separate"/>
            </w:r>
            <w:r>
              <w:rPr>
                <w:noProof/>
                <w:webHidden/>
              </w:rPr>
              <w:t>7</w:t>
            </w:r>
            <w:r>
              <w:rPr>
                <w:noProof/>
                <w:webHidden/>
              </w:rPr>
              <w:fldChar w:fldCharType="end"/>
            </w:r>
          </w:hyperlink>
        </w:p>
        <w:p w14:paraId="2DC9E6C1" w14:textId="6BE6024F"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2" w:history="1">
            <w:r w:rsidRPr="00A35CF0">
              <w:rPr>
                <w:rStyle w:val="Hyperlink"/>
                <w:noProof/>
                <w:lang w:val="en-IN"/>
              </w:rPr>
              <w:t>2.3 Stakeholder Engagement Strategies</w:t>
            </w:r>
            <w:r>
              <w:rPr>
                <w:noProof/>
                <w:webHidden/>
              </w:rPr>
              <w:tab/>
            </w:r>
            <w:r>
              <w:rPr>
                <w:noProof/>
                <w:webHidden/>
              </w:rPr>
              <w:fldChar w:fldCharType="begin"/>
            </w:r>
            <w:r>
              <w:rPr>
                <w:noProof/>
                <w:webHidden/>
              </w:rPr>
              <w:instrText xml:space="preserve"> PAGEREF _Toc222992972 \h </w:instrText>
            </w:r>
            <w:r>
              <w:rPr>
                <w:noProof/>
                <w:webHidden/>
              </w:rPr>
            </w:r>
            <w:r>
              <w:rPr>
                <w:noProof/>
                <w:webHidden/>
              </w:rPr>
              <w:fldChar w:fldCharType="separate"/>
            </w:r>
            <w:r>
              <w:rPr>
                <w:noProof/>
                <w:webHidden/>
              </w:rPr>
              <w:t>8</w:t>
            </w:r>
            <w:r>
              <w:rPr>
                <w:noProof/>
                <w:webHidden/>
              </w:rPr>
              <w:fldChar w:fldCharType="end"/>
            </w:r>
          </w:hyperlink>
        </w:p>
        <w:p w14:paraId="35A645DE" w14:textId="2667128C"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3" w:history="1">
            <w:r w:rsidRPr="00A35CF0">
              <w:rPr>
                <w:rStyle w:val="Hyperlink"/>
                <w:noProof/>
                <w:lang w:val="en-IN"/>
              </w:rPr>
              <w:t>2.4 Communication Plan</w:t>
            </w:r>
            <w:r>
              <w:rPr>
                <w:noProof/>
                <w:webHidden/>
              </w:rPr>
              <w:tab/>
            </w:r>
            <w:r>
              <w:rPr>
                <w:noProof/>
                <w:webHidden/>
              </w:rPr>
              <w:fldChar w:fldCharType="begin"/>
            </w:r>
            <w:r>
              <w:rPr>
                <w:noProof/>
                <w:webHidden/>
              </w:rPr>
              <w:instrText xml:space="preserve"> PAGEREF _Toc222992973 \h </w:instrText>
            </w:r>
            <w:r>
              <w:rPr>
                <w:noProof/>
                <w:webHidden/>
              </w:rPr>
            </w:r>
            <w:r>
              <w:rPr>
                <w:noProof/>
                <w:webHidden/>
              </w:rPr>
              <w:fldChar w:fldCharType="separate"/>
            </w:r>
            <w:r>
              <w:rPr>
                <w:noProof/>
                <w:webHidden/>
              </w:rPr>
              <w:t>9</w:t>
            </w:r>
            <w:r>
              <w:rPr>
                <w:noProof/>
                <w:webHidden/>
              </w:rPr>
              <w:fldChar w:fldCharType="end"/>
            </w:r>
          </w:hyperlink>
        </w:p>
        <w:p w14:paraId="46D32D21" w14:textId="284C1445"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4" w:history="1">
            <w:r w:rsidRPr="00A35CF0">
              <w:rPr>
                <w:rStyle w:val="Hyperlink"/>
                <w:noProof/>
                <w:lang w:val="en-IN"/>
              </w:rPr>
              <w:t>2.5 Corporate Social Responsibility (CSR) and Sustainability</w:t>
            </w:r>
            <w:r>
              <w:rPr>
                <w:noProof/>
                <w:webHidden/>
              </w:rPr>
              <w:tab/>
            </w:r>
            <w:r>
              <w:rPr>
                <w:noProof/>
                <w:webHidden/>
              </w:rPr>
              <w:fldChar w:fldCharType="begin"/>
            </w:r>
            <w:r>
              <w:rPr>
                <w:noProof/>
                <w:webHidden/>
              </w:rPr>
              <w:instrText xml:space="preserve"> PAGEREF _Toc222992974 \h </w:instrText>
            </w:r>
            <w:r>
              <w:rPr>
                <w:noProof/>
                <w:webHidden/>
              </w:rPr>
            </w:r>
            <w:r>
              <w:rPr>
                <w:noProof/>
                <w:webHidden/>
              </w:rPr>
              <w:fldChar w:fldCharType="separate"/>
            </w:r>
            <w:r>
              <w:rPr>
                <w:noProof/>
                <w:webHidden/>
              </w:rPr>
              <w:t>9</w:t>
            </w:r>
            <w:r>
              <w:rPr>
                <w:noProof/>
                <w:webHidden/>
              </w:rPr>
              <w:fldChar w:fldCharType="end"/>
            </w:r>
          </w:hyperlink>
        </w:p>
        <w:p w14:paraId="2E77141F" w14:textId="1DDFBE18"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5" w:history="1">
            <w:r w:rsidRPr="00A35CF0">
              <w:rPr>
                <w:rStyle w:val="Hyperlink"/>
                <w:noProof/>
                <w:lang w:val="en-IN"/>
              </w:rPr>
              <w:t>2.6 Challenges in Stakeholder Engagement</w:t>
            </w:r>
            <w:r>
              <w:rPr>
                <w:noProof/>
                <w:webHidden/>
              </w:rPr>
              <w:tab/>
            </w:r>
            <w:r>
              <w:rPr>
                <w:noProof/>
                <w:webHidden/>
              </w:rPr>
              <w:fldChar w:fldCharType="begin"/>
            </w:r>
            <w:r>
              <w:rPr>
                <w:noProof/>
                <w:webHidden/>
              </w:rPr>
              <w:instrText xml:space="preserve"> PAGEREF _Toc222992975 \h </w:instrText>
            </w:r>
            <w:r>
              <w:rPr>
                <w:noProof/>
                <w:webHidden/>
              </w:rPr>
            </w:r>
            <w:r>
              <w:rPr>
                <w:noProof/>
                <w:webHidden/>
              </w:rPr>
              <w:fldChar w:fldCharType="separate"/>
            </w:r>
            <w:r>
              <w:rPr>
                <w:noProof/>
                <w:webHidden/>
              </w:rPr>
              <w:t>10</w:t>
            </w:r>
            <w:r>
              <w:rPr>
                <w:noProof/>
                <w:webHidden/>
              </w:rPr>
              <w:fldChar w:fldCharType="end"/>
            </w:r>
          </w:hyperlink>
        </w:p>
        <w:p w14:paraId="294BA787" w14:textId="43ACBDA5"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6" w:history="1">
            <w:r w:rsidRPr="00A35CF0">
              <w:rPr>
                <w:rStyle w:val="Hyperlink"/>
                <w:noProof/>
                <w:lang w:val="en-IN"/>
              </w:rPr>
              <w:t>2.7 Impact of Effective vs Ineffective Engagement</w:t>
            </w:r>
            <w:r>
              <w:rPr>
                <w:noProof/>
                <w:webHidden/>
              </w:rPr>
              <w:tab/>
            </w:r>
            <w:r>
              <w:rPr>
                <w:noProof/>
                <w:webHidden/>
              </w:rPr>
              <w:fldChar w:fldCharType="begin"/>
            </w:r>
            <w:r>
              <w:rPr>
                <w:noProof/>
                <w:webHidden/>
              </w:rPr>
              <w:instrText xml:space="preserve"> PAGEREF _Toc222992976 \h </w:instrText>
            </w:r>
            <w:r>
              <w:rPr>
                <w:noProof/>
                <w:webHidden/>
              </w:rPr>
            </w:r>
            <w:r>
              <w:rPr>
                <w:noProof/>
                <w:webHidden/>
              </w:rPr>
              <w:fldChar w:fldCharType="separate"/>
            </w:r>
            <w:r>
              <w:rPr>
                <w:noProof/>
                <w:webHidden/>
              </w:rPr>
              <w:t>10</w:t>
            </w:r>
            <w:r>
              <w:rPr>
                <w:noProof/>
                <w:webHidden/>
              </w:rPr>
              <w:fldChar w:fldCharType="end"/>
            </w:r>
          </w:hyperlink>
        </w:p>
        <w:p w14:paraId="5666BDB5" w14:textId="365432C8"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7" w:history="1">
            <w:r w:rsidRPr="00A35CF0">
              <w:rPr>
                <w:rStyle w:val="Hyperlink"/>
                <w:noProof/>
                <w:lang w:val="en-IN"/>
              </w:rPr>
              <w:t>2.8 Application to the Telford Context</w:t>
            </w:r>
            <w:r>
              <w:rPr>
                <w:noProof/>
                <w:webHidden/>
              </w:rPr>
              <w:tab/>
            </w:r>
            <w:r>
              <w:rPr>
                <w:noProof/>
                <w:webHidden/>
              </w:rPr>
              <w:fldChar w:fldCharType="begin"/>
            </w:r>
            <w:r>
              <w:rPr>
                <w:noProof/>
                <w:webHidden/>
              </w:rPr>
              <w:instrText xml:space="preserve"> PAGEREF _Toc222992977 \h </w:instrText>
            </w:r>
            <w:r>
              <w:rPr>
                <w:noProof/>
                <w:webHidden/>
              </w:rPr>
            </w:r>
            <w:r>
              <w:rPr>
                <w:noProof/>
                <w:webHidden/>
              </w:rPr>
              <w:fldChar w:fldCharType="separate"/>
            </w:r>
            <w:r>
              <w:rPr>
                <w:noProof/>
                <w:webHidden/>
              </w:rPr>
              <w:t>11</w:t>
            </w:r>
            <w:r>
              <w:rPr>
                <w:noProof/>
                <w:webHidden/>
              </w:rPr>
              <w:fldChar w:fldCharType="end"/>
            </w:r>
          </w:hyperlink>
        </w:p>
        <w:p w14:paraId="3E88B686" w14:textId="71B1BEE5" w:rsidR="00386408" w:rsidRDefault="00386408">
          <w:pPr>
            <w:pStyle w:val="TOC1"/>
            <w:tabs>
              <w:tab w:val="right" w:leader="dot" w:pos="9016"/>
            </w:tabs>
            <w:rPr>
              <w:rFonts w:asciiTheme="minorHAnsi" w:eastAsiaTheme="minorEastAsia" w:hAnsiTheme="minorHAnsi"/>
              <w:noProof/>
              <w:color w:val="auto"/>
              <w:lang w:val="en-IN" w:eastAsia="en-IN"/>
            </w:rPr>
          </w:pPr>
          <w:hyperlink w:anchor="_Toc222992978" w:history="1">
            <w:r w:rsidRPr="00A35CF0">
              <w:rPr>
                <w:rStyle w:val="Hyperlink"/>
                <w:noProof/>
                <w:lang w:val="en-IN"/>
              </w:rPr>
              <w:t>Element 3: Ethical Consideration and Awareness, and Reflective Insight</w:t>
            </w:r>
            <w:r>
              <w:rPr>
                <w:noProof/>
                <w:webHidden/>
              </w:rPr>
              <w:tab/>
            </w:r>
            <w:r>
              <w:rPr>
                <w:noProof/>
                <w:webHidden/>
              </w:rPr>
              <w:fldChar w:fldCharType="begin"/>
            </w:r>
            <w:r>
              <w:rPr>
                <w:noProof/>
                <w:webHidden/>
              </w:rPr>
              <w:instrText xml:space="preserve"> PAGEREF _Toc222992978 \h </w:instrText>
            </w:r>
            <w:r>
              <w:rPr>
                <w:noProof/>
                <w:webHidden/>
              </w:rPr>
            </w:r>
            <w:r>
              <w:rPr>
                <w:noProof/>
                <w:webHidden/>
              </w:rPr>
              <w:fldChar w:fldCharType="separate"/>
            </w:r>
            <w:r>
              <w:rPr>
                <w:noProof/>
                <w:webHidden/>
              </w:rPr>
              <w:t>11</w:t>
            </w:r>
            <w:r>
              <w:rPr>
                <w:noProof/>
                <w:webHidden/>
              </w:rPr>
              <w:fldChar w:fldCharType="end"/>
            </w:r>
          </w:hyperlink>
        </w:p>
        <w:p w14:paraId="1DCF107E" w14:textId="40299AD2"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79" w:history="1">
            <w:r w:rsidRPr="00A35CF0">
              <w:rPr>
                <w:rStyle w:val="Hyperlink"/>
                <w:noProof/>
                <w:lang w:val="en-IN"/>
              </w:rPr>
              <w:t>3.0 Introduction to Ethical Stakeholder Engagement</w:t>
            </w:r>
            <w:r>
              <w:rPr>
                <w:noProof/>
                <w:webHidden/>
              </w:rPr>
              <w:tab/>
            </w:r>
            <w:r>
              <w:rPr>
                <w:noProof/>
                <w:webHidden/>
              </w:rPr>
              <w:fldChar w:fldCharType="begin"/>
            </w:r>
            <w:r>
              <w:rPr>
                <w:noProof/>
                <w:webHidden/>
              </w:rPr>
              <w:instrText xml:space="preserve"> PAGEREF _Toc222992979 \h </w:instrText>
            </w:r>
            <w:r>
              <w:rPr>
                <w:noProof/>
                <w:webHidden/>
              </w:rPr>
            </w:r>
            <w:r>
              <w:rPr>
                <w:noProof/>
                <w:webHidden/>
              </w:rPr>
              <w:fldChar w:fldCharType="separate"/>
            </w:r>
            <w:r>
              <w:rPr>
                <w:noProof/>
                <w:webHidden/>
              </w:rPr>
              <w:t>11</w:t>
            </w:r>
            <w:r>
              <w:rPr>
                <w:noProof/>
                <w:webHidden/>
              </w:rPr>
              <w:fldChar w:fldCharType="end"/>
            </w:r>
          </w:hyperlink>
        </w:p>
        <w:p w14:paraId="2BB87523" w14:textId="0988B0A0"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0" w:history="1">
            <w:r w:rsidRPr="00A35CF0">
              <w:rPr>
                <w:rStyle w:val="Hyperlink"/>
                <w:noProof/>
                <w:lang w:val="en-IN"/>
              </w:rPr>
              <w:t>3.1 Community Interest and Social Responsibility</w:t>
            </w:r>
            <w:r>
              <w:rPr>
                <w:noProof/>
                <w:webHidden/>
              </w:rPr>
              <w:tab/>
            </w:r>
            <w:r>
              <w:rPr>
                <w:noProof/>
                <w:webHidden/>
              </w:rPr>
              <w:fldChar w:fldCharType="begin"/>
            </w:r>
            <w:r>
              <w:rPr>
                <w:noProof/>
                <w:webHidden/>
              </w:rPr>
              <w:instrText xml:space="preserve"> PAGEREF _Toc222992980 \h </w:instrText>
            </w:r>
            <w:r>
              <w:rPr>
                <w:noProof/>
                <w:webHidden/>
              </w:rPr>
            </w:r>
            <w:r>
              <w:rPr>
                <w:noProof/>
                <w:webHidden/>
              </w:rPr>
              <w:fldChar w:fldCharType="separate"/>
            </w:r>
            <w:r>
              <w:rPr>
                <w:noProof/>
                <w:webHidden/>
              </w:rPr>
              <w:t>11</w:t>
            </w:r>
            <w:r>
              <w:rPr>
                <w:noProof/>
                <w:webHidden/>
              </w:rPr>
              <w:fldChar w:fldCharType="end"/>
            </w:r>
          </w:hyperlink>
        </w:p>
        <w:p w14:paraId="5E727E81" w14:textId="1DCBE11D"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1" w:history="1">
            <w:r w:rsidRPr="00A35CF0">
              <w:rPr>
                <w:rStyle w:val="Hyperlink"/>
                <w:noProof/>
                <w:lang w:val="en-IN"/>
              </w:rPr>
              <w:t>3.2 Transparency and Accountability</w:t>
            </w:r>
            <w:r>
              <w:rPr>
                <w:noProof/>
                <w:webHidden/>
              </w:rPr>
              <w:tab/>
            </w:r>
            <w:r>
              <w:rPr>
                <w:noProof/>
                <w:webHidden/>
              </w:rPr>
              <w:fldChar w:fldCharType="begin"/>
            </w:r>
            <w:r>
              <w:rPr>
                <w:noProof/>
                <w:webHidden/>
              </w:rPr>
              <w:instrText xml:space="preserve"> PAGEREF _Toc222992981 \h </w:instrText>
            </w:r>
            <w:r>
              <w:rPr>
                <w:noProof/>
                <w:webHidden/>
              </w:rPr>
            </w:r>
            <w:r>
              <w:rPr>
                <w:noProof/>
                <w:webHidden/>
              </w:rPr>
              <w:fldChar w:fldCharType="separate"/>
            </w:r>
            <w:r>
              <w:rPr>
                <w:noProof/>
                <w:webHidden/>
              </w:rPr>
              <w:t>12</w:t>
            </w:r>
            <w:r>
              <w:rPr>
                <w:noProof/>
                <w:webHidden/>
              </w:rPr>
              <w:fldChar w:fldCharType="end"/>
            </w:r>
          </w:hyperlink>
        </w:p>
        <w:p w14:paraId="696BFCF1" w14:textId="4339D29D"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2" w:history="1">
            <w:r w:rsidRPr="00A35CF0">
              <w:rPr>
                <w:rStyle w:val="Hyperlink"/>
                <w:noProof/>
                <w:lang w:val="en-IN"/>
              </w:rPr>
              <w:t>3.3 Fairness and Inclusivity</w:t>
            </w:r>
            <w:r>
              <w:rPr>
                <w:noProof/>
                <w:webHidden/>
              </w:rPr>
              <w:tab/>
            </w:r>
            <w:r>
              <w:rPr>
                <w:noProof/>
                <w:webHidden/>
              </w:rPr>
              <w:fldChar w:fldCharType="begin"/>
            </w:r>
            <w:r>
              <w:rPr>
                <w:noProof/>
                <w:webHidden/>
              </w:rPr>
              <w:instrText xml:space="preserve"> PAGEREF _Toc222992982 \h </w:instrText>
            </w:r>
            <w:r>
              <w:rPr>
                <w:noProof/>
                <w:webHidden/>
              </w:rPr>
            </w:r>
            <w:r>
              <w:rPr>
                <w:noProof/>
                <w:webHidden/>
              </w:rPr>
              <w:fldChar w:fldCharType="separate"/>
            </w:r>
            <w:r>
              <w:rPr>
                <w:noProof/>
                <w:webHidden/>
              </w:rPr>
              <w:t>12</w:t>
            </w:r>
            <w:r>
              <w:rPr>
                <w:noProof/>
                <w:webHidden/>
              </w:rPr>
              <w:fldChar w:fldCharType="end"/>
            </w:r>
          </w:hyperlink>
        </w:p>
        <w:p w14:paraId="6ED3A0D6" w14:textId="02B394F5"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3" w:history="1">
            <w:r w:rsidRPr="00A35CF0">
              <w:rPr>
                <w:rStyle w:val="Hyperlink"/>
                <w:noProof/>
                <w:lang w:val="en-IN"/>
              </w:rPr>
              <w:t>3.4 Corporate Social Responsibility and Sustainability</w:t>
            </w:r>
            <w:r>
              <w:rPr>
                <w:noProof/>
                <w:webHidden/>
              </w:rPr>
              <w:tab/>
            </w:r>
            <w:r>
              <w:rPr>
                <w:noProof/>
                <w:webHidden/>
              </w:rPr>
              <w:fldChar w:fldCharType="begin"/>
            </w:r>
            <w:r>
              <w:rPr>
                <w:noProof/>
                <w:webHidden/>
              </w:rPr>
              <w:instrText xml:space="preserve"> PAGEREF _Toc222992983 \h </w:instrText>
            </w:r>
            <w:r>
              <w:rPr>
                <w:noProof/>
                <w:webHidden/>
              </w:rPr>
            </w:r>
            <w:r>
              <w:rPr>
                <w:noProof/>
                <w:webHidden/>
              </w:rPr>
              <w:fldChar w:fldCharType="separate"/>
            </w:r>
            <w:r>
              <w:rPr>
                <w:noProof/>
                <w:webHidden/>
              </w:rPr>
              <w:t>13</w:t>
            </w:r>
            <w:r>
              <w:rPr>
                <w:noProof/>
                <w:webHidden/>
              </w:rPr>
              <w:fldChar w:fldCharType="end"/>
            </w:r>
          </w:hyperlink>
        </w:p>
        <w:p w14:paraId="47CE122D" w14:textId="723A0909"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4" w:history="1">
            <w:r w:rsidRPr="00A35CF0">
              <w:rPr>
                <w:rStyle w:val="Hyperlink"/>
                <w:noProof/>
                <w:lang w:val="en-IN"/>
              </w:rPr>
              <w:t>3.5 Ethical Challenges in Practice</w:t>
            </w:r>
            <w:r>
              <w:rPr>
                <w:noProof/>
                <w:webHidden/>
              </w:rPr>
              <w:tab/>
            </w:r>
            <w:r>
              <w:rPr>
                <w:noProof/>
                <w:webHidden/>
              </w:rPr>
              <w:fldChar w:fldCharType="begin"/>
            </w:r>
            <w:r>
              <w:rPr>
                <w:noProof/>
                <w:webHidden/>
              </w:rPr>
              <w:instrText xml:space="preserve"> PAGEREF _Toc222992984 \h </w:instrText>
            </w:r>
            <w:r>
              <w:rPr>
                <w:noProof/>
                <w:webHidden/>
              </w:rPr>
            </w:r>
            <w:r>
              <w:rPr>
                <w:noProof/>
                <w:webHidden/>
              </w:rPr>
              <w:fldChar w:fldCharType="separate"/>
            </w:r>
            <w:r>
              <w:rPr>
                <w:noProof/>
                <w:webHidden/>
              </w:rPr>
              <w:t>14</w:t>
            </w:r>
            <w:r>
              <w:rPr>
                <w:noProof/>
                <w:webHidden/>
              </w:rPr>
              <w:fldChar w:fldCharType="end"/>
            </w:r>
          </w:hyperlink>
        </w:p>
        <w:p w14:paraId="479C197F" w14:textId="4D03F942"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5" w:history="1">
            <w:r w:rsidRPr="00A35CF0">
              <w:rPr>
                <w:rStyle w:val="Hyperlink"/>
                <w:noProof/>
                <w:lang w:val="en-IN"/>
              </w:rPr>
              <w:t>3.6 Reflective Insight: Learning from Theory and Practice</w:t>
            </w:r>
            <w:r>
              <w:rPr>
                <w:noProof/>
                <w:webHidden/>
              </w:rPr>
              <w:tab/>
            </w:r>
            <w:r>
              <w:rPr>
                <w:noProof/>
                <w:webHidden/>
              </w:rPr>
              <w:fldChar w:fldCharType="begin"/>
            </w:r>
            <w:r>
              <w:rPr>
                <w:noProof/>
                <w:webHidden/>
              </w:rPr>
              <w:instrText xml:space="preserve"> PAGEREF _Toc222992985 \h </w:instrText>
            </w:r>
            <w:r>
              <w:rPr>
                <w:noProof/>
                <w:webHidden/>
              </w:rPr>
            </w:r>
            <w:r>
              <w:rPr>
                <w:noProof/>
                <w:webHidden/>
              </w:rPr>
              <w:fldChar w:fldCharType="separate"/>
            </w:r>
            <w:r>
              <w:rPr>
                <w:noProof/>
                <w:webHidden/>
              </w:rPr>
              <w:t>14</w:t>
            </w:r>
            <w:r>
              <w:rPr>
                <w:noProof/>
                <w:webHidden/>
              </w:rPr>
              <w:fldChar w:fldCharType="end"/>
            </w:r>
          </w:hyperlink>
        </w:p>
        <w:p w14:paraId="4A8AEC1C" w14:textId="02A0D462" w:rsidR="00386408" w:rsidRDefault="00386408">
          <w:pPr>
            <w:pStyle w:val="TOC2"/>
            <w:tabs>
              <w:tab w:val="right" w:leader="dot" w:pos="9016"/>
            </w:tabs>
            <w:rPr>
              <w:rFonts w:asciiTheme="minorHAnsi" w:eastAsiaTheme="minorEastAsia" w:hAnsiTheme="minorHAnsi"/>
              <w:noProof/>
              <w:color w:val="auto"/>
              <w:lang w:val="en-IN" w:eastAsia="en-IN"/>
            </w:rPr>
          </w:pPr>
          <w:hyperlink w:anchor="_Toc222992986" w:history="1">
            <w:r w:rsidRPr="00A35CF0">
              <w:rPr>
                <w:rStyle w:val="Hyperlink"/>
                <w:noProof/>
                <w:lang w:val="en-IN"/>
              </w:rPr>
              <w:t>3.7 Skills Development and Future Relevance</w:t>
            </w:r>
            <w:r>
              <w:rPr>
                <w:noProof/>
                <w:webHidden/>
              </w:rPr>
              <w:tab/>
            </w:r>
            <w:r>
              <w:rPr>
                <w:noProof/>
                <w:webHidden/>
              </w:rPr>
              <w:fldChar w:fldCharType="begin"/>
            </w:r>
            <w:r>
              <w:rPr>
                <w:noProof/>
                <w:webHidden/>
              </w:rPr>
              <w:instrText xml:space="preserve"> PAGEREF _Toc222992986 \h </w:instrText>
            </w:r>
            <w:r>
              <w:rPr>
                <w:noProof/>
                <w:webHidden/>
              </w:rPr>
            </w:r>
            <w:r>
              <w:rPr>
                <w:noProof/>
                <w:webHidden/>
              </w:rPr>
              <w:fldChar w:fldCharType="separate"/>
            </w:r>
            <w:r>
              <w:rPr>
                <w:noProof/>
                <w:webHidden/>
              </w:rPr>
              <w:t>15</w:t>
            </w:r>
            <w:r>
              <w:rPr>
                <w:noProof/>
                <w:webHidden/>
              </w:rPr>
              <w:fldChar w:fldCharType="end"/>
            </w:r>
          </w:hyperlink>
        </w:p>
        <w:p w14:paraId="4E90D93E" w14:textId="7DBB9938" w:rsidR="00386408" w:rsidRDefault="00386408">
          <w:pPr>
            <w:pStyle w:val="TOC1"/>
            <w:tabs>
              <w:tab w:val="right" w:leader="dot" w:pos="9016"/>
            </w:tabs>
            <w:rPr>
              <w:rFonts w:asciiTheme="minorHAnsi" w:eastAsiaTheme="minorEastAsia" w:hAnsiTheme="minorHAnsi"/>
              <w:noProof/>
              <w:color w:val="auto"/>
              <w:lang w:val="en-IN" w:eastAsia="en-IN"/>
            </w:rPr>
          </w:pPr>
          <w:hyperlink w:anchor="_Toc222992987" w:history="1">
            <w:r w:rsidRPr="00A35CF0">
              <w:rPr>
                <w:rStyle w:val="Hyperlink"/>
                <w:noProof/>
                <w:lang w:val="en-IN"/>
              </w:rPr>
              <w:t>Element 4: Conclusion and Recommendations</w:t>
            </w:r>
            <w:r>
              <w:rPr>
                <w:noProof/>
                <w:webHidden/>
              </w:rPr>
              <w:tab/>
            </w:r>
            <w:r>
              <w:rPr>
                <w:noProof/>
                <w:webHidden/>
              </w:rPr>
              <w:fldChar w:fldCharType="begin"/>
            </w:r>
            <w:r>
              <w:rPr>
                <w:noProof/>
                <w:webHidden/>
              </w:rPr>
              <w:instrText xml:space="preserve"> PAGEREF _Toc222992987 \h </w:instrText>
            </w:r>
            <w:r>
              <w:rPr>
                <w:noProof/>
                <w:webHidden/>
              </w:rPr>
            </w:r>
            <w:r>
              <w:rPr>
                <w:noProof/>
                <w:webHidden/>
              </w:rPr>
              <w:fldChar w:fldCharType="separate"/>
            </w:r>
            <w:r>
              <w:rPr>
                <w:noProof/>
                <w:webHidden/>
              </w:rPr>
              <w:t>15</w:t>
            </w:r>
            <w:r>
              <w:rPr>
                <w:noProof/>
                <w:webHidden/>
              </w:rPr>
              <w:fldChar w:fldCharType="end"/>
            </w:r>
          </w:hyperlink>
        </w:p>
        <w:p w14:paraId="25EB0F05" w14:textId="7FE7EB9E" w:rsidR="00386408" w:rsidRDefault="00386408">
          <w:pPr>
            <w:pStyle w:val="TOC1"/>
            <w:tabs>
              <w:tab w:val="right" w:leader="dot" w:pos="9016"/>
            </w:tabs>
            <w:rPr>
              <w:rFonts w:asciiTheme="minorHAnsi" w:eastAsiaTheme="minorEastAsia" w:hAnsiTheme="minorHAnsi"/>
              <w:noProof/>
              <w:color w:val="auto"/>
              <w:lang w:val="en-IN" w:eastAsia="en-IN"/>
            </w:rPr>
          </w:pPr>
          <w:hyperlink w:anchor="_Toc222992988" w:history="1">
            <w:r w:rsidRPr="00A35CF0">
              <w:rPr>
                <w:rStyle w:val="Hyperlink"/>
                <w:noProof/>
              </w:rPr>
              <w:t>References</w:t>
            </w:r>
            <w:r>
              <w:rPr>
                <w:noProof/>
                <w:webHidden/>
              </w:rPr>
              <w:tab/>
            </w:r>
            <w:r>
              <w:rPr>
                <w:noProof/>
                <w:webHidden/>
              </w:rPr>
              <w:fldChar w:fldCharType="begin"/>
            </w:r>
            <w:r>
              <w:rPr>
                <w:noProof/>
                <w:webHidden/>
              </w:rPr>
              <w:instrText xml:space="preserve"> PAGEREF _Toc222992988 \h </w:instrText>
            </w:r>
            <w:r>
              <w:rPr>
                <w:noProof/>
                <w:webHidden/>
              </w:rPr>
            </w:r>
            <w:r>
              <w:rPr>
                <w:noProof/>
                <w:webHidden/>
              </w:rPr>
              <w:fldChar w:fldCharType="separate"/>
            </w:r>
            <w:r>
              <w:rPr>
                <w:noProof/>
                <w:webHidden/>
              </w:rPr>
              <w:t>17</w:t>
            </w:r>
            <w:r>
              <w:rPr>
                <w:noProof/>
                <w:webHidden/>
              </w:rPr>
              <w:fldChar w:fldCharType="end"/>
            </w:r>
          </w:hyperlink>
        </w:p>
        <w:p w14:paraId="6935885D" w14:textId="45ABF115" w:rsidR="00386408" w:rsidRDefault="0023792E">
          <w:pPr>
            <w:rPr>
              <w:b/>
              <w:bCs/>
              <w:noProof/>
              <w:sz w:val="32"/>
              <w:szCs w:val="32"/>
            </w:rPr>
          </w:pPr>
          <w:r>
            <w:rPr>
              <w:b/>
              <w:bCs/>
              <w:noProof/>
            </w:rPr>
            <w:fldChar w:fldCharType="end"/>
          </w:r>
          <w:r w:rsidR="00386408" w:rsidRPr="00386408">
            <w:rPr>
              <w:b/>
              <w:bCs/>
              <w:noProof/>
              <w:sz w:val="32"/>
              <w:szCs w:val="32"/>
            </w:rPr>
            <w:t>Table of Figures</w:t>
          </w:r>
        </w:p>
        <w:p w14:paraId="24567D9A" w14:textId="51CF90A6" w:rsidR="00386408" w:rsidRPr="00386408" w:rsidRDefault="00386408">
          <w:pPr>
            <w:pStyle w:val="TableofFigures"/>
            <w:tabs>
              <w:tab w:val="right" w:leader="dot" w:pos="9016"/>
            </w:tabs>
            <w:rPr>
              <w:rFonts w:asciiTheme="minorHAnsi" w:eastAsiaTheme="minorEastAsia" w:hAnsiTheme="minorHAnsi"/>
              <w:noProof/>
              <w:lang w:val="en-IN" w:eastAsia="en-IN"/>
            </w:rPr>
          </w:pPr>
          <w:r>
            <w:rPr>
              <w:b/>
              <w:bCs/>
              <w:noProof/>
              <w:sz w:val="32"/>
              <w:szCs w:val="32"/>
            </w:rPr>
            <w:fldChar w:fldCharType="begin"/>
          </w:r>
          <w:r>
            <w:rPr>
              <w:b/>
              <w:bCs/>
              <w:noProof/>
              <w:sz w:val="32"/>
              <w:szCs w:val="32"/>
            </w:rPr>
            <w:instrText xml:space="preserve"> TOC \h \z \c "Figure" </w:instrText>
          </w:r>
          <w:r>
            <w:rPr>
              <w:b/>
              <w:bCs/>
              <w:noProof/>
              <w:sz w:val="32"/>
              <w:szCs w:val="32"/>
            </w:rPr>
            <w:fldChar w:fldCharType="separate"/>
          </w:r>
          <w:hyperlink w:anchor="_Toc222992946" w:history="1">
            <w:r w:rsidRPr="00386408">
              <w:rPr>
                <w:rStyle w:val="Hyperlink"/>
                <w:noProof/>
                <w:color w:val="0D0D0D" w:themeColor="text1" w:themeTint="F2"/>
              </w:rPr>
              <w:t>Figure 1</w:t>
            </w:r>
            <w:r w:rsidRPr="00386408">
              <w:rPr>
                <w:rStyle w:val="Hyperlink"/>
                <w:noProof/>
                <w:color w:val="0D0D0D" w:themeColor="text1" w:themeTint="F2"/>
                <w:lang w:val="en-IN"/>
              </w:rPr>
              <w:t>: Telford Town Centre Regeneration Project</w:t>
            </w:r>
            <w:r w:rsidRPr="00386408">
              <w:rPr>
                <w:noProof/>
                <w:webHidden/>
              </w:rPr>
              <w:tab/>
            </w:r>
            <w:r w:rsidRPr="00386408">
              <w:rPr>
                <w:noProof/>
                <w:webHidden/>
              </w:rPr>
              <w:fldChar w:fldCharType="begin"/>
            </w:r>
            <w:r w:rsidRPr="00386408">
              <w:rPr>
                <w:noProof/>
                <w:webHidden/>
              </w:rPr>
              <w:instrText xml:space="preserve"> PAGEREF _Toc222992946 \h </w:instrText>
            </w:r>
            <w:r w:rsidRPr="00386408">
              <w:rPr>
                <w:noProof/>
                <w:webHidden/>
              </w:rPr>
            </w:r>
            <w:r w:rsidRPr="00386408">
              <w:rPr>
                <w:noProof/>
                <w:webHidden/>
              </w:rPr>
              <w:fldChar w:fldCharType="separate"/>
            </w:r>
            <w:r w:rsidRPr="00386408">
              <w:rPr>
                <w:noProof/>
                <w:webHidden/>
              </w:rPr>
              <w:t>5</w:t>
            </w:r>
            <w:r w:rsidRPr="00386408">
              <w:rPr>
                <w:noProof/>
                <w:webHidden/>
              </w:rPr>
              <w:fldChar w:fldCharType="end"/>
            </w:r>
          </w:hyperlink>
        </w:p>
        <w:p w14:paraId="251D3957" w14:textId="7B407863" w:rsidR="00386408" w:rsidRPr="00386408" w:rsidRDefault="00386408">
          <w:pPr>
            <w:pStyle w:val="TableofFigures"/>
            <w:tabs>
              <w:tab w:val="right" w:leader="dot" w:pos="9016"/>
            </w:tabs>
            <w:rPr>
              <w:rFonts w:asciiTheme="minorHAnsi" w:eastAsiaTheme="minorEastAsia" w:hAnsiTheme="minorHAnsi"/>
              <w:noProof/>
              <w:lang w:val="en-IN" w:eastAsia="en-IN"/>
            </w:rPr>
          </w:pPr>
          <w:hyperlink w:anchor="_Toc222992947" w:history="1">
            <w:r w:rsidRPr="00386408">
              <w:rPr>
                <w:rStyle w:val="Hyperlink"/>
                <w:noProof/>
                <w:color w:val="0D0D0D" w:themeColor="text1" w:themeTint="F2"/>
              </w:rPr>
              <w:t>Figure 2</w:t>
            </w:r>
            <w:r w:rsidRPr="00386408">
              <w:rPr>
                <w:rStyle w:val="Hyperlink"/>
                <w:noProof/>
                <w:color w:val="0D0D0D" w:themeColor="text1" w:themeTint="F2"/>
                <w:lang w:val="en-IN"/>
              </w:rPr>
              <w:t>: Corporate Social Responsibility</w:t>
            </w:r>
            <w:r w:rsidRPr="00386408">
              <w:rPr>
                <w:noProof/>
                <w:webHidden/>
              </w:rPr>
              <w:tab/>
            </w:r>
            <w:r w:rsidRPr="00386408">
              <w:rPr>
                <w:noProof/>
                <w:webHidden/>
              </w:rPr>
              <w:fldChar w:fldCharType="begin"/>
            </w:r>
            <w:r w:rsidRPr="00386408">
              <w:rPr>
                <w:noProof/>
                <w:webHidden/>
              </w:rPr>
              <w:instrText xml:space="preserve"> PAGEREF _Toc222992947 \h </w:instrText>
            </w:r>
            <w:r w:rsidRPr="00386408">
              <w:rPr>
                <w:noProof/>
                <w:webHidden/>
              </w:rPr>
            </w:r>
            <w:r w:rsidRPr="00386408">
              <w:rPr>
                <w:noProof/>
                <w:webHidden/>
              </w:rPr>
              <w:fldChar w:fldCharType="separate"/>
            </w:r>
            <w:r w:rsidRPr="00386408">
              <w:rPr>
                <w:noProof/>
                <w:webHidden/>
              </w:rPr>
              <w:t>13</w:t>
            </w:r>
            <w:r w:rsidRPr="00386408">
              <w:rPr>
                <w:noProof/>
                <w:webHidden/>
              </w:rPr>
              <w:fldChar w:fldCharType="end"/>
            </w:r>
          </w:hyperlink>
        </w:p>
        <w:p w14:paraId="61EFE945" w14:textId="47D5E67E" w:rsidR="00C32758" w:rsidRPr="00386408" w:rsidRDefault="00386408">
          <w:pPr>
            <w:rPr>
              <w:b/>
              <w:bCs/>
              <w:noProof/>
              <w:sz w:val="32"/>
              <w:szCs w:val="32"/>
            </w:rPr>
          </w:pPr>
          <w:r>
            <w:rPr>
              <w:b/>
              <w:bCs/>
              <w:noProof/>
              <w:sz w:val="32"/>
              <w:szCs w:val="32"/>
            </w:rPr>
            <w:lastRenderedPageBreak/>
            <w:fldChar w:fldCharType="end"/>
          </w:r>
          <w:r w:rsidR="00C32758" w:rsidRPr="00386408">
            <w:rPr>
              <w:b/>
              <w:bCs/>
              <w:noProof/>
              <w:sz w:val="32"/>
              <w:szCs w:val="32"/>
            </w:rPr>
            <w:t>List of Tables</w:t>
          </w:r>
        </w:p>
        <w:p w14:paraId="0E8A6CE8" w14:textId="023980DC" w:rsidR="00C32758" w:rsidRPr="00C32758" w:rsidRDefault="00C32758">
          <w:pPr>
            <w:pStyle w:val="TableofFigures"/>
            <w:tabs>
              <w:tab w:val="right" w:leader="dot" w:pos="9016"/>
            </w:tabs>
            <w:rPr>
              <w:noProof/>
            </w:rPr>
          </w:pPr>
          <w:r>
            <w:rPr>
              <w:b/>
              <w:bCs/>
              <w:noProof/>
              <w:sz w:val="28"/>
              <w:szCs w:val="28"/>
            </w:rPr>
            <w:fldChar w:fldCharType="begin"/>
          </w:r>
          <w:r>
            <w:rPr>
              <w:b/>
              <w:bCs/>
              <w:noProof/>
              <w:sz w:val="28"/>
              <w:szCs w:val="28"/>
            </w:rPr>
            <w:instrText xml:space="preserve"> TOC \h \z \c "Table" </w:instrText>
          </w:r>
          <w:r>
            <w:rPr>
              <w:b/>
              <w:bCs/>
              <w:noProof/>
              <w:sz w:val="28"/>
              <w:szCs w:val="28"/>
            </w:rPr>
            <w:fldChar w:fldCharType="separate"/>
          </w:r>
          <w:hyperlink w:anchor="_Toc222933164" w:history="1">
            <w:r w:rsidRPr="00C32758">
              <w:rPr>
                <w:rStyle w:val="Hyperlink"/>
                <w:noProof/>
                <w:color w:val="0D0D0D" w:themeColor="text1" w:themeTint="F2"/>
              </w:rPr>
              <w:t>Table 1</w:t>
            </w:r>
            <w:r w:rsidRPr="00C32758">
              <w:rPr>
                <w:rStyle w:val="Hyperlink"/>
                <w:noProof/>
                <w:color w:val="0D0D0D" w:themeColor="text1" w:themeTint="F2"/>
                <w:lang w:val="en-IN"/>
              </w:rPr>
              <w:t>: Primary Stakeholders</w:t>
            </w:r>
            <w:r w:rsidRPr="00C32758">
              <w:rPr>
                <w:noProof/>
                <w:webHidden/>
              </w:rPr>
              <w:tab/>
            </w:r>
            <w:r w:rsidRPr="00C32758">
              <w:rPr>
                <w:noProof/>
                <w:webHidden/>
              </w:rPr>
              <w:fldChar w:fldCharType="begin"/>
            </w:r>
            <w:r w:rsidRPr="00C32758">
              <w:rPr>
                <w:noProof/>
                <w:webHidden/>
              </w:rPr>
              <w:instrText xml:space="preserve"> PAGEREF _Toc222933164 \h </w:instrText>
            </w:r>
            <w:r w:rsidRPr="00C32758">
              <w:rPr>
                <w:noProof/>
                <w:webHidden/>
              </w:rPr>
            </w:r>
            <w:r w:rsidRPr="00C32758">
              <w:rPr>
                <w:noProof/>
                <w:webHidden/>
              </w:rPr>
              <w:fldChar w:fldCharType="separate"/>
            </w:r>
            <w:r w:rsidRPr="00C32758">
              <w:rPr>
                <w:noProof/>
                <w:webHidden/>
              </w:rPr>
              <w:t>5</w:t>
            </w:r>
            <w:r w:rsidRPr="00C32758">
              <w:rPr>
                <w:noProof/>
                <w:webHidden/>
              </w:rPr>
              <w:fldChar w:fldCharType="end"/>
            </w:r>
          </w:hyperlink>
        </w:p>
        <w:p w14:paraId="6F80BB66" w14:textId="73E3236D" w:rsidR="00C32758" w:rsidRPr="00C32758" w:rsidRDefault="00C32758">
          <w:pPr>
            <w:pStyle w:val="TableofFigures"/>
            <w:tabs>
              <w:tab w:val="right" w:leader="dot" w:pos="9016"/>
            </w:tabs>
            <w:rPr>
              <w:noProof/>
            </w:rPr>
          </w:pPr>
          <w:hyperlink w:anchor="_Toc222933165" w:history="1">
            <w:r w:rsidRPr="00C32758">
              <w:rPr>
                <w:rStyle w:val="Hyperlink"/>
                <w:noProof/>
                <w:color w:val="0D0D0D" w:themeColor="text1" w:themeTint="F2"/>
              </w:rPr>
              <w:t>Table 2</w:t>
            </w:r>
            <w:r w:rsidRPr="00C32758">
              <w:rPr>
                <w:rStyle w:val="Hyperlink"/>
                <w:noProof/>
                <w:color w:val="0D0D0D" w:themeColor="text1" w:themeTint="F2"/>
                <w:lang w:val="en-IN"/>
              </w:rPr>
              <w:t>: Power- Interest Matrix</w:t>
            </w:r>
            <w:r w:rsidRPr="00C32758">
              <w:rPr>
                <w:noProof/>
                <w:webHidden/>
              </w:rPr>
              <w:tab/>
            </w:r>
            <w:r w:rsidRPr="00C32758">
              <w:rPr>
                <w:noProof/>
                <w:webHidden/>
              </w:rPr>
              <w:fldChar w:fldCharType="begin"/>
            </w:r>
            <w:r w:rsidRPr="00C32758">
              <w:rPr>
                <w:noProof/>
                <w:webHidden/>
              </w:rPr>
              <w:instrText xml:space="preserve"> PAGEREF _Toc222933165 \h </w:instrText>
            </w:r>
            <w:r w:rsidRPr="00C32758">
              <w:rPr>
                <w:noProof/>
                <w:webHidden/>
              </w:rPr>
            </w:r>
            <w:r w:rsidRPr="00C32758">
              <w:rPr>
                <w:noProof/>
                <w:webHidden/>
              </w:rPr>
              <w:fldChar w:fldCharType="separate"/>
            </w:r>
            <w:r w:rsidRPr="00C32758">
              <w:rPr>
                <w:noProof/>
                <w:webHidden/>
              </w:rPr>
              <w:t>6</w:t>
            </w:r>
            <w:r w:rsidRPr="00C32758">
              <w:rPr>
                <w:noProof/>
                <w:webHidden/>
              </w:rPr>
              <w:fldChar w:fldCharType="end"/>
            </w:r>
          </w:hyperlink>
        </w:p>
        <w:p w14:paraId="38A21DF5" w14:textId="1893BDC2" w:rsidR="00C32758" w:rsidRPr="00C32758" w:rsidRDefault="00C32758">
          <w:pPr>
            <w:pStyle w:val="TableofFigures"/>
            <w:tabs>
              <w:tab w:val="right" w:leader="dot" w:pos="9016"/>
            </w:tabs>
            <w:rPr>
              <w:noProof/>
            </w:rPr>
          </w:pPr>
          <w:hyperlink w:anchor="_Toc222933166" w:history="1">
            <w:r w:rsidRPr="00C32758">
              <w:rPr>
                <w:rStyle w:val="Hyperlink"/>
                <w:noProof/>
                <w:color w:val="0D0D0D" w:themeColor="text1" w:themeTint="F2"/>
              </w:rPr>
              <w:t>Table 3</w:t>
            </w:r>
            <w:r w:rsidRPr="00C32758">
              <w:rPr>
                <w:rStyle w:val="Hyperlink"/>
                <w:noProof/>
                <w:color w:val="0D0D0D" w:themeColor="text1" w:themeTint="F2"/>
                <w:lang w:val="en-IN"/>
              </w:rPr>
              <w:t>: Communication Plan</w:t>
            </w:r>
            <w:r w:rsidRPr="00C32758">
              <w:rPr>
                <w:noProof/>
                <w:webHidden/>
              </w:rPr>
              <w:tab/>
            </w:r>
            <w:r w:rsidRPr="00C32758">
              <w:rPr>
                <w:noProof/>
                <w:webHidden/>
              </w:rPr>
              <w:fldChar w:fldCharType="begin"/>
            </w:r>
            <w:r w:rsidRPr="00C32758">
              <w:rPr>
                <w:noProof/>
                <w:webHidden/>
              </w:rPr>
              <w:instrText xml:space="preserve"> PAGEREF _Toc222933166 \h </w:instrText>
            </w:r>
            <w:r w:rsidRPr="00C32758">
              <w:rPr>
                <w:noProof/>
                <w:webHidden/>
              </w:rPr>
            </w:r>
            <w:r w:rsidRPr="00C32758">
              <w:rPr>
                <w:noProof/>
                <w:webHidden/>
              </w:rPr>
              <w:fldChar w:fldCharType="separate"/>
            </w:r>
            <w:r w:rsidRPr="00C32758">
              <w:rPr>
                <w:noProof/>
                <w:webHidden/>
              </w:rPr>
              <w:t>9</w:t>
            </w:r>
            <w:r w:rsidRPr="00C32758">
              <w:rPr>
                <w:noProof/>
                <w:webHidden/>
              </w:rPr>
              <w:fldChar w:fldCharType="end"/>
            </w:r>
          </w:hyperlink>
        </w:p>
        <w:p w14:paraId="41BCB8D2" w14:textId="3E641B0B" w:rsidR="00C32758" w:rsidRPr="00C32758" w:rsidRDefault="00C32758">
          <w:pPr>
            <w:rPr>
              <w:b/>
              <w:bCs/>
              <w:noProof/>
              <w:sz w:val="28"/>
              <w:szCs w:val="28"/>
            </w:rPr>
          </w:pPr>
          <w:r>
            <w:rPr>
              <w:b/>
              <w:bCs/>
              <w:noProof/>
              <w:sz w:val="28"/>
              <w:szCs w:val="28"/>
            </w:rPr>
            <w:fldChar w:fldCharType="end"/>
          </w:r>
        </w:p>
        <w:p w14:paraId="70EF15A1" w14:textId="0F559989" w:rsidR="0023792E" w:rsidRDefault="00000000"/>
      </w:sdtContent>
    </w:sdt>
    <w:p w14:paraId="60F41DC7" w14:textId="4AB98E0F" w:rsidR="001E31E7" w:rsidRDefault="001E31E7" w:rsidP="004B4D68">
      <w:pPr>
        <w:spacing w:line="278" w:lineRule="auto"/>
        <w:jc w:val="center"/>
        <w:rPr>
          <w:rFonts w:eastAsiaTheme="majorEastAsia" w:cstheme="majorBidi"/>
          <w:b/>
          <w:sz w:val="36"/>
          <w:szCs w:val="36"/>
          <w:lang w:val="en-IN"/>
        </w:rPr>
      </w:pPr>
      <w:r>
        <w:rPr>
          <w:lang w:val="en-IN"/>
        </w:rPr>
        <w:br w:type="page"/>
      </w:r>
    </w:p>
    <w:p w14:paraId="7AD6CC9D" w14:textId="1B95E80E" w:rsidR="00D0113F" w:rsidRPr="00D0113F" w:rsidRDefault="00D0113F" w:rsidP="00387C8A">
      <w:pPr>
        <w:pStyle w:val="Heading1"/>
        <w:rPr>
          <w:lang w:val="en-IN"/>
        </w:rPr>
      </w:pPr>
      <w:bookmarkStart w:id="0" w:name="_Toc222992966"/>
      <w:r w:rsidRPr="00D0113F">
        <w:rPr>
          <w:lang w:val="en-IN"/>
        </w:rPr>
        <w:lastRenderedPageBreak/>
        <w:t>Element 1: Introduction</w:t>
      </w:r>
      <w:bookmarkEnd w:id="0"/>
    </w:p>
    <w:p w14:paraId="1D748DA9" w14:textId="77777777" w:rsidR="00D0113F" w:rsidRPr="00D0113F" w:rsidRDefault="00D0113F" w:rsidP="00387C8A">
      <w:pPr>
        <w:pStyle w:val="Heading2"/>
        <w:rPr>
          <w:lang w:val="en-IN"/>
        </w:rPr>
      </w:pPr>
      <w:bookmarkStart w:id="1" w:name="_Toc222992967"/>
      <w:r w:rsidRPr="00D0113F">
        <w:rPr>
          <w:lang w:val="en-IN"/>
        </w:rPr>
        <w:t>1.0 Introduction</w:t>
      </w:r>
      <w:bookmarkEnd w:id="1"/>
    </w:p>
    <w:p w14:paraId="33400F67" w14:textId="175D339A" w:rsidR="00086E15" w:rsidRPr="00086E15" w:rsidRDefault="00086E15" w:rsidP="00086E15">
      <w:pPr>
        <w:rPr>
          <w:lang w:val="en-IN"/>
        </w:rPr>
      </w:pPr>
      <w:r w:rsidRPr="00086E15">
        <w:rPr>
          <w:lang w:val="en-IN"/>
        </w:rPr>
        <w:t xml:space="preserve">Stakeholder engagement is an essential element of </w:t>
      </w:r>
      <w:r>
        <w:rPr>
          <w:lang w:val="en-IN"/>
        </w:rPr>
        <w:t>effective</w:t>
      </w:r>
      <w:r w:rsidRPr="00086E15">
        <w:rPr>
          <w:lang w:val="en-IN"/>
        </w:rPr>
        <w:t xml:space="preserve"> project management, especially in the context of the public sector and community-based projects. According to Freeman, stakeholders are individuals or groups </w:t>
      </w:r>
      <w:r w:rsidR="00CE2FB5">
        <w:rPr>
          <w:lang w:val="en-IN"/>
        </w:rPr>
        <w:t>who can influence or be influenced by an organisation's success in achieving its goals</w:t>
      </w:r>
      <w:r w:rsidR="00262733">
        <w:rPr>
          <w:lang w:val="en-IN"/>
        </w:rPr>
        <w:t xml:space="preserve"> (</w:t>
      </w:r>
      <w:r w:rsidR="00262733" w:rsidRPr="00262733">
        <w:rPr>
          <w:lang w:val="en-IN"/>
        </w:rPr>
        <w:t>Kivits</w:t>
      </w:r>
      <w:r w:rsidR="00262733">
        <w:rPr>
          <w:lang w:val="en-IN"/>
        </w:rPr>
        <w:t xml:space="preserve"> </w:t>
      </w:r>
      <w:r w:rsidR="00262733" w:rsidRPr="00262733">
        <w:rPr>
          <w:lang w:val="en-IN"/>
        </w:rPr>
        <w:t>and Sawang, 2021</w:t>
      </w:r>
      <w:r w:rsidR="00262733">
        <w:rPr>
          <w:lang w:val="en-IN"/>
        </w:rPr>
        <w:t>)</w:t>
      </w:r>
      <w:r w:rsidRPr="00086E15">
        <w:rPr>
          <w:lang w:val="en-IN"/>
        </w:rPr>
        <w:t>. Stakeholder management is important in the context of regeneration projects</w:t>
      </w:r>
      <w:r w:rsidR="00CE2FB5">
        <w:rPr>
          <w:lang w:val="en-IN"/>
        </w:rPr>
        <w:t>, as these projects directly affect the economic, social,</w:t>
      </w:r>
      <w:r w:rsidRPr="00086E15">
        <w:rPr>
          <w:lang w:val="en-IN"/>
        </w:rPr>
        <w:t xml:space="preserve"> and environmental status </w:t>
      </w:r>
      <w:r w:rsidR="006821E3">
        <w:rPr>
          <w:lang w:val="en-IN"/>
        </w:rPr>
        <w:t>of</w:t>
      </w:r>
      <w:r w:rsidRPr="00086E15">
        <w:rPr>
          <w:lang w:val="en-IN"/>
        </w:rPr>
        <w:t xml:space="preserve"> communities. Good involvement will guarantee transparency, inclusivity, collaboration and sustainability. On the other hand, lack of proper stakeholder management may lead to resistance, conflict, project delays and reputational loss</w:t>
      </w:r>
      <w:r w:rsidR="00536453">
        <w:rPr>
          <w:lang w:val="en-IN"/>
        </w:rPr>
        <w:t xml:space="preserve"> (</w:t>
      </w:r>
      <w:r w:rsidR="00B17622" w:rsidRPr="00B17622">
        <w:rPr>
          <w:lang w:val="en-IN"/>
        </w:rPr>
        <w:t>Mashali</w:t>
      </w:r>
      <w:r w:rsidR="00B17622">
        <w:rPr>
          <w:lang w:val="en-IN"/>
        </w:rPr>
        <w:t xml:space="preserve"> et al., </w:t>
      </w:r>
      <w:r w:rsidR="00B17622" w:rsidRPr="00B17622">
        <w:rPr>
          <w:lang w:val="en-IN"/>
        </w:rPr>
        <w:t>2023</w:t>
      </w:r>
      <w:r w:rsidR="00536453">
        <w:rPr>
          <w:lang w:val="en-IN"/>
        </w:rPr>
        <w:t>)</w:t>
      </w:r>
      <w:r w:rsidRPr="00086E15">
        <w:rPr>
          <w:lang w:val="en-IN"/>
        </w:rPr>
        <w:t>.</w:t>
      </w:r>
    </w:p>
    <w:p w14:paraId="3B9BB60A" w14:textId="07EBC550" w:rsidR="00086E15" w:rsidRPr="00086E15" w:rsidRDefault="00086E15" w:rsidP="00086E15">
      <w:pPr>
        <w:rPr>
          <w:lang w:val="en-IN"/>
        </w:rPr>
      </w:pPr>
      <w:r w:rsidRPr="00086E15">
        <w:rPr>
          <w:lang w:val="en-IN"/>
        </w:rPr>
        <w:t xml:space="preserve">In the local authorities, stakeholder engagement is very important in </w:t>
      </w:r>
      <w:r w:rsidR="006821E3">
        <w:rPr>
          <w:lang w:val="en-IN"/>
        </w:rPr>
        <w:t>harmonising</w:t>
      </w:r>
      <w:r w:rsidRPr="00086E15">
        <w:rPr>
          <w:lang w:val="en-IN"/>
        </w:rPr>
        <w:t xml:space="preserve"> various interests such as residents, businesses, investors, environmental groups and government bodies</w:t>
      </w:r>
      <w:r w:rsidR="001C5185">
        <w:rPr>
          <w:lang w:val="en-IN"/>
        </w:rPr>
        <w:t xml:space="preserve"> (</w:t>
      </w:r>
      <w:r w:rsidR="007047A6" w:rsidRPr="007047A6">
        <w:rPr>
          <w:lang w:val="en-IN"/>
        </w:rPr>
        <w:t>Sciulli</w:t>
      </w:r>
      <w:r w:rsidR="007047A6">
        <w:rPr>
          <w:lang w:val="en-IN"/>
        </w:rPr>
        <w:t xml:space="preserve"> </w:t>
      </w:r>
      <w:r w:rsidR="007047A6" w:rsidRPr="007047A6">
        <w:rPr>
          <w:lang w:val="en-IN"/>
        </w:rPr>
        <w:t>and Adhariani, 2023</w:t>
      </w:r>
      <w:r w:rsidR="001C5185">
        <w:rPr>
          <w:lang w:val="en-IN"/>
        </w:rPr>
        <w:t>)</w:t>
      </w:r>
      <w:r w:rsidRPr="00086E15">
        <w:rPr>
          <w:lang w:val="en-IN"/>
        </w:rPr>
        <w:t xml:space="preserve">. The use of systematic instruments like stakeholder mapping, the Power-Interest Matrix, consultation models and Corporate Social Responsibility (CSR) guidelines </w:t>
      </w:r>
      <w:r w:rsidR="006821E3">
        <w:rPr>
          <w:lang w:val="en-IN"/>
        </w:rPr>
        <w:t>aids</w:t>
      </w:r>
      <w:r w:rsidRPr="00086E15">
        <w:rPr>
          <w:lang w:val="en-IN"/>
        </w:rPr>
        <w:t xml:space="preserve"> in improved decision-making and community trust.</w:t>
      </w:r>
    </w:p>
    <w:p w14:paraId="5FA36C61" w14:textId="6A7D8AB2" w:rsidR="00086E15" w:rsidRPr="00086E15" w:rsidRDefault="00086E15" w:rsidP="00086E15">
      <w:pPr>
        <w:rPr>
          <w:lang w:val="en-IN"/>
        </w:rPr>
      </w:pPr>
      <w:r w:rsidRPr="00086E15">
        <w:rPr>
          <w:lang w:val="en-IN"/>
        </w:rPr>
        <w:t>The chosen project to include in this portfolio is the Telford Town Centre Regeneration Project</w:t>
      </w:r>
      <w:r w:rsidR="006821E3">
        <w:rPr>
          <w:lang w:val="en-IN"/>
        </w:rPr>
        <w:t>,</w:t>
      </w:r>
      <w:r w:rsidRPr="00086E15">
        <w:rPr>
          <w:lang w:val="en-IN"/>
        </w:rPr>
        <w:t xml:space="preserve"> which is headed by the Telford and Wrekin Council. This is a massive urban regeneration project that seeks to redevelop the town centre with residential development, commercial growth, public realm development and sustainable infrastructure investment. The project aims to make town-centre living more, spur economic development, bring in private capital and raise environmental sustainability.</w:t>
      </w:r>
    </w:p>
    <w:p w14:paraId="2651BAF5" w14:textId="2C7E5092" w:rsidR="00086E15" w:rsidRDefault="00086E15" w:rsidP="00086E15">
      <w:pPr>
        <w:rPr>
          <w:lang w:val="en-IN"/>
        </w:rPr>
      </w:pPr>
      <w:r w:rsidRPr="00086E15">
        <w:rPr>
          <w:lang w:val="en-IN"/>
        </w:rPr>
        <w:t xml:space="preserve">The project has several groups of stakeholders who have different degrees of power, interest, and influence due to its size and the effects it has on the community. This renders it a suitable case study to examine the stakeholder engagement strategies, ethical aspects, CSR duties and communication planning of a local authority in </w:t>
      </w:r>
      <w:r w:rsidR="00B17622">
        <w:rPr>
          <w:lang w:val="en-IN"/>
        </w:rPr>
        <w:t>a</w:t>
      </w:r>
      <w:r w:rsidRPr="00086E15">
        <w:rPr>
          <w:lang w:val="en-IN"/>
        </w:rPr>
        <w:t xml:space="preserve"> real local authority scenario.</w:t>
      </w:r>
    </w:p>
    <w:p w14:paraId="3078D321" w14:textId="5BF3780F" w:rsidR="00D0113F" w:rsidRDefault="00D0113F" w:rsidP="00086E15">
      <w:pPr>
        <w:spacing w:line="278" w:lineRule="auto"/>
        <w:jc w:val="left"/>
      </w:pPr>
      <w:r>
        <w:br w:type="page"/>
      </w:r>
    </w:p>
    <w:p w14:paraId="26B0CB58" w14:textId="5A8A244E" w:rsidR="00D0113F" w:rsidRPr="00D0113F" w:rsidRDefault="00D0113F" w:rsidP="00387C8A">
      <w:pPr>
        <w:pStyle w:val="Heading1"/>
        <w:rPr>
          <w:lang w:val="en-IN"/>
        </w:rPr>
      </w:pPr>
      <w:bookmarkStart w:id="2" w:name="_Toc222992968"/>
      <w:r w:rsidRPr="00D0113F">
        <w:rPr>
          <w:lang w:val="en-IN"/>
        </w:rPr>
        <w:lastRenderedPageBreak/>
        <w:t>Element 2: Depth of Analysis and Application</w:t>
      </w:r>
      <w:bookmarkEnd w:id="2"/>
      <w:r w:rsidRPr="00D0113F">
        <w:rPr>
          <w:lang w:val="en-IN"/>
        </w:rPr>
        <w:t xml:space="preserve"> </w:t>
      </w:r>
    </w:p>
    <w:p w14:paraId="6775B70C" w14:textId="77777777" w:rsidR="00D0113F" w:rsidRPr="00D0113F" w:rsidRDefault="00D0113F" w:rsidP="00387C8A">
      <w:pPr>
        <w:pStyle w:val="Heading2"/>
        <w:rPr>
          <w:lang w:val="en-IN"/>
        </w:rPr>
      </w:pPr>
      <w:bookmarkStart w:id="3" w:name="_Toc222992969"/>
      <w:r w:rsidRPr="00D0113F">
        <w:rPr>
          <w:lang w:val="en-IN"/>
        </w:rPr>
        <w:t>2.0 Introduction to Stakeholder Engagement in Regeneration Projects</w:t>
      </w:r>
      <w:bookmarkEnd w:id="3"/>
    </w:p>
    <w:p w14:paraId="5993F842" w14:textId="28BDBE7E" w:rsidR="00C873F8" w:rsidRDefault="00C873F8" w:rsidP="00C873F8">
      <w:pPr>
        <w:rPr>
          <w:lang w:val="en-IN"/>
        </w:rPr>
      </w:pPr>
      <w:r w:rsidRPr="00C873F8">
        <w:rPr>
          <w:lang w:val="en-IN"/>
        </w:rPr>
        <w:t xml:space="preserve">Stakeholder engagement is a systematic procedure where organisations recognise, examine and control people or groups that can impact or are impacted by the project results. According to </w:t>
      </w:r>
      <w:r w:rsidR="006A6423" w:rsidRPr="00027FA3">
        <w:rPr>
          <w:lang w:val="en-IN"/>
        </w:rPr>
        <w:t xml:space="preserve">Freeman, Dmytriyev, and Phillips </w:t>
      </w:r>
      <w:r w:rsidR="00027FA3">
        <w:rPr>
          <w:lang w:val="en-IN"/>
        </w:rPr>
        <w:t>(</w:t>
      </w:r>
      <w:r w:rsidR="006A6423" w:rsidRPr="00027FA3">
        <w:rPr>
          <w:lang w:val="en-IN"/>
        </w:rPr>
        <w:t>2021</w:t>
      </w:r>
      <w:r w:rsidR="00027FA3">
        <w:rPr>
          <w:lang w:val="en-IN"/>
        </w:rPr>
        <w:t>)</w:t>
      </w:r>
      <w:r w:rsidRPr="00C873F8">
        <w:rPr>
          <w:lang w:val="en-IN"/>
        </w:rPr>
        <w:t xml:space="preserve">, organisations should create value </w:t>
      </w:r>
      <w:r w:rsidR="00142224">
        <w:rPr>
          <w:lang w:val="en-IN"/>
        </w:rPr>
        <w:t>for</w:t>
      </w:r>
      <w:r w:rsidRPr="00C873F8">
        <w:rPr>
          <w:lang w:val="en-IN"/>
        </w:rPr>
        <w:t xml:space="preserve"> all their stakeholders instead of concentrating on financial returns. Stakeholder engagement is of special concern in the context of the regeneration projects in the public sector since the latter directly influence communities, economic stability, environmental sustainability and social cohesion.</w:t>
      </w:r>
    </w:p>
    <w:p w14:paraId="1C0CCDB1" w14:textId="77777777" w:rsidR="00F557C2" w:rsidRDefault="00F557C2" w:rsidP="00F557C2">
      <w:pPr>
        <w:keepNext/>
        <w:jc w:val="center"/>
      </w:pPr>
      <w:r>
        <w:rPr>
          <w:noProof/>
          <w:lang w:val="en-IN" w:eastAsia="en-IN" w:bidi="ar-SA"/>
        </w:rPr>
        <w:drawing>
          <wp:inline distT="0" distB="0" distL="0" distR="0" wp14:anchorId="1C6E898C" wp14:editId="0CB8923C">
            <wp:extent cx="4138930" cy="2823332"/>
            <wp:effectExtent l="0" t="0" r="0" b="0"/>
            <wp:docPr id="1094935515" name="Picture 1" descr="An aerial CGI of how the Station Quarter will 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aerial CGI of how the Station Quarter will loo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4080" cy="2826845"/>
                    </a:xfrm>
                    <a:prstGeom prst="rect">
                      <a:avLst/>
                    </a:prstGeom>
                    <a:noFill/>
                    <a:ln>
                      <a:noFill/>
                    </a:ln>
                  </pic:spPr>
                </pic:pic>
              </a:graphicData>
            </a:graphic>
          </wp:inline>
        </w:drawing>
      </w:r>
    </w:p>
    <w:p w14:paraId="55F88488" w14:textId="092D3497" w:rsidR="00F557C2" w:rsidRDefault="00F557C2" w:rsidP="00F557C2">
      <w:pPr>
        <w:pStyle w:val="Caption"/>
        <w:jc w:val="center"/>
        <w:rPr>
          <w:color w:val="0D0D0D" w:themeColor="text1" w:themeTint="F2"/>
          <w:sz w:val="20"/>
          <w:szCs w:val="18"/>
          <w:lang w:val="en-IN"/>
        </w:rPr>
      </w:pPr>
      <w:bookmarkStart w:id="4" w:name="_Toc222992946"/>
      <w:r w:rsidRPr="00F557C2">
        <w:rPr>
          <w:color w:val="0D0D0D" w:themeColor="text1" w:themeTint="F2"/>
          <w:sz w:val="20"/>
          <w:szCs w:val="18"/>
        </w:rPr>
        <w:t xml:space="preserve">Figure </w:t>
      </w:r>
      <w:r w:rsidRPr="00F557C2">
        <w:rPr>
          <w:color w:val="0D0D0D" w:themeColor="text1" w:themeTint="F2"/>
          <w:sz w:val="20"/>
          <w:szCs w:val="18"/>
        </w:rPr>
        <w:fldChar w:fldCharType="begin"/>
      </w:r>
      <w:r w:rsidRPr="00F557C2">
        <w:rPr>
          <w:color w:val="0D0D0D" w:themeColor="text1" w:themeTint="F2"/>
          <w:sz w:val="20"/>
          <w:szCs w:val="18"/>
        </w:rPr>
        <w:instrText xml:space="preserve"> SEQ Figure \* ARABIC </w:instrText>
      </w:r>
      <w:r w:rsidRPr="00F557C2">
        <w:rPr>
          <w:color w:val="0D0D0D" w:themeColor="text1" w:themeTint="F2"/>
          <w:sz w:val="20"/>
          <w:szCs w:val="18"/>
        </w:rPr>
        <w:fldChar w:fldCharType="separate"/>
      </w:r>
      <w:r w:rsidR="005219BB">
        <w:rPr>
          <w:noProof/>
          <w:color w:val="0D0D0D" w:themeColor="text1" w:themeTint="F2"/>
          <w:sz w:val="20"/>
          <w:szCs w:val="18"/>
        </w:rPr>
        <w:t>1</w:t>
      </w:r>
      <w:r w:rsidRPr="00F557C2">
        <w:rPr>
          <w:color w:val="0D0D0D" w:themeColor="text1" w:themeTint="F2"/>
          <w:sz w:val="20"/>
          <w:szCs w:val="18"/>
        </w:rPr>
        <w:fldChar w:fldCharType="end"/>
      </w:r>
      <w:r w:rsidRPr="00F557C2">
        <w:rPr>
          <w:color w:val="0D0D0D" w:themeColor="text1" w:themeTint="F2"/>
          <w:sz w:val="20"/>
          <w:szCs w:val="18"/>
          <w:lang w:val="en-IN"/>
        </w:rPr>
        <w:t>: Telford Town Centre Regeneration Project</w:t>
      </w:r>
      <w:bookmarkEnd w:id="4"/>
      <w:r w:rsidRPr="00F557C2">
        <w:rPr>
          <w:color w:val="0D0D0D" w:themeColor="text1" w:themeTint="F2"/>
          <w:sz w:val="20"/>
          <w:szCs w:val="18"/>
          <w:lang w:val="en-IN"/>
        </w:rPr>
        <w:t xml:space="preserve"> </w:t>
      </w:r>
    </w:p>
    <w:p w14:paraId="5EC89D16" w14:textId="439A163A" w:rsidR="00F557C2" w:rsidRPr="00F557C2" w:rsidRDefault="00F557C2" w:rsidP="00F557C2">
      <w:pPr>
        <w:pStyle w:val="Caption"/>
        <w:jc w:val="center"/>
        <w:rPr>
          <w:color w:val="0D0D0D" w:themeColor="text1" w:themeTint="F2"/>
          <w:sz w:val="20"/>
          <w:szCs w:val="18"/>
          <w:lang w:val="en-IN"/>
        </w:rPr>
      </w:pPr>
      <w:r w:rsidRPr="00F557C2">
        <w:rPr>
          <w:color w:val="0D0D0D" w:themeColor="text1" w:themeTint="F2"/>
          <w:sz w:val="20"/>
          <w:szCs w:val="18"/>
          <w:lang w:val="en-IN"/>
        </w:rPr>
        <w:t>Source: (Shropshire Live, 2023</w:t>
      </w:r>
      <w:r w:rsidR="00264FA6">
        <w:rPr>
          <w:color w:val="0D0D0D" w:themeColor="text1" w:themeTint="F2"/>
          <w:sz w:val="20"/>
          <w:szCs w:val="18"/>
          <w:lang w:val="en-IN"/>
        </w:rPr>
        <w:t>)</w:t>
      </w:r>
      <w:r w:rsidRPr="00F557C2">
        <w:rPr>
          <w:color w:val="0D0D0D" w:themeColor="text1" w:themeTint="F2"/>
          <w:sz w:val="20"/>
          <w:szCs w:val="18"/>
          <w:lang w:val="en-IN"/>
        </w:rPr>
        <w:t>)</w:t>
      </w:r>
    </w:p>
    <w:p w14:paraId="2C332C75" w14:textId="72E0F85C" w:rsidR="00C873F8" w:rsidRDefault="00142224" w:rsidP="00C873F8">
      <w:pPr>
        <w:rPr>
          <w:b/>
          <w:lang w:val="en-IN"/>
        </w:rPr>
      </w:pPr>
      <w:r>
        <w:rPr>
          <w:lang w:val="en-IN"/>
        </w:rPr>
        <w:t xml:space="preserve">The </w:t>
      </w:r>
      <w:r w:rsidR="00C873F8" w:rsidRPr="00C873F8">
        <w:rPr>
          <w:lang w:val="en-IN"/>
        </w:rPr>
        <w:t xml:space="preserve">Telford Town Centre Regeneration Project is a significant urban regeneration project by Telford and Wrekin Council. The programme </w:t>
      </w:r>
      <w:r>
        <w:rPr>
          <w:lang w:val="en-IN"/>
        </w:rPr>
        <w:t>comprises</w:t>
      </w:r>
      <w:r w:rsidR="00C873F8" w:rsidRPr="00C873F8">
        <w:rPr>
          <w:lang w:val="en-IN"/>
        </w:rPr>
        <w:t xml:space="preserve"> Station Quarter investment, residential development, public realm and infrastructure upgrades. The level of investment in core regeneration schemes is reported to be over £150 million by the public</w:t>
      </w:r>
      <w:r>
        <w:rPr>
          <w:lang w:val="en-IN"/>
        </w:rPr>
        <w:t>,</w:t>
      </w:r>
      <w:r w:rsidR="00C873F8" w:rsidRPr="00C873F8">
        <w:rPr>
          <w:lang w:val="en-IN"/>
        </w:rPr>
        <w:t xml:space="preserve"> with wider transformation funding throughout the borough estimated to be about £250 million. Also, according to the Census 2021, the population of Telford and Wrekin grew more than 11</w:t>
      </w:r>
      <w:r w:rsidR="00A9286E">
        <w:rPr>
          <w:lang w:val="en-IN"/>
        </w:rPr>
        <w:t>%</w:t>
      </w:r>
      <w:r w:rsidR="00C873F8" w:rsidRPr="00C873F8">
        <w:rPr>
          <w:lang w:val="en-IN"/>
        </w:rPr>
        <w:t xml:space="preserve"> between 2011 and 2021 to around 185,500 people</w:t>
      </w:r>
      <w:r w:rsidR="00427C75">
        <w:rPr>
          <w:lang w:val="en-IN"/>
        </w:rPr>
        <w:t xml:space="preserve"> (</w:t>
      </w:r>
      <w:r w:rsidR="00427C75" w:rsidRPr="00427C75">
        <w:rPr>
          <w:lang w:val="en-IN"/>
        </w:rPr>
        <w:t xml:space="preserve">Telford </w:t>
      </w:r>
      <w:r w:rsidR="00427C75">
        <w:rPr>
          <w:lang w:val="en-IN"/>
        </w:rPr>
        <w:t>and</w:t>
      </w:r>
      <w:r w:rsidR="00427C75" w:rsidRPr="00427C75">
        <w:rPr>
          <w:lang w:val="en-IN"/>
        </w:rPr>
        <w:t xml:space="preserve"> Wrekin Council</w:t>
      </w:r>
      <w:r w:rsidR="00427C75">
        <w:rPr>
          <w:lang w:val="en-IN"/>
        </w:rPr>
        <w:t xml:space="preserve">, </w:t>
      </w:r>
      <w:r w:rsidR="00427C75" w:rsidRPr="00427C75">
        <w:rPr>
          <w:lang w:val="en-IN"/>
        </w:rPr>
        <w:t>2023</w:t>
      </w:r>
      <w:r w:rsidR="00427C75">
        <w:rPr>
          <w:lang w:val="en-IN"/>
        </w:rPr>
        <w:t>)</w:t>
      </w:r>
      <w:r w:rsidR="00C873F8" w:rsidRPr="00C873F8">
        <w:rPr>
          <w:lang w:val="en-IN"/>
        </w:rPr>
        <w:t xml:space="preserve">. This expansion increases the demand </w:t>
      </w:r>
      <w:r>
        <w:rPr>
          <w:lang w:val="en-IN"/>
        </w:rPr>
        <w:t>for</w:t>
      </w:r>
      <w:r w:rsidR="00C873F8" w:rsidRPr="00C873F8">
        <w:rPr>
          <w:lang w:val="en-IN"/>
        </w:rPr>
        <w:t xml:space="preserve"> housing, employment and sustainable infrastructure, thus adding to the significance of efficient stakeholder engagement.</w:t>
      </w:r>
    </w:p>
    <w:p w14:paraId="41C1263E" w14:textId="4935B37A" w:rsidR="00D0113F" w:rsidRPr="00D0113F" w:rsidRDefault="00D0113F" w:rsidP="00C873F8">
      <w:pPr>
        <w:pStyle w:val="Heading2"/>
        <w:rPr>
          <w:lang w:val="en-IN"/>
        </w:rPr>
      </w:pPr>
      <w:bookmarkStart w:id="5" w:name="_Toc222992970"/>
      <w:r w:rsidRPr="00D0113F">
        <w:rPr>
          <w:lang w:val="en-IN"/>
        </w:rPr>
        <w:lastRenderedPageBreak/>
        <w:t>2.1 Stakeholder Identification</w:t>
      </w:r>
      <w:bookmarkEnd w:id="5"/>
    </w:p>
    <w:p w14:paraId="6EAB9E9D" w14:textId="5C79761C" w:rsidR="00634310" w:rsidRDefault="00634310" w:rsidP="00634310">
      <w:pPr>
        <w:rPr>
          <w:lang w:val="en-IN"/>
        </w:rPr>
      </w:pPr>
      <w:r w:rsidRPr="00634310">
        <w:rPr>
          <w:lang w:val="en-IN"/>
        </w:rPr>
        <w:t>Stakeholder identification entails the identification of all groups that can be affected or affect the project (</w:t>
      </w:r>
      <w:r w:rsidR="00B63121" w:rsidRPr="00B63121">
        <w:rPr>
          <w:lang w:val="en-IN"/>
        </w:rPr>
        <w:t>Wood</w:t>
      </w:r>
      <w:r w:rsidR="00B63121">
        <w:rPr>
          <w:lang w:val="en-IN"/>
        </w:rPr>
        <w:t xml:space="preserve"> et al., </w:t>
      </w:r>
      <w:r w:rsidR="00B63121" w:rsidRPr="00B63121">
        <w:rPr>
          <w:lang w:val="en-IN"/>
        </w:rPr>
        <w:t>2021</w:t>
      </w:r>
      <w:r w:rsidRPr="00634310">
        <w:rPr>
          <w:lang w:val="en-IN"/>
        </w:rPr>
        <w:t xml:space="preserve">). In the case of </w:t>
      </w:r>
      <w:r w:rsidR="00142224">
        <w:rPr>
          <w:lang w:val="en-IN"/>
        </w:rPr>
        <w:t xml:space="preserve">the </w:t>
      </w:r>
      <w:r w:rsidRPr="00634310">
        <w:rPr>
          <w:lang w:val="en-IN"/>
        </w:rPr>
        <w:t>Telford regeneration initiative, the stakeholders can be divided into primary and secondary ones.</w:t>
      </w:r>
    </w:p>
    <w:p w14:paraId="4ED0EFDA" w14:textId="51135B8A" w:rsidR="00D0113F" w:rsidRPr="00D0113F" w:rsidRDefault="00D0113F" w:rsidP="00D0113F">
      <w:pPr>
        <w:rPr>
          <w:b/>
          <w:bCs/>
          <w:lang w:val="en-IN"/>
        </w:rPr>
      </w:pPr>
      <w:r w:rsidRPr="00D0113F">
        <w:rPr>
          <w:b/>
          <w:bCs/>
          <w:lang w:val="en-IN"/>
        </w:rPr>
        <w:t>Primary Stakeholders</w:t>
      </w:r>
    </w:p>
    <w:p w14:paraId="408E709C" w14:textId="77777777" w:rsidR="00D0113F" w:rsidRDefault="00D0113F" w:rsidP="00D0113F">
      <w:pPr>
        <w:rPr>
          <w:lang w:val="en-IN"/>
        </w:rPr>
      </w:pPr>
      <w:r w:rsidRPr="00D0113F">
        <w:rPr>
          <w:lang w:val="en-IN"/>
        </w:rPr>
        <w:t>Primary stakeholders are directly involved in decision-making or directly affected by outcomes:</w:t>
      </w:r>
    </w:p>
    <w:p w14:paraId="23D02068" w14:textId="539528AA" w:rsidR="00E64588" w:rsidRDefault="00E64588" w:rsidP="00E64588">
      <w:pPr>
        <w:pStyle w:val="Caption"/>
        <w:keepNext/>
        <w:rPr>
          <w:color w:val="0D0D0D" w:themeColor="text1" w:themeTint="F2"/>
          <w:sz w:val="20"/>
          <w:szCs w:val="18"/>
          <w:lang w:val="en-IN"/>
        </w:rPr>
      </w:pPr>
      <w:bookmarkStart w:id="6" w:name="_Toc222933164"/>
      <w:r w:rsidRPr="00E64588">
        <w:rPr>
          <w:color w:val="0D0D0D" w:themeColor="text1" w:themeTint="F2"/>
          <w:sz w:val="20"/>
          <w:szCs w:val="18"/>
        </w:rPr>
        <w:t xml:space="preserve">Table </w:t>
      </w:r>
      <w:r w:rsidRPr="00E64588">
        <w:rPr>
          <w:color w:val="0D0D0D" w:themeColor="text1" w:themeTint="F2"/>
          <w:sz w:val="20"/>
          <w:szCs w:val="18"/>
        </w:rPr>
        <w:fldChar w:fldCharType="begin"/>
      </w:r>
      <w:r w:rsidRPr="00E64588">
        <w:rPr>
          <w:color w:val="0D0D0D" w:themeColor="text1" w:themeTint="F2"/>
          <w:sz w:val="20"/>
          <w:szCs w:val="18"/>
        </w:rPr>
        <w:instrText xml:space="preserve"> SEQ Table \* ARABIC </w:instrText>
      </w:r>
      <w:r w:rsidRPr="00E64588">
        <w:rPr>
          <w:color w:val="0D0D0D" w:themeColor="text1" w:themeTint="F2"/>
          <w:sz w:val="20"/>
          <w:szCs w:val="18"/>
        </w:rPr>
        <w:fldChar w:fldCharType="separate"/>
      </w:r>
      <w:r w:rsidR="00907575">
        <w:rPr>
          <w:noProof/>
          <w:color w:val="0D0D0D" w:themeColor="text1" w:themeTint="F2"/>
          <w:sz w:val="20"/>
          <w:szCs w:val="18"/>
        </w:rPr>
        <w:t>1</w:t>
      </w:r>
      <w:r w:rsidRPr="00E64588">
        <w:rPr>
          <w:color w:val="0D0D0D" w:themeColor="text1" w:themeTint="F2"/>
          <w:sz w:val="20"/>
          <w:szCs w:val="18"/>
        </w:rPr>
        <w:fldChar w:fldCharType="end"/>
      </w:r>
      <w:r w:rsidRPr="00E64588">
        <w:rPr>
          <w:color w:val="0D0D0D" w:themeColor="text1" w:themeTint="F2"/>
          <w:sz w:val="20"/>
          <w:szCs w:val="18"/>
          <w:lang w:val="en-IN"/>
        </w:rPr>
        <w:t xml:space="preserve">: </w:t>
      </w:r>
      <w:r>
        <w:rPr>
          <w:color w:val="0D0D0D" w:themeColor="text1" w:themeTint="F2"/>
          <w:sz w:val="20"/>
          <w:szCs w:val="18"/>
          <w:lang w:val="en-IN"/>
        </w:rPr>
        <w:t>P</w:t>
      </w:r>
      <w:r w:rsidRPr="00E64588">
        <w:rPr>
          <w:color w:val="0D0D0D" w:themeColor="text1" w:themeTint="F2"/>
          <w:sz w:val="20"/>
          <w:szCs w:val="18"/>
          <w:lang w:val="en-IN"/>
        </w:rPr>
        <w:t xml:space="preserve">rimary </w:t>
      </w:r>
      <w:r>
        <w:rPr>
          <w:color w:val="0D0D0D" w:themeColor="text1" w:themeTint="F2"/>
          <w:sz w:val="20"/>
          <w:szCs w:val="18"/>
          <w:lang w:val="en-IN"/>
        </w:rPr>
        <w:t>S</w:t>
      </w:r>
      <w:r w:rsidRPr="00E64588">
        <w:rPr>
          <w:color w:val="0D0D0D" w:themeColor="text1" w:themeTint="F2"/>
          <w:sz w:val="20"/>
          <w:szCs w:val="18"/>
          <w:lang w:val="en-IN"/>
        </w:rPr>
        <w:t>takeholders</w:t>
      </w:r>
      <w:bookmarkEnd w:id="6"/>
      <w:r w:rsidRPr="00E64588">
        <w:rPr>
          <w:color w:val="0D0D0D" w:themeColor="text1" w:themeTint="F2"/>
          <w:sz w:val="20"/>
          <w:szCs w:val="18"/>
          <w:lang w:val="en-IN"/>
        </w:rPr>
        <w:t xml:space="preserve"> </w:t>
      </w:r>
    </w:p>
    <w:p w14:paraId="2F21EAF8" w14:textId="18D44E64" w:rsidR="00E64588" w:rsidRPr="00E64588" w:rsidRDefault="00E64588" w:rsidP="00E64588">
      <w:pPr>
        <w:pStyle w:val="Caption"/>
        <w:keepNext/>
        <w:rPr>
          <w:color w:val="0D0D0D" w:themeColor="text1" w:themeTint="F2"/>
          <w:sz w:val="20"/>
          <w:szCs w:val="18"/>
        </w:rPr>
      </w:pPr>
      <w:r w:rsidRPr="00E64588">
        <w:rPr>
          <w:color w:val="0D0D0D" w:themeColor="text1" w:themeTint="F2"/>
          <w:sz w:val="20"/>
          <w:szCs w:val="18"/>
          <w:lang w:val="en-IN"/>
        </w:rPr>
        <w:t>Source: (Author, 2026)</w:t>
      </w:r>
    </w:p>
    <w:tbl>
      <w:tblPr>
        <w:tblStyle w:val="TableGrid"/>
        <w:tblW w:w="0" w:type="auto"/>
        <w:tblLook w:val="04A0" w:firstRow="1" w:lastRow="0" w:firstColumn="1" w:lastColumn="0" w:noHBand="0" w:noVBand="1"/>
      </w:tblPr>
      <w:tblGrid>
        <w:gridCol w:w="4508"/>
        <w:gridCol w:w="4508"/>
      </w:tblGrid>
      <w:tr w:rsidR="00493E37" w14:paraId="28C34905" w14:textId="77777777" w:rsidTr="00493E37">
        <w:tc>
          <w:tcPr>
            <w:tcW w:w="4508" w:type="dxa"/>
          </w:tcPr>
          <w:p w14:paraId="18C4B505" w14:textId="5CD29561" w:rsidR="00493E37" w:rsidRDefault="00493E37" w:rsidP="00D0113F">
            <w:pPr>
              <w:rPr>
                <w:lang w:val="en-IN"/>
              </w:rPr>
            </w:pPr>
            <w:r w:rsidRPr="00D0113F">
              <w:rPr>
                <w:b/>
                <w:bCs/>
                <w:lang w:val="en-IN"/>
              </w:rPr>
              <w:t>Telford &amp; Wrekin Council</w:t>
            </w:r>
            <w:r w:rsidRPr="00D0113F">
              <w:rPr>
                <w:lang w:val="en-IN"/>
              </w:rPr>
              <w:t xml:space="preserve"> </w:t>
            </w:r>
          </w:p>
        </w:tc>
        <w:tc>
          <w:tcPr>
            <w:tcW w:w="4508" w:type="dxa"/>
          </w:tcPr>
          <w:p w14:paraId="4D614C92" w14:textId="6A9C9BF8" w:rsidR="00493E37" w:rsidRDefault="00493E37" w:rsidP="00D0113F">
            <w:pPr>
              <w:rPr>
                <w:lang w:val="en-IN"/>
              </w:rPr>
            </w:pPr>
            <w:r w:rsidRPr="00D0113F">
              <w:rPr>
                <w:lang w:val="en-IN"/>
              </w:rPr>
              <w:t>Project owner and decision-making authority</w:t>
            </w:r>
          </w:p>
        </w:tc>
      </w:tr>
      <w:tr w:rsidR="00493E37" w14:paraId="032AC07D" w14:textId="77777777" w:rsidTr="00493E37">
        <w:tc>
          <w:tcPr>
            <w:tcW w:w="4508" w:type="dxa"/>
          </w:tcPr>
          <w:p w14:paraId="66D4FF55" w14:textId="7BE6E1ED" w:rsidR="00493E37" w:rsidRDefault="00493E37" w:rsidP="00D0113F">
            <w:pPr>
              <w:rPr>
                <w:lang w:val="en-IN"/>
              </w:rPr>
            </w:pPr>
            <w:r w:rsidRPr="00D0113F">
              <w:rPr>
                <w:b/>
                <w:bCs/>
                <w:lang w:val="en-IN"/>
              </w:rPr>
              <w:t>Private Developers and Contractors</w:t>
            </w:r>
            <w:r w:rsidRPr="00D0113F">
              <w:rPr>
                <w:lang w:val="en-IN"/>
              </w:rPr>
              <w:t xml:space="preserve"> </w:t>
            </w:r>
          </w:p>
        </w:tc>
        <w:tc>
          <w:tcPr>
            <w:tcW w:w="4508" w:type="dxa"/>
          </w:tcPr>
          <w:p w14:paraId="14545AC4" w14:textId="4D2F2AA0" w:rsidR="00493E37" w:rsidRDefault="00493E37" w:rsidP="00D0113F">
            <w:pPr>
              <w:rPr>
                <w:lang w:val="en-IN"/>
              </w:rPr>
            </w:pPr>
            <w:r w:rsidRPr="00D0113F">
              <w:rPr>
                <w:lang w:val="en-IN"/>
              </w:rPr>
              <w:t>Responsible for construction and financial investment</w:t>
            </w:r>
          </w:p>
        </w:tc>
      </w:tr>
      <w:tr w:rsidR="00493E37" w14:paraId="5A638EA5" w14:textId="77777777" w:rsidTr="00493E37">
        <w:tc>
          <w:tcPr>
            <w:tcW w:w="4508" w:type="dxa"/>
          </w:tcPr>
          <w:p w14:paraId="1A272021" w14:textId="1F0FC467" w:rsidR="00493E37" w:rsidRDefault="00493E37" w:rsidP="00D0113F">
            <w:pPr>
              <w:rPr>
                <w:lang w:val="en-IN"/>
              </w:rPr>
            </w:pPr>
            <w:r w:rsidRPr="00D0113F">
              <w:rPr>
                <w:b/>
                <w:bCs/>
                <w:lang w:val="en-IN"/>
              </w:rPr>
              <w:t>Local Residents</w:t>
            </w:r>
            <w:r w:rsidRPr="00D0113F">
              <w:rPr>
                <w:lang w:val="en-IN"/>
              </w:rPr>
              <w:t xml:space="preserve"> </w:t>
            </w:r>
          </w:p>
        </w:tc>
        <w:tc>
          <w:tcPr>
            <w:tcW w:w="4508" w:type="dxa"/>
          </w:tcPr>
          <w:p w14:paraId="6A08459D" w14:textId="3BA85404" w:rsidR="00493E37" w:rsidRDefault="00493E37" w:rsidP="00D0113F">
            <w:pPr>
              <w:rPr>
                <w:lang w:val="en-IN"/>
              </w:rPr>
            </w:pPr>
            <w:r w:rsidRPr="00D0113F">
              <w:rPr>
                <w:lang w:val="en-IN"/>
              </w:rPr>
              <w:t>Directly affected by housing, traffic, noise and environmental changes</w:t>
            </w:r>
            <w:r w:rsidR="00142224">
              <w:rPr>
                <w:lang w:val="en-IN"/>
              </w:rPr>
              <w:t>.</w:t>
            </w:r>
          </w:p>
        </w:tc>
      </w:tr>
      <w:tr w:rsidR="00493E37" w14:paraId="192DC2D7" w14:textId="77777777" w:rsidTr="00493E37">
        <w:tc>
          <w:tcPr>
            <w:tcW w:w="4508" w:type="dxa"/>
          </w:tcPr>
          <w:p w14:paraId="38643E63" w14:textId="2252DAD9" w:rsidR="00493E37" w:rsidRDefault="00493E37" w:rsidP="00D0113F">
            <w:pPr>
              <w:rPr>
                <w:lang w:val="en-IN"/>
              </w:rPr>
            </w:pPr>
            <w:r w:rsidRPr="00D0113F">
              <w:rPr>
                <w:b/>
                <w:bCs/>
                <w:lang w:val="en-IN"/>
              </w:rPr>
              <w:t>Local Businesses</w:t>
            </w:r>
          </w:p>
        </w:tc>
        <w:tc>
          <w:tcPr>
            <w:tcW w:w="4508" w:type="dxa"/>
          </w:tcPr>
          <w:p w14:paraId="78BA2BC3" w14:textId="03956580" w:rsidR="00493E37" w:rsidRDefault="00493E37" w:rsidP="00D0113F">
            <w:pPr>
              <w:rPr>
                <w:lang w:val="en-IN"/>
              </w:rPr>
            </w:pPr>
            <w:r w:rsidRPr="00D0113F">
              <w:rPr>
                <w:lang w:val="en-IN"/>
              </w:rPr>
              <w:t>Impacted by construction disruption and future economic benefits</w:t>
            </w:r>
          </w:p>
        </w:tc>
      </w:tr>
      <w:tr w:rsidR="00493E37" w14:paraId="148F626F" w14:textId="77777777" w:rsidTr="00493E37">
        <w:tc>
          <w:tcPr>
            <w:tcW w:w="4508" w:type="dxa"/>
          </w:tcPr>
          <w:p w14:paraId="0B987445" w14:textId="1A5F7E33" w:rsidR="00493E37" w:rsidRDefault="00493E37" w:rsidP="00D0113F">
            <w:pPr>
              <w:rPr>
                <w:lang w:val="en-IN"/>
              </w:rPr>
            </w:pPr>
            <w:r w:rsidRPr="00D0113F">
              <w:rPr>
                <w:b/>
                <w:bCs/>
                <w:lang w:val="en-IN"/>
              </w:rPr>
              <w:t>Funding Bodies (e.g., Towns Fund, Homes England)</w:t>
            </w:r>
            <w:r w:rsidRPr="00D0113F">
              <w:rPr>
                <w:lang w:val="en-IN"/>
              </w:rPr>
              <w:t xml:space="preserve"> </w:t>
            </w:r>
          </w:p>
        </w:tc>
        <w:tc>
          <w:tcPr>
            <w:tcW w:w="4508" w:type="dxa"/>
          </w:tcPr>
          <w:p w14:paraId="72B13D73" w14:textId="07FC3BBD" w:rsidR="00493E37" w:rsidRDefault="00493E37" w:rsidP="00D0113F">
            <w:pPr>
              <w:rPr>
                <w:lang w:val="en-IN"/>
              </w:rPr>
            </w:pPr>
            <w:r w:rsidRPr="00D0113F">
              <w:rPr>
                <w:lang w:val="en-IN"/>
              </w:rPr>
              <w:t>Provide financial resources and accountability requirements.</w:t>
            </w:r>
          </w:p>
        </w:tc>
      </w:tr>
    </w:tbl>
    <w:p w14:paraId="5B7D9CBB" w14:textId="77777777" w:rsidR="00907490" w:rsidRDefault="00907490" w:rsidP="00D0113F">
      <w:pPr>
        <w:rPr>
          <w:b/>
          <w:bCs/>
          <w:lang w:val="en-IN"/>
        </w:rPr>
      </w:pPr>
    </w:p>
    <w:p w14:paraId="3C843ADD" w14:textId="5902CCF4" w:rsidR="00D0113F" w:rsidRPr="00D0113F" w:rsidRDefault="00D0113F" w:rsidP="00D0113F">
      <w:pPr>
        <w:rPr>
          <w:b/>
          <w:bCs/>
          <w:lang w:val="en-IN"/>
        </w:rPr>
      </w:pPr>
      <w:r w:rsidRPr="00D0113F">
        <w:rPr>
          <w:b/>
          <w:bCs/>
          <w:lang w:val="en-IN"/>
        </w:rPr>
        <w:t>Secondary Stakeholders</w:t>
      </w:r>
    </w:p>
    <w:p w14:paraId="606A4A71" w14:textId="0F90545A" w:rsidR="002E0356" w:rsidRDefault="00BC491F" w:rsidP="002E0356">
      <w:pPr>
        <w:rPr>
          <w:b/>
          <w:lang w:val="en-IN"/>
        </w:rPr>
      </w:pPr>
      <w:r>
        <w:t>Secondary stakeholders</w:t>
      </w:r>
      <w:r w:rsidR="002E0356" w:rsidRPr="002E0356">
        <w:rPr>
          <w:lang w:val="en-IN"/>
        </w:rPr>
        <w:t xml:space="preserve"> but with </w:t>
      </w:r>
      <w:r w:rsidR="00BE767E">
        <w:rPr>
          <w:lang w:val="en-IN"/>
        </w:rPr>
        <w:t xml:space="preserve">influential </w:t>
      </w:r>
      <w:r w:rsidR="002E0356" w:rsidRPr="002E0356">
        <w:rPr>
          <w:lang w:val="en-IN"/>
        </w:rPr>
        <w:t>power are the Environmental groups, Transport authorities (e.g., Network Rail), Educational institutions, Media organisations, and Community associations and NGOs. The identification of these stakeholders will make sure that no major group is left out</w:t>
      </w:r>
      <w:r w:rsidR="00142224">
        <w:rPr>
          <w:lang w:val="en-IN"/>
        </w:rPr>
        <w:t>,</w:t>
      </w:r>
      <w:r w:rsidR="002E0356" w:rsidRPr="002E0356">
        <w:rPr>
          <w:lang w:val="en-IN"/>
        </w:rPr>
        <w:t xml:space="preserve"> and this is in line with the concept of inclusivity and participatory governance</w:t>
      </w:r>
      <w:r w:rsidR="008B2566">
        <w:rPr>
          <w:lang w:val="en-IN"/>
        </w:rPr>
        <w:t xml:space="preserve"> (</w:t>
      </w:r>
      <w:r w:rsidR="008B2566" w:rsidRPr="008B2566">
        <w:rPr>
          <w:lang w:val="en-IN"/>
        </w:rPr>
        <w:t>Hodson, Svanda, and Dadashi, 2023</w:t>
      </w:r>
      <w:r w:rsidR="008B2566">
        <w:rPr>
          <w:lang w:val="en-IN"/>
        </w:rPr>
        <w:t>)</w:t>
      </w:r>
      <w:r w:rsidR="002E0356" w:rsidRPr="002E0356">
        <w:rPr>
          <w:lang w:val="en-IN"/>
        </w:rPr>
        <w:t>.</w:t>
      </w:r>
    </w:p>
    <w:p w14:paraId="2E535D08" w14:textId="05992D44" w:rsidR="00D0113F" w:rsidRPr="00D0113F" w:rsidRDefault="00D0113F" w:rsidP="00387C8A">
      <w:pPr>
        <w:pStyle w:val="Heading2"/>
        <w:rPr>
          <w:lang w:val="en-IN"/>
        </w:rPr>
      </w:pPr>
      <w:bookmarkStart w:id="7" w:name="_Toc222992971"/>
      <w:r w:rsidRPr="00D0113F">
        <w:rPr>
          <w:lang w:val="en-IN"/>
        </w:rPr>
        <w:t>2.2 Power–Interest Matrix Analysis</w:t>
      </w:r>
      <w:bookmarkEnd w:id="7"/>
    </w:p>
    <w:p w14:paraId="4F24C470" w14:textId="4BFF2591" w:rsidR="00D0113F" w:rsidRDefault="00D0113F" w:rsidP="00D0113F">
      <w:pPr>
        <w:rPr>
          <w:lang w:val="en-IN"/>
        </w:rPr>
      </w:pPr>
      <w:r w:rsidRPr="00D0113F">
        <w:rPr>
          <w:lang w:val="en-IN"/>
        </w:rPr>
        <w:t>The Power–Interest Matrix is used to prioritise stakeholder engagement strategies</w:t>
      </w:r>
      <w:r w:rsidR="00D25A5A">
        <w:rPr>
          <w:lang w:val="en-IN"/>
        </w:rPr>
        <w:t xml:space="preserve"> (</w:t>
      </w:r>
      <w:r w:rsidR="00D25A5A" w:rsidRPr="00D25A5A">
        <w:rPr>
          <w:lang w:val="en-IN"/>
        </w:rPr>
        <w:t>Zhu</w:t>
      </w:r>
      <w:r w:rsidR="00D25A5A">
        <w:rPr>
          <w:lang w:val="en-IN"/>
        </w:rPr>
        <w:t xml:space="preserve"> et al., </w:t>
      </w:r>
      <w:r w:rsidR="00D25A5A" w:rsidRPr="00D25A5A">
        <w:rPr>
          <w:lang w:val="en-IN"/>
        </w:rPr>
        <w:t>2024</w:t>
      </w:r>
      <w:r w:rsidR="00D25A5A">
        <w:rPr>
          <w:lang w:val="en-IN"/>
        </w:rPr>
        <w:t>)</w:t>
      </w:r>
      <w:r w:rsidRPr="00D0113F">
        <w:rPr>
          <w:lang w:val="en-IN"/>
        </w:rPr>
        <w:t>. It categorises stakeholders according to their level of influence (power) and level of concern (interest).</w:t>
      </w:r>
    </w:p>
    <w:p w14:paraId="6FB0D311" w14:textId="46514728" w:rsidR="00D25A5A" w:rsidRDefault="00D25A5A" w:rsidP="00D25A5A">
      <w:pPr>
        <w:pStyle w:val="Caption"/>
        <w:keepNext/>
        <w:rPr>
          <w:color w:val="0D0D0D" w:themeColor="text1" w:themeTint="F2"/>
          <w:sz w:val="20"/>
          <w:szCs w:val="18"/>
          <w:lang w:val="en-IN"/>
        </w:rPr>
      </w:pPr>
      <w:bookmarkStart w:id="8" w:name="_Toc222933165"/>
      <w:r w:rsidRPr="00D25A5A">
        <w:rPr>
          <w:color w:val="0D0D0D" w:themeColor="text1" w:themeTint="F2"/>
          <w:sz w:val="20"/>
          <w:szCs w:val="18"/>
        </w:rPr>
        <w:lastRenderedPageBreak/>
        <w:t xml:space="preserve">Table </w:t>
      </w:r>
      <w:r w:rsidRPr="00D25A5A">
        <w:rPr>
          <w:color w:val="0D0D0D" w:themeColor="text1" w:themeTint="F2"/>
          <w:sz w:val="20"/>
          <w:szCs w:val="18"/>
        </w:rPr>
        <w:fldChar w:fldCharType="begin"/>
      </w:r>
      <w:r w:rsidRPr="00D25A5A">
        <w:rPr>
          <w:color w:val="0D0D0D" w:themeColor="text1" w:themeTint="F2"/>
          <w:sz w:val="20"/>
          <w:szCs w:val="18"/>
        </w:rPr>
        <w:instrText xml:space="preserve"> SEQ Table \* ARABIC </w:instrText>
      </w:r>
      <w:r w:rsidRPr="00D25A5A">
        <w:rPr>
          <w:color w:val="0D0D0D" w:themeColor="text1" w:themeTint="F2"/>
          <w:sz w:val="20"/>
          <w:szCs w:val="18"/>
        </w:rPr>
        <w:fldChar w:fldCharType="separate"/>
      </w:r>
      <w:r w:rsidR="00907575">
        <w:rPr>
          <w:noProof/>
          <w:color w:val="0D0D0D" w:themeColor="text1" w:themeTint="F2"/>
          <w:sz w:val="20"/>
          <w:szCs w:val="18"/>
        </w:rPr>
        <w:t>2</w:t>
      </w:r>
      <w:r w:rsidRPr="00D25A5A">
        <w:rPr>
          <w:color w:val="0D0D0D" w:themeColor="text1" w:themeTint="F2"/>
          <w:sz w:val="20"/>
          <w:szCs w:val="18"/>
        </w:rPr>
        <w:fldChar w:fldCharType="end"/>
      </w:r>
      <w:r w:rsidRPr="00D25A5A">
        <w:rPr>
          <w:color w:val="0D0D0D" w:themeColor="text1" w:themeTint="F2"/>
          <w:sz w:val="20"/>
          <w:szCs w:val="18"/>
          <w:lang w:val="en-IN"/>
        </w:rPr>
        <w:t>: Power- Interest Matrix</w:t>
      </w:r>
      <w:bookmarkEnd w:id="8"/>
      <w:r w:rsidRPr="00D25A5A">
        <w:rPr>
          <w:color w:val="0D0D0D" w:themeColor="text1" w:themeTint="F2"/>
          <w:sz w:val="20"/>
          <w:szCs w:val="18"/>
          <w:lang w:val="en-IN"/>
        </w:rPr>
        <w:t xml:space="preserve"> </w:t>
      </w:r>
    </w:p>
    <w:p w14:paraId="6CA3C577" w14:textId="6FD5948D" w:rsidR="00D25A5A" w:rsidRPr="00D25A5A" w:rsidRDefault="00D25A5A" w:rsidP="00D25A5A">
      <w:pPr>
        <w:pStyle w:val="Caption"/>
        <w:keepNext/>
        <w:rPr>
          <w:color w:val="0D0D0D" w:themeColor="text1" w:themeTint="F2"/>
          <w:sz w:val="20"/>
          <w:szCs w:val="18"/>
        </w:rPr>
      </w:pPr>
      <w:r w:rsidRPr="00D25A5A">
        <w:rPr>
          <w:color w:val="0D0D0D" w:themeColor="text1" w:themeTint="F2"/>
          <w:sz w:val="20"/>
          <w:szCs w:val="18"/>
          <w:lang w:val="en-IN"/>
        </w:rPr>
        <w:t>Source: (Author, 2026)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23"/>
        <w:gridCol w:w="3951"/>
        <w:gridCol w:w="4042"/>
      </w:tblGrid>
      <w:tr w:rsidR="00D0113F" w:rsidRPr="00D0113F" w14:paraId="2A286DDA" w14:textId="77777777" w:rsidTr="00D0113F">
        <w:trPr>
          <w:tblHeader/>
          <w:tblCellSpacing w:w="15" w:type="dxa"/>
        </w:trPr>
        <w:tc>
          <w:tcPr>
            <w:tcW w:w="0" w:type="auto"/>
            <w:vAlign w:val="center"/>
            <w:hideMark/>
          </w:tcPr>
          <w:p w14:paraId="4FFAC494" w14:textId="77777777" w:rsidR="00D0113F" w:rsidRPr="00D0113F" w:rsidRDefault="00D0113F" w:rsidP="00D0113F">
            <w:pPr>
              <w:rPr>
                <w:lang w:val="en-IN"/>
              </w:rPr>
            </w:pPr>
          </w:p>
        </w:tc>
        <w:tc>
          <w:tcPr>
            <w:tcW w:w="0" w:type="auto"/>
            <w:vAlign w:val="center"/>
            <w:hideMark/>
          </w:tcPr>
          <w:p w14:paraId="62542FC4" w14:textId="77777777" w:rsidR="00D0113F" w:rsidRPr="00D0113F" w:rsidRDefault="00D0113F" w:rsidP="00D0113F">
            <w:pPr>
              <w:rPr>
                <w:b/>
                <w:bCs/>
                <w:lang w:val="en-IN"/>
              </w:rPr>
            </w:pPr>
            <w:r w:rsidRPr="00D0113F">
              <w:rPr>
                <w:b/>
                <w:bCs/>
                <w:lang w:val="en-IN"/>
              </w:rPr>
              <w:t>High Interest</w:t>
            </w:r>
          </w:p>
        </w:tc>
        <w:tc>
          <w:tcPr>
            <w:tcW w:w="0" w:type="auto"/>
            <w:vAlign w:val="center"/>
            <w:hideMark/>
          </w:tcPr>
          <w:p w14:paraId="52B94F6A" w14:textId="77777777" w:rsidR="00D0113F" w:rsidRPr="00D0113F" w:rsidRDefault="00D0113F" w:rsidP="00D0113F">
            <w:pPr>
              <w:rPr>
                <w:b/>
                <w:bCs/>
                <w:lang w:val="en-IN"/>
              </w:rPr>
            </w:pPr>
            <w:r w:rsidRPr="00D0113F">
              <w:rPr>
                <w:b/>
                <w:bCs/>
                <w:lang w:val="en-IN"/>
              </w:rPr>
              <w:t>Low Interest</w:t>
            </w:r>
          </w:p>
        </w:tc>
      </w:tr>
      <w:tr w:rsidR="00D0113F" w:rsidRPr="00D0113F" w14:paraId="3B3611ED" w14:textId="77777777" w:rsidTr="00D0113F">
        <w:trPr>
          <w:tblCellSpacing w:w="15" w:type="dxa"/>
        </w:trPr>
        <w:tc>
          <w:tcPr>
            <w:tcW w:w="0" w:type="auto"/>
            <w:vAlign w:val="center"/>
            <w:hideMark/>
          </w:tcPr>
          <w:p w14:paraId="6C0AFD97" w14:textId="77777777" w:rsidR="00D0113F" w:rsidRPr="00D0113F" w:rsidRDefault="00D0113F" w:rsidP="00D0113F">
            <w:pPr>
              <w:rPr>
                <w:lang w:val="en-IN"/>
              </w:rPr>
            </w:pPr>
            <w:r w:rsidRPr="00D0113F">
              <w:rPr>
                <w:b/>
                <w:bCs/>
                <w:lang w:val="en-IN"/>
              </w:rPr>
              <w:t>High Power</w:t>
            </w:r>
          </w:p>
        </w:tc>
        <w:tc>
          <w:tcPr>
            <w:tcW w:w="0" w:type="auto"/>
            <w:vAlign w:val="center"/>
            <w:hideMark/>
          </w:tcPr>
          <w:p w14:paraId="2FE91AB9" w14:textId="77777777" w:rsidR="00D0113F" w:rsidRDefault="00D0113F" w:rsidP="00D0113F">
            <w:pPr>
              <w:rPr>
                <w:lang w:val="en-IN"/>
              </w:rPr>
            </w:pPr>
            <w:r w:rsidRPr="00D0113F">
              <w:rPr>
                <w:b/>
                <w:bCs/>
                <w:lang w:val="en-IN"/>
              </w:rPr>
              <w:t>Manage Closely</w:t>
            </w:r>
            <w:r w:rsidRPr="00D0113F">
              <w:rPr>
                <w:lang w:val="en-IN"/>
              </w:rPr>
              <w:t xml:space="preserve"> </w:t>
            </w:r>
          </w:p>
          <w:p w14:paraId="1ABB9033" w14:textId="77777777" w:rsidR="00D0113F" w:rsidRDefault="00D0113F" w:rsidP="00D0113F">
            <w:pPr>
              <w:rPr>
                <w:lang w:val="en-IN"/>
              </w:rPr>
            </w:pPr>
            <w:r w:rsidRPr="00D0113F">
              <w:rPr>
                <w:lang w:val="en-IN"/>
              </w:rPr>
              <w:t xml:space="preserve">• Telford &amp; Wrekin Council </w:t>
            </w:r>
          </w:p>
          <w:p w14:paraId="5CD2E302" w14:textId="77777777" w:rsidR="00D0113F" w:rsidRDefault="00D0113F" w:rsidP="00D0113F">
            <w:pPr>
              <w:rPr>
                <w:lang w:val="en-IN"/>
              </w:rPr>
            </w:pPr>
            <w:r w:rsidRPr="00D0113F">
              <w:rPr>
                <w:lang w:val="en-IN"/>
              </w:rPr>
              <w:t xml:space="preserve">• Major Developers </w:t>
            </w:r>
          </w:p>
          <w:p w14:paraId="7CAF68F0" w14:textId="2897A648" w:rsidR="00D0113F" w:rsidRPr="00D0113F" w:rsidRDefault="00D0113F" w:rsidP="00D0113F">
            <w:pPr>
              <w:rPr>
                <w:lang w:val="en-IN"/>
              </w:rPr>
            </w:pPr>
            <w:r w:rsidRPr="00D0113F">
              <w:rPr>
                <w:lang w:val="en-IN"/>
              </w:rPr>
              <w:t>• Government Funding Bodies (e.g., Towns Fund, Homes England)</w:t>
            </w:r>
          </w:p>
        </w:tc>
        <w:tc>
          <w:tcPr>
            <w:tcW w:w="0" w:type="auto"/>
            <w:vAlign w:val="center"/>
            <w:hideMark/>
          </w:tcPr>
          <w:p w14:paraId="555C16F4" w14:textId="77777777" w:rsidR="00D0113F" w:rsidRDefault="00D0113F" w:rsidP="00D0113F">
            <w:pPr>
              <w:rPr>
                <w:lang w:val="en-IN"/>
              </w:rPr>
            </w:pPr>
            <w:r w:rsidRPr="00D0113F">
              <w:rPr>
                <w:b/>
                <w:bCs/>
                <w:lang w:val="en-IN"/>
              </w:rPr>
              <w:t>Keep Satisfied</w:t>
            </w:r>
            <w:r w:rsidRPr="00D0113F">
              <w:rPr>
                <w:lang w:val="en-IN"/>
              </w:rPr>
              <w:t xml:space="preserve"> </w:t>
            </w:r>
          </w:p>
          <w:p w14:paraId="41A13715" w14:textId="77777777" w:rsidR="00D0113F" w:rsidRDefault="00D0113F" w:rsidP="00D0113F">
            <w:pPr>
              <w:rPr>
                <w:lang w:val="en-IN"/>
              </w:rPr>
            </w:pPr>
            <w:r w:rsidRPr="00D0113F">
              <w:rPr>
                <w:lang w:val="en-IN"/>
              </w:rPr>
              <w:t xml:space="preserve">• Utility Companies </w:t>
            </w:r>
          </w:p>
          <w:p w14:paraId="6650BB41" w14:textId="77777777" w:rsidR="00D0113F" w:rsidRDefault="00D0113F" w:rsidP="00D0113F">
            <w:pPr>
              <w:rPr>
                <w:lang w:val="en-IN"/>
              </w:rPr>
            </w:pPr>
            <w:r w:rsidRPr="00D0113F">
              <w:rPr>
                <w:lang w:val="en-IN"/>
              </w:rPr>
              <w:t xml:space="preserve">• Regional Transport Authorities </w:t>
            </w:r>
          </w:p>
          <w:p w14:paraId="7059AC5B" w14:textId="60CAFCCA" w:rsidR="00D0113F" w:rsidRPr="00D0113F" w:rsidRDefault="00D0113F" w:rsidP="00D0113F">
            <w:pPr>
              <w:rPr>
                <w:lang w:val="en-IN"/>
              </w:rPr>
            </w:pPr>
            <w:r w:rsidRPr="00D0113F">
              <w:rPr>
                <w:lang w:val="en-IN"/>
              </w:rPr>
              <w:t>• Regulatory Bodies</w:t>
            </w:r>
          </w:p>
        </w:tc>
      </w:tr>
      <w:tr w:rsidR="00D0113F" w:rsidRPr="00D0113F" w14:paraId="776E59EA" w14:textId="77777777" w:rsidTr="00D0113F">
        <w:trPr>
          <w:tblCellSpacing w:w="15" w:type="dxa"/>
        </w:trPr>
        <w:tc>
          <w:tcPr>
            <w:tcW w:w="0" w:type="auto"/>
            <w:vAlign w:val="center"/>
            <w:hideMark/>
          </w:tcPr>
          <w:p w14:paraId="245A761C" w14:textId="77777777" w:rsidR="00D0113F" w:rsidRPr="00D0113F" w:rsidRDefault="00D0113F" w:rsidP="00D0113F">
            <w:pPr>
              <w:rPr>
                <w:lang w:val="en-IN"/>
              </w:rPr>
            </w:pPr>
            <w:r w:rsidRPr="00D0113F">
              <w:rPr>
                <w:b/>
                <w:bCs/>
                <w:lang w:val="en-IN"/>
              </w:rPr>
              <w:t>Low Power</w:t>
            </w:r>
          </w:p>
        </w:tc>
        <w:tc>
          <w:tcPr>
            <w:tcW w:w="0" w:type="auto"/>
            <w:vAlign w:val="center"/>
            <w:hideMark/>
          </w:tcPr>
          <w:p w14:paraId="44F7963B" w14:textId="77777777" w:rsidR="00D0113F" w:rsidRDefault="00D0113F" w:rsidP="00D0113F">
            <w:pPr>
              <w:rPr>
                <w:lang w:val="en-IN"/>
              </w:rPr>
            </w:pPr>
            <w:r w:rsidRPr="00D0113F">
              <w:rPr>
                <w:b/>
                <w:bCs/>
                <w:lang w:val="en-IN"/>
              </w:rPr>
              <w:t>Keep Informed / Consult</w:t>
            </w:r>
            <w:r w:rsidRPr="00D0113F">
              <w:rPr>
                <w:lang w:val="en-IN"/>
              </w:rPr>
              <w:t xml:space="preserve"> </w:t>
            </w:r>
          </w:p>
          <w:p w14:paraId="03281034" w14:textId="77777777" w:rsidR="00D0113F" w:rsidRDefault="00D0113F" w:rsidP="00D0113F">
            <w:pPr>
              <w:rPr>
                <w:lang w:val="en-IN"/>
              </w:rPr>
            </w:pPr>
            <w:r w:rsidRPr="00D0113F">
              <w:rPr>
                <w:lang w:val="en-IN"/>
              </w:rPr>
              <w:t xml:space="preserve">• Local Residents </w:t>
            </w:r>
          </w:p>
          <w:p w14:paraId="78C7B1DD" w14:textId="77777777" w:rsidR="00D0113F" w:rsidRDefault="00D0113F" w:rsidP="00D0113F">
            <w:pPr>
              <w:rPr>
                <w:lang w:val="en-IN"/>
              </w:rPr>
            </w:pPr>
            <w:r w:rsidRPr="00D0113F">
              <w:rPr>
                <w:lang w:val="en-IN"/>
              </w:rPr>
              <w:t xml:space="preserve">• Small Business Owners </w:t>
            </w:r>
          </w:p>
          <w:p w14:paraId="262A1C62" w14:textId="77777777" w:rsidR="00D0113F" w:rsidRDefault="00D0113F" w:rsidP="00D0113F">
            <w:pPr>
              <w:rPr>
                <w:lang w:val="en-IN"/>
              </w:rPr>
            </w:pPr>
            <w:r w:rsidRPr="00D0113F">
              <w:rPr>
                <w:lang w:val="en-IN"/>
              </w:rPr>
              <w:t xml:space="preserve">• Community Groups </w:t>
            </w:r>
          </w:p>
          <w:p w14:paraId="3D71CED0" w14:textId="1FFF74A2" w:rsidR="00D0113F" w:rsidRPr="00D0113F" w:rsidRDefault="00D0113F" w:rsidP="00D0113F">
            <w:pPr>
              <w:rPr>
                <w:lang w:val="en-IN"/>
              </w:rPr>
            </w:pPr>
            <w:r w:rsidRPr="00D0113F">
              <w:rPr>
                <w:lang w:val="en-IN"/>
              </w:rPr>
              <w:t>• Environmental Organisations</w:t>
            </w:r>
          </w:p>
        </w:tc>
        <w:tc>
          <w:tcPr>
            <w:tcW w:w="0" w:type="auto"/>
            <w:vAlign w:val="center"/>
            <w:hideMark/>
          </w:tcPr>
          <w:p w14:paraId="76CF9FAB" w14:textId="77777777" w:rsidR="00D0113F" w:rsidRDefault="00D0113F" w:rsidP="00D0113F">
            <w:pPr>
              <w:rPr>
                <w:lang w:val="en-IN"/>
              </w:rPr>
            </w:pPr>
            <w:r w:rsidRPr="00D0113F">
              <w:rPr>
                <w:b/>
                <w:bCs/>
                <w:lang w:val="en-IN"/>
              </w:rPr>
              <w:t>Monitor (Minimum Effort)</w:t>
            </w:r>
            <w:r w:rsidRPr="00D0113F">
              <w:rPr>
                <w:lang w:val="en-IN"/>
              </w:rPr>
              <w:t xml:space="preserve"> </w:t>
            </w:r>
          </w:p>
          <w:p w14:paraId="5217D5B5" w14:textId="388F918D" w:rsidR="00D0113F" w:rsidRPr="00D0113F" w:rsidRDefault="00D0113F" w:rsidP="00D0113F">
            <w:pPr>
              <w:rPr>
                <w:lang w:val="en-IN"/>
              </w:rPr>
            </w:pPr>
            <w:r w:rsidRPr="00D0113F">
              <w:rPr>
                <w:lang w:val="en-IN"/>
              </w:rPr>
              <w:t>• General Public outside Telford • Visitors • Peripheral Media Audiences</w:t>
            </w:r>
          </w:p>
        </w:tc>
      </w:tr>
    </w:tbl>
    <w:p w14:paraId="01183E65" w14:textId="77777777" w:rsidR="00D0113F" w:rsidRPr="00D0113F" w:rsidRDefault="00D0113F" w:rsidP="00D0113F">
      <w:pPr>
        <w:rPr>
          <w:lang w:val="en-IN"/>
        </w:rPr>
      </w:pPr>
    </w:p>
    <w:p w14:paraId="2CCFA54B" w14:textId="77777777" w:rsidR="00D0113F" w:rsidRPr="00D0113F" w:rsidRDefault="00D0113F" w:rsidP="00D0113F">
      <w:pPr>
        <w:rPr>
          <w:b/>
          <w:bCs/>
          <w:lang w:val="en-IN"/>
        </w:rPr>
      </w:pPr>
      <w:r w:rsidRPr="00D0113F">
        <w:rPr>
          <w:b/>
          <w:bCs/>
          <w:lang w:val="en-IN"/>
        </w:rPr>
        <w:t>Interpretation of the Power–Interest Grid</w:t>
      </w:r>
    </w:p>
    <w:p w14:paraId="167059B8" w14:textId="20439105" w:rsidR="003F0815" w:rsidRPr="003F0815" w:rsidRDefault="003F0815" w:rsidP="003F0815">
      <w:pPr>
        <w:rPr>
          <w:lang w:val="en-IN"/>
        </w:rPr>
      </w:pPr>
      <w:r w:rsidRPr="003F0815">
        <w:rPr>
          <w:lang w:val="en-IN"/>
        </w:rPr>
        <w:t>The matrix shows that the strategies of managing the stakeholders should be different, depending on the influence and concern of each group on the regeneration project.</w:t>
      </w:r>
    </w:p>
    <w:p w14:paraId="6F2E9506" w14:textId="77777777" w:rsidR="003F0815" w:rsidRPr="003F0815" w:rsidRDefault="003F0815" w:rsidP="003F0815">
      <w:pPr>
        <w:rPr>
          <w:b/>
          <w:bCs/>
          <w:lang w:val="en-IN"/>
        </w:rPr>
      </w:pPr>
      <w:r w:rsidRPr="003F0815">
        <w:rPr>
          <w:b/>
          <w:bCs/>
          <w:lang w:val="en-IN"/>
        </w:rPr>
        <w:t>High Power -High Interest (Manage Closely)</w:t>
      </w:r>
    </w:p>
    <w:p w14:paraId="572B4B97" w14:textId="6DDC644B" w:rsidR="003F0815" w:rsidRDefault="003F0815" w:rsidP="003F0815">
      <w:pPr>
        <w:rPr>
          <w:lang w:val="en-IN"/>
        </w:rPr>
      </w:pPr>
      <w:r w:rsidRPr="003F0815">
        <w:rPr>
          <w:lang w:val="en-IN"/>
        </w:rPr>
        <w:t xml:space="preserve">These stakeholders have official power and financial dominion over the project. Telford and Wrekin Council is the </w:t>
      </w:r>
      <w:r w:rsidR="00142224">
        <w:rPr>
          <w:lang w:val="en-IN"/>
        </w:rPr>
        <w:t>decision-making</w:t>
      </w:r>
      <w:r w:rsidRPr="003F0815">
        <w:rPr>
          <w:lang w:val="en-IN"/>
        </w:rPr>
        <w:t xml:space="preserve"> authority that is in charge of the planning approval, allocation of funds and governance control</w:t>
      </w:r>
      <w:r w:rsidR="0089384A">
        <w:rPr>
          <w:lang w:val="en-IN"/>
        </w:rPr>
        <w:t xml:space="preserve"> (</w:t>
      </w:r>
      <w:r w:rsidR="0089384A" w:rsidRPr="0089384A">
        <w:rPr>
          <w:lang w:val="en-IN"/>
        </w:rPr>
        <w:t>Telford &amp; Wrekin Council</w:t>
      </w:r>
      <w:r w:rsidR="0089384A">
        <w:rPr>
          <w:lang w:val="en-IN"/>
        </w:rPr>
        <w:t xml:space="preserve">, </w:t>
      </w:r>
      <w:r w:rsidR="0089384A" w:rsidRPr="0089384A">
        <w:rPr>
          <w:lang w:val="en-IN"/>
        </w:rPr>
        <w:t>2025</w:t>
      </w:r>
      <w:r w:rsidR="0089384A">
        <w:rPr>
          <w:lang w:val="en-IN"/>
        </w:rPr>
        <w:t>)</w:t>
      </w:r>
      <w:r w:rsidRPr="003F0815">
        <w:rPr>
          <w:lang w:val="en-IN"/>
        </w:rPr>
        <w:t>. The big developers and financing institutions affect the size of investments, project schedule and compliance. These stakeholders need to work actively, perform frequent performance assessments, and hold strategic meetings to be aligned with the project goals.</w:t>
      </w:r>
    </w:p>
    <w:p w14:paraId="0B929FFD" w14:textId="6410D864" w:rsidR="00264FA6" w:rsidRPr="003F0815" w:rsidRDefault="00264FA6" w:rsidP="003F0815">
      <w:pPr>
        <w:rPr>
          <w:lang w:val="en-IN"/>
        </w:rPr>
      </w:pPr>
      <w:r w:rsidRPr="00B5707B">
        <w:rPr>
          <w:lang w:val="en-IN"/>
        </w:rPr>
        <w:t>Although power is shared, internal tension can occur as there is a clash of political interests, budgets, expectations of profit and risk-taking between the Council and the private investors, this can slow down decision making and reduce the strategic focus.</w:t>
      </w:r>
    </w:p>
    <w:p w14:paraId="32FFC2E9" w14:textId="77777777" w:rsidR="003F0815" w:rsidRPr="003F0815" w:rsidRDefault="003F0815" w:rsidP="003F0815">
      <w:pPr>
        <w:rPr>
          <w:b/>
          <w:bCs/>
          <w:lang w:val="en-IN"/>
        </w:rPr>
      </w:pPr>
      <w:r w:rsidRPr="003F0815">
        <w:rPr>
          <w:b/>
          <w:bCs/>
          <w:lang w:val="en-IN"/>
        </w:rPr>
        <w:lastRenderedPageBreak/>
        <w:t>High Power- Low Interest (Keep Satisfied)</w:t>
      </w:r>
    </w:p>
    <w:p w14:paraId="2E58A42F" w14:textId="68B2D24E" w:rsidR="003F0815" w:rsidRPr="003F0815" w:rsidRDefault="003F0815" w:rsidP="003F0815">
      <w:pPr>
        <w:rPr>
          <w:lang w:val="en-IN"/>
        </w:rPr>
      </w:pPr>
      <w:r w:rsidRPr="003F0815">
        <w:rPr>
          <w:lang w:val="en-IN"/>
        </w:rPr>
        <w:t>The utility providers and the transport authorities have regulatory power</w:t>
      </w:r>
      <w:r w:rsidR="00142224">
        <w:rPr>
          <w:lang w:val="en-IN"/>
        </w:rPr>
        <w:t>,</w:t>
      </w:r>
      <w:r w:rsidRPr="003F0815">
        <w:rPr>
          <w:lang w:val="en-IN"/>
        </w:rPr>
        <w:t xml:space="preserve"> especially on the approvals and compliance of the infrastructure. They may not be present on a daily basis, but their authority implies that their dissatisfaction may slow down the project. The involvement is thus </w:t>
      </w:r>
      <w:r w:rsidR="00142224">
        <w:rPr>
          <w:lang w:val="en-IN"/>
        </w:rPr>
        <w:t>centred</w:t>
      </w:r>
      <w:r w:rsidRPr="003F0815">
        <w:rPr>
          <w:lang w:val="en-IN"/>
        </w:rPr>
        <w:t xml:space="preserve"> on technical briefings, compliance documentation and milestones.</w:t>
      </w:r>
    </w:p>
    <w:p w14:paraId="199F7505" w14:textId="77777777" w:rsidR="003F0815" w:rsidRPr="003F0815" w:rsidRDefault="003F0815" w:rsidP="003F0815">
      <w:pPr>
        <w:rPr>
          <w:b/>
          <w:bCs/>
          <w:lang w:val="en-IN"/>
        </w:rPr>
      </w:pPr>
      <w:r w:rsidRPr="003F0815">
        <w:rPr>
          <w:b/>
          <w:bCs/>
          <w:lang w:val="en-IN"/>
        </w:rPr>
        <w:t>Low Power -High Interest (Keep Informed / Consult)</w:t>
      </w:r>
    </w:p>
    <w:p w14:paraId="1297BC4A" w14:textId="57AC13AF" w:rsidR="003F0815" w:rsidRPr="003F0815" w:rsidRDefault="003F0815" w:rsidP="003F0815">
      <w:pPr>
        <w:rPr>
          <w:lang w:val="en-IN"/>
        </w:rPr>
      </w:pPr>
      <w:r w:rsidRPr="003F0815">
        <w:rPr>
          <w:lang w:val="en-IN"/>
        </w:rPr>
        <w:t>Housing development, traffic flow, environmental change and economic transformation directly affect the local residents, businesses and community groups. Although they are not the decision-makers in the formal sense, they have social legitimacy. As per the Ladder of Participation, tokenistic consultation</w:t>
      </w:r>
      <w:r w:rsidR="00142224">
        <w:rPr>
          <w:lang w:val="en-IN"/>
        </w:rPr>
        <w:t>,</w:t>
      </w:r>
      <w:r w:rsidRPr="003F0815">
        <w:rPr>
          <w:lang w:val="en-IN"/>
        </w:rPr>
        <w:t xml:space="preserve"> as suggested by Arnstein</w:t>
      </w:r>
      <w:r w:rsidR="00142224">
        <w:rPr>
          <w:lang w:val="en-IN"/>
        </w:rPr>
        <w:t>,</w:t>
      </w:r>
      <w:r w:rsidRPr="003F0815">
        <w:rPr>
          <w:lang w:val="en-IN"/>
        </w:rPr>
        <w:t xml:space="preserve"> is dangerous to the establishment of trust</w:t>
      </w:r>
      <w:r w:rsidR="00176F70">
        <w:rPr>
          <w:lang w:val="en-IN"/>
        </w:rPr>
        <w:t xml:space="preserve"> (</w:t>
      </w:r>
      <w:r w:rsidR="00176F70" w:rsidRPr="00176F70">
        <w:rPr>
          <w:lang w:val="en-IN"/>
        </w:rPr>
        <w:t>Sharma, 2025</w:t>
      </w:r>
      <w:r w:rsidR="00176F70">
        <w:rPr>
          <w:lang w:val="en-IN"/>
        </w:rPr>
        <w:t>)</w:t>
      </w:r>
      <w:r w:rsidRPr="003F0815">
        <w:rPr>
          <w:lang w:val="en-IN"/>
        </w:rPr>
        <w:t>. Consequently, deliberate interaction strategies like open consultations, exhibition and opinion polls are necessary to prevent opposition.</w:t>
      </w:r>
    </w:p>
    <w:p w14:paraId="621F1DA0" w14:textId="77777777" w:rsidR="003F0815" w:rsidRPr="003F0815" w:rsidRDefault="003F0815" w:rsidP="003F0815">
      <w:pPr>
        <w:rPr>
          <w:b/>
          <w:bCs/>
          <w:lang w:val="en-IN"/>
        </w:rPr>
      </w:pPr>
      <w:r w:rsidRPr="003F0815">
        <w:rPr>
          <w:b/>
          <w:bCs/>
          <w:lang w:val="en-IN"/>
        </w:rPr>
        <w:t>Low Power -Low Interest (Monitor)</w:t>
      </w:r>
    </w:p>
    <w:p w14:paraId="4C95DB20" w14:textId="14B5D672" w:rsidR="003F0815" w:rsidRDefault="003F0815" w:rsidP="003F0815">
      <w:pPr>
        <w:rPr>
          <w:b/>
          <w:lang w:val="en-IN"/>
        </w:rPr>
      </w:pPr>
      <w:r w:rsidRPr="003F0815">
        <w:rPr>
          <w:lang w:val="en-IN"/>
        </w:rPr>
        <w:t>Basic transparency is needed by the external audiences and visitors</w:t>
      </w:r>
      <w:r w:rsidR="00142224">
        <w:rPr>
          <w:lang w:val="en-IN"/>
        </w:rPr>
        <w:t>,</w:t>
      </w:r>
      <w:r w:rsidRPr="003F0815">
        <w:rPr>
          <w:lang w:val="en-IN"/>
        </w:rPr>
        <w:t xml:space="preserve"> but not much active interaction. Council websites and press releases are generally adequate in providing information to the public.</w:t>
      </w:r>
    </w:p>
    <w:p w14:paraId="671FEF3C" w14:textId="13B2C756" w:rsidR="00D0113F" w:rsidRPr="00D0113F" w:rsidRDefault="00D0113F" w:rsidP="003F0815">
      <w:pPr>
        <w:pStyle w:val="Heading2"/>
        <w:rPr>
          <w:lang w:val="en-IN"/>
        </w:rPr>
      </w:pPr>
      <w:bookmarkStart w:id="9" w:name="_Toc222992972"/>
      <w:r w:rsidRPr="00D0113F">
        <w:rPr>
          <w:lang w:val="en-IN"/>
        </w:rPr>
        <w:t>2.3 Stakeholder Engagement Strategies</w:t>
      </w:r>
      <w:bookmarkEnd w:id="9"/>
    </w:p>
    <w:p w14:paraId="3BD0E53F" w14:textId="77777777" w:rsidR="00D0113F" w:rsidRPr="00D0113F" w:rsidRDefault="00D0113F" w:rsidP="00D0113F">
      <w:pPr>
        <w:rPr>
          <w:b/>
          <w:bCs/>
          <w:lang w:val="en-IN"/>
        </w:rPr>
      </w:pPr>
      <w:r w:rsidRPr="00D0113F">
        <w:rPr>
          <w:b/>
          <w:bCs/>
          <w:lang w:val="en-IN"/>
        </w:rPr>
        <w:t>Public Consultation</w:t>
      </w:r>
    </w:p>
    <w:p w14:paraId="700AFE94" w14:textId="692C5C9D" w:rsidR="00044AA8" w:rsidRDefault="00B71208" w:rsidP="00B71208">
      <w:r w:rsidRPr="00B71208">
        <w:rPr>
          <w:lang w:val="en-IN"/>
        </w:rPr>
        <w:t xml:space="preserve">The stakeholder power and interest will need strategies to ensure effective stakeholder engagement in the Telford Town Centre Regeneration Project. Telford and Wrekin Council has introduced the use of public exhibitions, online surveys, </w:t>
      </w:r>
      <w:r w:rsidR="00142224">
        <w:rPr>
          <w:lang w:val="en-IN"/>
        </w:rPr>
        <w:t xml:space="preserve">a </w:t>
      </w:r>
      <w:r w:rsidRPr="00B71208">
        <w:rPr>
          <w:lang w:val="en-IN"/>
        </w:rPr>
        <w:t xml:space="preserve">planning consultation portal and community meetings where residents and local groups are involved in </w:t>
      </w:r>
      <w:r w:rsidR="00142224">
        <w:rPr>
          <w:lang w:val="en-IN"/>
        </w:rPr>
        <w:t>decision-making</w:t>
      </w:r>
      <w:r w:rsidR="003B636E">
        <w:rPr>
          <w:lang w:val="en-IN"/>
        </w:rPr>
        <w:t xml:space="preserve"> (</w:t>
      </w:r>
      <w:r w:rsidR="003B636E" w:rsidRPr="003B636E">
        <w:rPr>
          <w:lang w:val="en-IN"/>
        </w:rPr>
        <w:t>Telford.</w:t>
      </w:r>
      <w:r w:rsidR="003B636E">
        <w:rPr>
          <w:lang w:val="en-IN"/>
        </w:rPr>
        <w:t>g</w:t>
      </w:r>
      <w:r w:rsidR="003B636E" w:rsidRPr="003B636E">
        <w:rPr>
          <w:lang w:val="en-IN"/>
        </w:rPr>
        <w:t>ov</w:t>
      </w:r>
      <w:r w:rsidR="003B636E">
        <w:rPr>
          <w:lang w:val="en-IN"/>
        </w:rPr>
        <w:t xml:space="preserve">, </w:t>
      </w:r>
      <w:r w:rsidR="003B636E" w:rsidRPr="003B636E">
        <w:rPr>
          <w:lang w:val="en-IN"/>
        </w:rPr>
        <w:t>2024</w:t>
      </w:r>
      <w:r w:rsidR="003B636E">
        <w:rPr>
          <w:lang w:val="en-IN"/>
        </w:rPr>
        <w:t>)</w:t>
      </w:r>
      <w:r w:rsidRPr="00B71208">
        <w:rPr>
          <w:lang w:val="en-IN"/>
        </w:rPr>
        <w:t xml:space="preserve">. These methods apply to the principles of participatory governance and meet the UK statutory planning requirements. </w:t>
      </w:r>
      <w:r w:rsidR="00044AA8" w:rsidRPr="00044AA8">
        <w:t>This</w:t>
      </w:r>
      <w:r w:rsidR="00044AA8">
        <w:t>,</w:t>
      </w:r>
      <w:r w:rsidR="00044AA8" w:rsidRPr="00044AA8">
        <w:t xml:space="preserve"> however</w:t>
      </w:r>
      <w:r w:rsidR="00044AA8">
        <w:t>,</w:t>
      </w:r>
      <w:r w:rsidR="00044AA8" w:rsidRPr="00044AA8">
        <w:t xml:space="preserve"> brings to the fore a serious question of whether the Council is truly decentralising decision-making to the community or is just going through the formal and statutory consultation processes without actually having any real impact on the final outcomes of a project.</w:t>
      </w:r>
    </w:p>
    <w:p w14:paraId="378B6FAF" w14:textId="56152E2F" w:rsidR="00B71208" w:rsidRPr="00B71208" w:rsidRDefault="00B71208" w:rsidP="00B71208">
      <w:pPr>
        <w:rPr>
          <w:lang w:val="en-IN"/>
        </w:rPr>
      </w:pPr>
      <w:r w:rsidRPr="00B71208">
        <w:rPr>
          <w:lang w:val="en-IN"/>
        </w:rPr>
        <w:t>of participation.</w:t>
      </w:r>
    </w:p>
    <w:p w14:paraId="7B486A28" w14:textId="161A8AF2" w:rsidR="00B71208" w:rsidRPr="00B71208" w:rsidRDefault="00B71208" w:rsidP="00B71208">
      <w:pPr>
        <w:rPr>
          <w:b/>
          <w:bCs/>
          <w:lang w:val="en-IN"/>
        </w:rPr>
      </w:pPr>
      <w:r w:rsidRPr="00B71208">
        <w:rPr>
          <w:b/>
          <w:bCs/>
          <w:lang w:val="en-IN"/>
        </w:rPr>
        <w:t>Strategic Partnership Meetings</w:t>
      </w:r>
    </w:p>
    <w:p w14:paraId="1A1FE6A3" w14:textId="1D4B3DAC" w:rsidR="00B71208" w:rsidRPr="00B71208" w:rsidRDefault="00B71208" w:rsidP="00B71208">
      <w:pPr>
        <w:rPr>
          <w:lang w:val="en-IN"/>
        </w:rPr>
      </w:pPr>
      <w:r w:rsidRPr="00B71208">
        <w:rPr>
          <w:lang w:val="en-IN"/>
        </w:rPr>
        <w:lastRenderedPageBreak/>
        <w:t>Formal project boards, governance committees and formal financial reviews are used to engage high-power stakeholders like developers and funding bodies</w:t>
      </w:r>
      <w:r w:rsidR="00F76278">
        <w:rPr>
          <w:lang w:val="en-IN"/>
        </w:rPr>
        <w:t xml:space="preserve"> (</w:t>
      </w:r>
      <w:r w:rsidR="00F76278" w:rsidRPr="00F76278">
        <w:rPr>
          <w:lang w:val="en-IN"/>
        </w:rPr>
        <w:t>Eyieyien</w:t>
      </w:r>
      <w:r w:rsidR="00F76278">
        <w:rPr>
          <w:lang w:val="en-IN"/>
        </w:rPr>
        <w:t xml:space="preserve"> et al.,</w:t>
      </w:r>
      <w:r w:rsidR="00F76278" w:rsidRPr="00F76278">
        <w:rPr>
          <w:lang w:val="en-IN"/>
        </w:rPr>
        <w:t xml:space="preserve"> 2024</w:t>
      </w:r>
      <w:r w:rsidR="00F76278">
        <w:rPr>
          <w:lang w:val="en-IN"/>
        </w:rPr>
        <w:t>)</w:t>
      </w:r>
      <w:r w:rsidRPr="00B71208">
        <w:rPr>
          <w:lang w:val="en-IN"/>
        </w:rPr>
        <w:t>. The mechanisms enhance accountability, transparency and strategic alignment throughout the regeneration programme.</w:t>
      </w:r>
    </w:p>
    <w:p w14:paraId="54DFB5CF" w14:textId="4681FCC3" w:rsidR="00B71208" w:rsidRPr="00B71208" w:rsidRDefault="00B71208" w:rsidP="00B71208">
      <w:pPr>
        <w:rPr>
          <w:b/>
          <w:bCs/>
          <w:lang w:val="en-IN"/>
        </w:rPr>
      </w:pPr>
      <w:r w:rsidRPr="00B71208">
        <w:rPr>
          <w:b/>
          <w:bCs/>
          <w:lang w:val="en-IN"/>
        </w:rPr>
        <w:t>Business Forums and Digital Communication</w:t>
      </w:r>
    </w:p>
    <w:p w14:paraId="3F7360BD" w14:textId="59A9764E" w:rsidR="00B71208" w:rsidRDefault="00B71208" w:rsidP="00B71208">
      <w:pPr>
        <w:rPr>
          <w:b/>
          <w:lang w:val="en-IN"/>
        </w:rPr>
      </w:pPr>
      <w:r w:rsidRPr="00B71208">
        <w:rPr>
          <w:lang w:val="en-IN"/>
        </w:rPr>
        <w:t xml:space="preserve">The Council also makes use of the updates </w:t>
      </w:r>
      <w:r w:rsidR="00142224">
        <w:rPr>
          <w:lang w:val="en-IN"/>
        </w:rPr>
        <w:t>on</w:t>
      </w:r>
      <w:r w:rsidRPr="00B71208">
        <w:rPr>
          <w:lang w:val="en-IN"/>
        </w:rPr>
        <w:t xml:space="preserve"> the site, social media and press releases to spread information as far as possible. Although this expands access, there are issues of inclusivity </w:t>
      </w:r>
      <w:r w:rsidR="00142224">
        <w:rPr>
          <w:lang w:val="en-IN"/>
        </w:rPr>
        <w:t>for</w:t>
      </w:r>
      <w:r w:rsidRPr="00B71208">
        <w:rPr>
          <w:lang w:val="en-IN"/>
        </w:rPr>
        <w:t xml:space="preserve"> digitally </w:t>
      </w:r>
      <w:r w:rsidR="00142224">
        <w:rPr>
          <w:lang w:val="en-IN"/>
        </w:rPr>
        <w:t>marginalised</w:t>
      </w:r>
      <w:r w:rsidRPr="00B71208">
        <w:rPr>
          <w:lang w:val="en-IN"/>
        </w:rPr>
        <w:t xml:space="preserve"> groups. Also, business involvement forums discuss the effects of construction, mitigation of economic opportunities and disruptions, which maintain local business confidence</w:t>
      </w:r>
      <w:r w:rsidR="00F608A2">
        <w:rPr>
          <w:lang w:val="en-IN"/>
        </w:rPr>
        <w:t xml:space="preserve"> (</w:t>
      </w:r>
      <w:r w:rsidR="00F608A2" w:rsidRPr="00F608A2">
        <w:rPr>
          <w:lang w:val="en-IN"/>
        </w:rPr>
        <w:t>Butt, Jones, and Fuertes, 2021</w:t>
      </w:r>
      <w:r w:rsidR="00F608A2">
        <w:rPr>
          <w:lang w:val="en-IN"/>
        </w:rPr>
        <w:t>)</w:t>
      </w:r>
      <w:r w:rsidRPr="00B71208">
        <w:rPr>
          <w:lang w:val="en-IN"/>
        </w:rPr>
        <w:t>.</w:t>
      </w:r>
    </w:p>
    <w:p w14:paraId="7F2C9506" w14:textId="2BCF0158" w:rsidR="00D0113F" w:rsidRPr="00D0113F" w:rsidRDefault="00D0113F" w:rsidP="00B71208">
      <w:pPr>
        <w:pStyle w:val="Heading2"/>
        <w:rPr>
          <w:lang w:val="en-IN"/>
        </w:rPr>
      </w:pPr>
      <w:bookmarkStart w:id="10" w:name="_Toc222992973"/>
      <w:r w:rsidRPr="00D0113F">
        <w:rPr>
          <w:lang w:val="en-IN"/>
        </w:rPr>
        <w:t>2.4 Communication Plan</w:t>
      </w:r>
      <w:bookmarkEnd w:id="10"/>
    </w:p>
    <w:p w14:paraId="6C5DFACB" w14:textId="49E3247D" w:rsidR="00D0113F" w:rsidRPr="00D0113F" w:rsidRDefault="00D0113F" w:rsidP="00D0113F">
      <w:pPr>
        <w:rPr>
          <w:lang w:val="en-IN"/>
        </w:rPr>
      </w:pPr>
      <w:r w:rsidRPr="00D0113F">
        <w:rPr>
          <w:lang w:val="en-IN"/>
        </w:rPr>
        <w:t xml:space="preserve">A structured communication plan enhances transparency and trust. According to </w:t>
      </w:r>
      <w:r w:rsidR="00D3503E" w:rsidRPr="00D3503E">
        <w:rPr>
          <w:lang w:val="en-IN"/>
        </w:rPr>
        <w:t>Bourne and Bell</w:t>
      </w:r>
      <w:r w:rsidR="00D3503E">
        <w:rPr>
          <w:lang w:val="en-IN"/>
        </w:rPr>
        <w:t xml:space="preserve"> (</w:t>
      </w:r>
      <w:r w:rsidR="00D3503E" w:rsidRPr="00D3503E">
        <w:rPr>
          <w:lang w:val="en-IN"/>
        </w:rPr>
        <w:t>2025</w:t>
      </w:r>
      <w:r w:rsidR="00D3503E">
        <w:rPr>
          <w:lang w:val="en-IN"/>
        </w:rPr>
        <w:t>)</w:t>
      </w:r>
      <w:r w:rsidRPr="00D0113F">
        <w:rPr>
          <w:lang w:val="en-IN"/>
        </w:rPr>
        <w:t>, communication should be consistent, clear and stakeholder-specific.</w:t>
      </w:r>
    </w:p>
    <w:p w14:paraId="6C6B2213" w14:textId="77777777" w:rsidR="00D0113F" w:rsidRPr="00D0113F" w:rsidRDefault="00D0113F" w:rsidP="00D0113F">
      <w:pPr>
        <w:rPr>
          <w:lang w:val="en-IN"/>
        </w:rPr>
      </w:pPr>
      <w:r w:rsidRPr="00D0113F">
        <w:rPr>
          <w:lang w:val="en-IN"/>
        </w:rPr>
        <w:t>For the Telford regeneration project:</w:t>
      </w:r>
    </w:p>
    <w:p w14:paraId="0D9D9D96" w14:textId="77777777" w:rsidR="00907575" w:rsidRDefault="00907575" w:rsidP="00907575">
      <w:pPr>
        <w:pStyle w:val="Caption"/>
        <w:keepNext/>
        <w:rPr>
          <w:color w:val="0D0D0D" w:themeColor="text1" w:themeTint="F2"/>
          <w:sz w:val="20"/>
          <w:szCs w:val="18"/>
          <w:lang w:val="en-IN"/>
        </w:rPr>
      </w:pPr>
      <w:bookmarkStart w:id="11" w:name="_Toc222933166"/>
      <w:r w:rsidRPr="00907575">
        <w:rPr>
          <w:color w:val="0D0D0D" w:themeColor="text1" w:themeTint="F2"/>
          <w:sz w:val="20"/>
          <w:szCs w:val="18"/>
        </w:rPr>
        <w:t xml:space="preserve">Table </w:t>
      </w:r>
      <w:r w:rsidRPr="00907575">
        <w:rPr>
          <w:color w:val="0D0D0D" w:themeColor="text1" w:themeTint="F2"/>
          <w:sz w:val="20"/>
          <w:szCs w:val="18"/>
        </w:rPr>
        <w:fldChar w:fldCharType="begin"/>
      </w:r>
      <w:r w:rsidRPr="00907575">
        <w:rPr>
          <w:color w:val="0D0D0D" w:themeColor="text1" w:themeTint="F2"/>
          <w:sz w:val="20"/>
          <w:szCs w:val="18"/>
        </w:rPr>
        <w:instrText xml:space="preserve"> SEQ Table \* ARABIC </w:instrText>
      </w:r>
      <w:r w:rsidRPr="00907575">
        <w:rPr>
          <w:color w:val="0D0D0D" w:themeColor="text1" w:themeTint="F2"/>
          <w:sz w:val="20"/>
          <w:szCs w:val="18"/>
        </w:rPr>
        <w:fldChar w:fldCharType="separate"/>
      </w:r>
      <w:r w:rsidRPr="00907575">
        <w:rPr>
          <w:noProof/>
          <w:color w:val="0D0D0D" w:themeColor="text1" w:themeTint="F2"/>
          <w:sz w:val="20"/>
          <w:szCs w:val="18"/>
        </w:rPr>
        <w:t>3</w:t>
      </w:r>
      <w:r w:rsidRPr="00907575">
        <w:rPr>
          <w:color w:val="0D0D0D" w:themeColor="text1" w:themeTint="F2"/>
          <w:sz w:val="20"/>
          <w:szCs w:val="18"/>
        </w:rPr>
        <w:fldChar w:fldCharType="end"/>
      </w:r>
      <w:r w:rsidRPr="00907575">
        <w:rPr>
          <w:color w:val="0D0D0D" w:themeColor="text1" w:themeTint="F2"/>
          <w:sz w:val="20"/>
          <w:szCs w:val="18"/>
          <w:lang w:val="en-IN"/>
        </w:rPr>
        <w:t>: Communication Plan</w:t>
      </w:r>
      <w:bookmarkEnd w:id="11"/>
      <w:r w:rsidRPr="00907575">
        <w:rPr>
          <w:color w:val="0D0D0D" w:themeColor="text1" w:themeTint="F2"/>
          <w:sz w:val="20"/>
          <w:szCs w:val="18"/>
          <w:lang w:val="en-IN"/>
        </w:rPr>
        <w:t xml:space="preserve"> </w:t>
      </w:r>
    </w:p>
    <w:p w14:paraId="5865EDA0" w14:textId="00CB2D83" w:rsidR="00907575" w:rsidRPr="00907575" w:rsidRDefault="00907575" w:rsidP="00907575">
      <w:pPr>
        <w:pStyle w:val="Caption"/>
        <w:keepNext/>
        <w:rPr>
          <w:color w:val="0D0D0D" w:themeColor="text1" w:themeTint="F2"/>
          <w:sz w:val="20"/>
          <w:szCs w:val="18"/>
        </w:rPr>
      </w:pPr>
      <w:r w:rsidRPr="00907575">
        <w:rPr>
          <w:color w:val="0D0D0D" w:themeColor="text1" w:themeTint="F2"/>
          <w:sz w:val="20"/>
          <w:szCs w:val="18"/>
          <w:lang w:val="en-IN"/>
        </w:rPr>
        <w:t>Source: (Author, 2026)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55"/>
        <w:gridCol w:w="4546"/>
        <w:gridCol w:w="1202"/>
      </w:tblGrid>
      <w:tr w:rsidR="00D0113F" w:rsidRPr="00D0113F" w14:paraId="19886BEA" w14:textId="77777777" w:rsidTr="00D0113F">
        <w:trPr>
          <w:tblHeader/>
          <w:tblCellSpacing w:w="15" w:type="dxa"/>
        </w:trPr>
        <w:tc>
          <w:tcPr>
            <w:tcW w:w="0" w:type="auto"/>
            <w:vAlign w:val="center"/>
            <w:hideMark/>
          </w:tcPr>
          <w:p w14:paraId="65071522" w14:textId="77777777" w:rsidR="00D0113F" w:rsidRPr="00D0113F" w:rsidRDefault="00D0113F" w:rsidP="00D0113F">
            <w:pPr>
              <w:rPr>
                <w:b/>
                <w:bCs/>
                <w:lang w:val="en-IN"/>
              </w:rPr>
            </w:pPr>
            <w:r w:rsidRPr="00D0113F">
              <w:rPr>
                <w:b/>
                <w:bCs/>
                <w:lang w:val="en-IN"/>
              </w:rPr>
              <w:t>Stakeholder Group</w:t>
            </w:r>
          </w:p>
        </w:tc>
        <w:tc>
          <w:tcPr>
            <w:tcW w:w="0" w:type="auto"/>
            <w:vAlign w:val="center"/>
            <w:hideMark/>
          </w:tcPr>
          <w:p w14:paraId="5BC29849" w14:textId="77777777" w:rsidR="00D0113F" w:rsidRPr="00D0113F" w:rsidRDefault="00D0113F" w:rsidP="00D0113F">
            <w:pPr>
              <w:rPr>
                <w:b/>
                <w:bCs/>
                <w:lang w:val="en-IN"/>
              </w:rPr>
            </w:pPr>
            <w:r w:rsidRPr="00D0113F">
              <w:rPr>
                <w:b/>
                <w:bCs/>
                <w:lang w:val="en-IN"/>
              </w:rPr>
              <w:t>Communication Method</w:t>
            </w:r>
          </w:p>
        </w:tc>
        <w:tc>
          <w:tcPr>
            <w:tcW w:w="0" w:type="auto"/>
            <w:vAlign w:val="center"/>
            <w:hideMark/>
          </w:tcPr>
          <w:p w14:paraId="535907AD" w14:textId="77777777" w:rsidR="00D0113F" w:rsidRPr="00D0113F" w:rsidRDefault="00D0113F" w:rsidP="00D0113F">
            <w:pPr>
              <w:rPr>
                <w:b/>
                <w:bCs/>
                <w:lang w:val="en-IN"/>
              </w:rPr>
            </w:pPr>
            <w:r w:rsidRPr="00D0113F">
              <w:rPr>
                <w:b/>
                <w:bCs/>
                <w:lang w:val="en-IN"/>
              </w:rPr>
              <w:t>Frequency</w:t>
            </w:r>
          </w:p>
        </w:tc>
      </w:tr>
      <w:tr w:rsidR="00D0113F" w:rsidRPr="00D0113F" w14:paraId="6F634288" w14:textId="77777777" w:rsidTr="00D0113F">
        <w:trPr>
          <w:tblCellSpacing w:w="15" w:type="dxa"/>
        </w:trPr>
        <w:tc>
          <w:tcPr>
            <w:tcW w:w="0" w:type="auto"/>
            <w:vAlign w:val="center"/>
            <w:hideMark/>
          </w:tcPr>
          <w:p w14:paraId="21A0B159" w14:textId="77777777" w:rsidR="00D0113F" w:rsidRPr="00D0113F" w:rsidRDefault="00D0113F" w:rsidP="00D0113F">
            <w:pPr>
              <w:rPr>
                <w:lang w:val="en-IN"/>
              </w:rPr>
            </w:pPr>
            <w:r w:rsidRPr="00D0113F">
              <w:rPr>
                <w:lang w:val="en-IN"/>
              </w:rPr>
              <w:t>Council &amp; Developers</w:t>
            </w:r>
          </w:p>
        </w:tc>
        <w:tc>
          <w:tcPr>
            <w:tcW w:w="0" w:type="auto"/>
            <w:vAlign w:val="center"/>
            <w:hideMark/>
          </w:tcPr>
          <w:p w14:paraId="2CC065CC" w14:textId="77777777" w:rsidR="00D0113F" w:rsidRPr="00D0113F" w:rsidRDefault="00D0113F" w:rsidP="00D0113F">
            <w:pPr>
              <w:rPr>
                <w:lang w:val="en-IN"/>
              </w:rPr>
            </w:pPr>
            <w:r w:rsidRPr="00D0113F">
              <w:rPr>
                <w:lang w:val="en-IN"/>
              </w:rPr>
              <w:t>Formal meetings, reports</w:t>
            </w:r>
          </w:p>
        </w:tc>
        <w:tc>
          <w:tcPr>
            <w:tcW w:w="0" w:type="auto"/>
            <w:vAlign w:val="center"/>
            <w:hideMark/>
          </w:tcPr>
          <w:p w14:paraId="6C0DFB01" w14:textId="77777777" w:rsidR="00D0113F" w:rsidRPr="00D0113F" w:rsidRDefault="00D0113F" w:rsidP="00D0113F">
            <w:pPr>
              <w:rPr>
                <w:lang w:val="en-IN"/>
              </w:rPr>
            </w:pPr>
            <w:r w:rsidRPr="00D0113F">
              <w:rPr>
                <w:lang w:val="en-IN"/>
              </w:rPr>
              <w:t>Monthly</w:t>
            </w:r>
          </w:p>
        </w:tc>
      </w:tr>
      <w:tr w:rsidR="00D0113F" w:rsidRPr="00D0113F" w14:paraId="78778B71" w14:textId="77777777" w:rsidTr="00D0113F">
        <w:trPr>
          <w:tblCellSpacing w:w="15" w:type="dxa"/>
        </w:trPr>
        <w:tc>
          <w:tcPr>
            <w:tcW w:w="0" w:type="auto"/>
            <w:vAlign w:val="center"/>
            <w:hideMark/>
          </w:tcPr>
          <w:p w14:paraId="4DFC4E45" w14:textId="77777777" w:rsidR="00D0113F" w:rsidRPr="00D0113F" w:rsidRDefault="00D0113F" w:rsidP="00D0113F">
            <w:pPr>
              <w:rPr>
                <w:lang w:val="en-IN"/>
              </w:rPr>
            </w:pPr>
            <w:r w:rsidRPr="00D0113F">
              <w:rPr>
                <w:lang w:val="en-IN"/>
              </w:rPr>
              <w:t>Residents</w:t>
            </w:r>
          </w:p>
        </w:tc>
        <w:tc>
          <w:tcPr>
            <w:tcW w:w="0" w:type="auto"/>
            <w:vAlign w:val="center"/>
            <w:hideMark/>
          </w:tcPr>
          <w:p w14:paraId="63539870" w14:textId="77777777" w:rsidR="00D0113F" w:rsidRPr="00D0113F" w:rsidRDefault="00D0113F" w:rsidP="00D0113F">
            <w:pPr>
              <w:rPr>
                <w:lang w:val="en-IN"/>
              </w:rPr>
            </w:pPr>
            <w:r w:rsidRPr="00D0113F">
              <w:rPr>
                <w:lang w:val="en-IN"/>
              </w:rPr>
              <w:t>Public consultations, social media, newsletters</w:t>
            </w:r>
          </w:p>
        </w:tc>
        <w:tc>
          <w:tcPr>
            <w:tcW w:w="0" w:type="auto"/>
            <w:vAlign w:val="center"/>
            <w:hideMark/>
          </w:tcPr>
          <w:p w14:paraId="190BE5B2" w14:textId="77777777" w:rsidR="00D0113F" w:rsidRPr="00D0113F" w:rsidRDefault="00D0113F" w:rsidP="00D0113F">
            <w:pPr>
              <w:rPr>
                <w:lang w:val="en-IN"/>
              </w:rPr>
            </w:pPr>
            <w:r w:rsidRPr="00D0113F">
              <w:rPr>
                <w:lang w:val="en-IN"/>
              </w:rPr>
              <w:t>Quarterly</w:t>
            </w:r>
          </w:p>
        </w:tc>
      </w:tr>
      <w:tr w:rsidR="00D0113F" w:rsidRPr="00D0113F" w14:paraId="10A42CFB" w14:textId="77777777" w:rsidTr="00D0113F">
        <w:trPr>
          <w:tblCellSpacing w:w="15" w:type="dxa"/>
        </w:trPr>
        <w:tc>
          <w:tcPr>
            <w:tcW w:w="0" w:type="auto"/>
            <w:vAlign w:val="center"/>
            <w:hideMark/>
          </w:tcPr>
          <w:p w14:paraId="1D2D6D95" w14:textId="77777777" w:rsidR="00D0113F" w:rsidRPr="00D0113F" w:rsidRDefault="00D0113F" w:rsidP="00D0113F">
            <w:pPr>
              <w:rPr>
                <w:lang w:val="en-IN"/>
              </w:rPr>
            </w:pPr>
            <w:r w:rsidRPr="00D0113F">
              <w:rPr>
                <w:lang w:val="en-IN"/>
              </w:rPr>
              <w:t>Businesses</w:t>
            </w:r>
          </w:p>
        </w:tc>
        <w:tc>
          <w:tcPr>
            <w:tcW w:w="0" w:type="auto"/>
            <w:vAlign w:val="center"/>
            <w:hideMark/>
          </w:tcPr>
          <w:p w14:paraId="72D1A699" w14:textId="77777777" w:rsidR="00D0113F" w:rsidRPr="00D0113F" w:rsidRDefault="00D0113F" w:rsidP="00D0113F">
            <w:pPr>
              <w:rPr>
                <w:lang w:val="en-IN"/>
              </w:rPr>
            </w:pPr>
            <w:r w:rsidRPr="00D0113F">
              <w:rPr>
                <w:lang w:val="en-IN"/>
              </w:rPr>
              <w:t>Business forums, email briefings</w:t>
            </w:r>
          </w:p>
        </w:tc>
        <w:tc>
          <w:tcPr>
            <w:tcW w:w="0" w:type="auto"/>
            <w:vAlign w:val="center"/>
            <w:hideMark/>
          </w:tcPr>
          <w:p w14:paraId="6FF121A2" w14:textId="77777777" w:rsidR="00D0113F" w:rsidRPr="00D0113F" w:rsidRDefault="00D0113F" w:rsidP="00D0113F">
            <w:pPr>
              <w:rPr>
                <w:lang w:val="en-IN"/>
              </w:rPr>
            </w:pPr>
            <w:r w:rsidRPr="00D0113F">
              <w:rPr>
                <w:lang w:val="en-IN"/>
              </w:rPr>
              <w:t>Bi-monthly</w:t>
            </w:r>
          </w:p>
        </w:tc>
      </w:tr>
      <w:tr w:rsidR="00D0113F" w:rsidRPr="00D0113F" w14:paraId="305AB2AE" w14:textId="77777777" w:rsidTr="00D0113F">
        <w:trPr>
          <w:tblCellSpacing w:w="15" w:type="dxa"/>
        </w:trPr>
        <w:tc>
          <w:tcPr>
            <w:tcW w:w="0" w:type="auto"/>
            <w:vAlign w:val="center"/>
            <w:hideMark/>
          </w:tcPr>
          <w:p w14:paraId="055E46AB" w14:textId="77777777" w:rsidR="00D0113F" w:rsidRPr="00D0113F" w:rsidRDefault="00D0113F" w:rsidP="00D0113F">
            <w:pPr>
              <w:rPr>
                <w:lang w:val="en-IN"/>
              </w:rPr>
            </w:pPr>
            <w:r w:rsidRPr="00D0113F">
              <w:rPr>
                <w:lang w:val="en-IN"/>
              </w:rPr>
              <w:t>Funding Bodies</w:t>
            </w:r>
          </w:p>
        </w:tc>
        <w:tc>
          <w:tcPr>
            <w:tcW w:w="0" w:type="auto"/>
            <w:vAlign w:val="center"/>
            <w:hideMark/>
          </w:tcPr>
          <w:p w14:paraId="0CC9CB6A" w14:textId="77777777" w:rsidR="00D0113F" w:rsidRPr="00D0113F" w:rsidRDefault="00D0113F" w:rsidP="00D0113F">
            <w:pPr>
              <w:rPr>
                <w:lang w:val="en-IN"/>
              </w:rPr>
            </w:pPr>
            <w:r w:rsidRPr="00D0113F">
              <w:rPr>
                <w:lang w:val="en-IN"/>
              </w:rPr>
              <w:t>Performance reports, financial audits</w:t>
            </w:r>
          </w:p>
        </w:tc>
        <w:tc>
          <w:tcPr>
            <w:tcW w:w="0" w:type="auto"/>
            <w:vAlign w:val="center"/>
            <w:hideMark/>
          </w:tcPr>
          <w:p w14:paraId="348D6B50" w14:textId="77777777" w:rsidR="00D0113F" w:rsidRPr="00D0113F" w:rsidRDefault="00D0113F" w:rsidP="00D0113F">
            <w:pPr>
              <w:rPr>
                <w:lang w:val="en-IN"/>
              </w:rPr>
            </w:pPr>
            <w:r w:rsidRPr="00D0113F">
              <w:rPr>
                <w:lang w:val="en-IN"/>
              </w:rPr>
              <w:t>Quarterly</w:t>
            </w:r>
          </w:p>
        </w:tc>
      </w:tr>
    </w:tbl>
    <w:p w14:paraId="6230E852" w14:textId="77777777" w:rsidR="00DC18FC" w:rsidRDefault="00DC18FC" w:rsidP="00DB17CC">
      <w:pPr>
        <w:rPr>
          <w:lang w:val="en-IN"/>
        </w:rPr>
      </w:pPr>
    </w:p>
    <w:p w14:paraId="19A7FB1F" w14:textId="0BAF6135" w:rsidR="00DB17CC" w:rsidRDefault="00DB17CC" w:rsidP="00DB17CC">
      <w:pPr>
        <w:rPr>
          <w:b/>
          <w:lang w:val="en-IN"/>
        </w:rPr>
      </w:pPr>
      <w:r w:rsidRPr="00DB17CC">
        <w:rPr>
          <w:lang w:val="en-IN"/>
        </w:rPr>
        <w:t>The communication plan should be clear enough but not too technical. Excessively technical planning documents can be unfriendly to the community stakeholders</w:t>
      </w:r>
      <w:r w:rsidR="00142224">
        <w:rPr>
          <w:lang w:val="en-IN"/>
        </w:rPr>
        <w:t>,</w:t>
      </w:r>
      <w:r w:rsidRPr="00DB17CC">
        <w:rPr>
          <w:lang w:val="en-IN"/>
        </w:rPr>
        <w:t xml:space="preserve"> whereas simplified messages can lower transparency.</w:t>
      </w:r>
    </w:p>
    <w:p w14:paraId="59A2C864" w14:textId="1AC52EFA" w:rsidR="00D0113F" w:rsidRPr="00D0113F" w:rsidRDefault="00D0113F" w:rsidP="00387C8A">
      <w:pPr>
        <w:pStyle w:val="Heading2"/>
        <w:rPr>
          <w:lang w:val="en-IN"/>
        </w:rPr>
      </w:pPr>
      <w:bookmarkStart w:id="12" w:name="_Toc222992974"/>
      <w:r w:rsidRPr="00D0113F">
        <w:rPr>
          <w:lang w:val="en-IN"/>
        </w:rPr>
        <w:lastRenderedPageBreak/>
        <w:t>2.5 Corporate Social Responsibility (CSR) and Sustainability</w:t>
      </w:r>
      <w:bookmarkEnd w:id="12"/>
    </w:p>
    <w:p w14:paraId="744C68CD" w14:textId="3C313665" w:rsidR="00AB3A9E" w:rsidRPr="00AB3A9E" w:rsidRDefault="00AB3A9E" w:rsidP="00AB3A9E">
      <w:pPr>
        <w:rPr>
          <w:lang w:val="en-IN"/>
        </w:rPr>
      </w:pPr>
      <w:r w:rsidRPr="00AB3A9E">
        <w:rPr>
          <w:lang w:val="en-IN"/>
        </w:rPr>
        <w:t>CSR is the organisational accountability to the economic, social and environmental stakeholders (</w:t>
      </w:r>
      <w:r w:rsidR="009D1DC7" w:rsidRPr="009D1DC7">
        <w:rPr>
          <w:lang w:val="en-IN"/>
        </w:rPr>
        <w:t>Awa, Etim, and Ogbonda, 2024</w:t>
      </w:r>
      <w:r w:rsidRPr="00AB3A9E">
        <w:rPr>
          <w:lang w:val="en-IN"/>
        </w:rPr>
        <w:t>). CSR is manifested in regeneration projects as Sustainable construction practices, Inclusion of green space, Energy-efficient housing, and local employment.</w:t>
      </w:r>
    </w:p>
    <w:p w14:paraId="28133E3A" w14:textId="354CF3C9" w:rsidR="00AB3A9E" w:rsidRPr="00AF4CCC" w:rsidRDefault="00AB3A9E" w:rsidP="00AB3A9E">
      <w:pPr>
        <w:rPr>
          <w:lang w:val="en-IN"/>
        </w:rPr>
      </w:pPr>
      <w:r w:rsidRPr="00AB3A9E">
        <w:rPr>
          <w:lang w:val="en-IN"/>
        </w:rPr>
        <w:t xml:space="preserve">The Telford regeneration involves residential development and infrastructure enhancement to enable the </w:t>
      </w:r>
      <w:r w:rsidR="00E15F01" w:rsidRPr="00AB3A9E">
        <w:rPr>
          <w:lang w:val="en-IN"/>
        </w:rPr>
        <w:t>long-term</w:t>
      </w:r>
      <w:r w:rsidRPr="00AB3A9E">
        <w:rPr>
          <w:lang w:val="en-IN"/>
        </w:rPr>
        <w:t xml:space="preserve"> sustainability of the economy. The statistics of population growth indicate pressure </w:t>
      </w:r>
      <w:r w:rsidR="00142224">
        <w:rPr>
          <w:lang w:val="en-IN"/>
        </w:rPr>
        <w:t>on</w:t>
      </w:r>
      <w:r w:rsidRPr="00AB3A9E">
        <w:rPr>
          <w:lang w:val="en-IN"/>
        </w:rPr>
        <w:t xml:space="preserve"> housing demand, which supports the significance of socially responsible planning</w:t>
      </w:r>
      <w:r w:rsidR="00E15F01">
        <w:rPr>
          <w:lang w:val="en-IN"/>
        </w:rPr>
        <w:t xml:space="preserve"> (</w:t>
      </w:r>
      <w:r w:rsidR="00E15F01" w:rsidRPr="00E15F01">
        <w:rPr>
          <w:lang w:val="en-IN"/>
        </w:rPr>
        <w:t>Fallah Shayan</w:t>
      </w:r>
      <w:r w:rsidR="00E15F01">
        <w:rPr>
          <w:lang w:val="en-IN"/>
        </w:rPr>
        <w:t xml:space="preserve"> et al., </w:t>
      </w:r>
      <w:r w:rsidR="00E15F01" w:rsidRPr="00E15F01">
        <w:rPr>
          <w:lang w:val="en-IN"/>
        </w:rPr>
        <w:t>2022</w:t>
      </w:r>
      <w:r w:rsidR="00E15F01">
        <w:rPr>
          <w:lang w:val="en-IN"/>
        </w:rPr>
        <w:t>)</w:t>
      </w:r>
      <w:r w:rsidRPr="00AB3A9E">
        <w:rPr>
          <w:lang w:val="en-IN"/>
        </w:rPr>
        <w:t>.</w:t>
      </w:r>
      <w:r w:rsidR="00AF4CCC">
        <w:rPr>
          <w:lang w:val="en-IN"/>
        </w:rPr>
        <w:t xml:space="preserve"> </w:t>
      </w:r>
      <w:r w:rsidRPr="00AB3A9E">
        <w:rPr>
          <w:lang w:val="en-IN"/>
        </w:rPr>
        <w:t xml:space="preserve">The environmental stakeholders might be concerned with the Carbon emissions, Traffic congestion, and the loss of Biodiversity. The inclusion of sustainability goals is in line with current CSR models in the modern public sector and </w:t>
      </w:r>
      <w:r w:rsidR="00142224">
        <w:rPr>
          <w:lang w:val="en-IN"/>
        </w:rPr>
        <w:t xml:space="preserve">the </w:t>
      </w:r>
      <w:r w:rsidRPr="00AB3A9E">
        <w:rPr>
          <w:lang w:val="en-IN"/>
        </w:rPr>
        <w:t>UK Net Zero</w:t>
      </w:r>
      <w:r w:rsidR="00467667">
        <w:rPr>
          <w:lang w:val="en-IN"/>
        </w:rPr>
        <w:t xml:space="preserve"> (</w:t>
      </w:r>
      <w:r w:rsidR="00467667" w:rsidRPr="00467667">
        <w:rPr>
          <w:lang w:val="en-IN"/>
        </w:rPr>
        <w:t>Shahzad</w:t>
      </w:r>
      <w:r w:rsidR="00467667">
        <w:rPr>
          <w:lang w:val="en-IN"/>
        </w:rPr>
        <w:t xml:space="preserve"> et al., </w:t>
      </w:r>
      <w:r w:rsidR="00467667" w:rsidRPr="00467667">
        <w:rPr>
          <w:lang w:val="en-IN"/>
        </w:rPr>
        <w:t>2024</w:t>
      </w:r>
      <w:r w:rsidR="00467667">
        <w:rPr>
          <w:lang w:val="en-IN"/>
        </w:rPr>
        <w:t>)</w:t>
      </w:r>
      <w:r w:rsidRPr="00AB3A9E">
        <w:rPr>
          <w:lang w:val="en-IN"/>
        </w:rPr>
        <w:t>.</w:t>
      </w:r>
    </w:p>
    <w:p w14:paraId="3D0A2170" w14:textId="06C0A8AA" w:rsidR="00D0113F" w:rsidRPr="00D0113F" w:rsidRDefault="00D0113F" w:rsidP="00AB3A9E">
      <w:pPr>
        <w:pStyle w:val="Heading2"/>
        <w:rPr>
          <w:lang w:val="en-IN"/>
        </w:rPr>
      </w:pPr>
      <w:bookmarkStart w:id="13" w:name="_Toc222992975"/>
      <w:r w:rsidRPr="00D0113F">
        <w:rPr>
          <w:lang w:val="en-IN"/>
        </w:rPr>
        <w:t>2.6 Challenges in Stakeholder Engagement</w:t>
      </w:r>
      <w:bookmarkEnd w:id="13"/>
    </w:p>
    <w:p w14:paraId="4C087D6E" w14:textId="77777777" w:rsidR="003E267B" w:rsidRPr="003E267B" w:rsidRDefault="003E267B" w:rsidP="00DC4C5C">
      <w:pPr>
        <w:rPr>
          <w:lang w:val="en-IN"/>
        </w:rPr>
      </w:pPr>
      <w:r w:rsidRPr="003E267B">
        <w:rPr>
          <w:lang w:val="en-IN"/>
        </w:rPr>
        <w:t>Notwithstanding systematic plans, there are problems:</w:t>
      </w:r>
    </w:p>
    <w:p w14:paraId="7CC0D101" w14:textId="72C2DC4C" w:rsidR="003E267B" w:rsidRPr="00820213" w:rsidRDefault="003E267B" w:rsidP="00820213">
      <w:pPr>
        <w:pStyle w:val="ListParagraph"/>
        <w:numPr>
          <w:ilvl w:val="0"/>
          <w:numId w:val="20"/>
        </w:numPr>
        <w:rPr>
          <w:lang w:val="en-IN"/>
        </w:rPr>
      </w:pPr>
      <w:r w:rsidRPr="00820213">
        <w:rPr>
          <w:lang w:val="en-IN"/>
        </w:rPr>
        <w:t>Conflict of Interests: Developers are concerned with profitability</w:t>
      </w:r>
      <w:r w:rsidR="00142224" w:rsidRPr="00820213">
        <w:rPr>
          <w:lang w:val="en-IN"/>
        </w:rPr>
        <w:t>,</w:t>
      </w:r>
      <w:r w:rsidRPr="00820213">
        <w:rPr>
          <w:lang w:val="en-IN"/>
        </w:rPr>
        <w:t xml:space="preserve"> whereas residents are concerned with quality of life. A </w:t>
      </w:r>
      <w:r w:rsidR="00DC4C5C" w:rsidRPr="00820213">
        <w:rPr>
          <w:lang w:val="en-IN"/>
        </w:rPr>
        <w:t>trade-off</w:t>
      </w:r>
      <w:r w:rsidRPr="00820213">
        <w:rPr>
          <w:lang w:val="en-IN"/>
        </w:rPr>
        <w:t xml:space="preserve"> between economic growth and social welfare is a matter of compromise and bargaining.</w:t>
      </w:r>
    </w:p>
    <w:p w14:paraId="0C1F10B9" w14:textId="68C8F301" w:rsidR="003E267B" w:rsidRPr="00820213" w:rsidRDefault="003E267B" w:rsidP="00820213">
      <w:pPr>
        <w:pStyle w:val="ListParagraph"/>
        <w:numPr>
          <w:ilvl w:val="0"/>
          <w:numId w:val="20"/>
        </w:numPr>
        <w:rPr>
          <w:lang w:val="en-IN"/>
        </w:rPr>
      </w:pPr>
      <w:r w:rsidRPr="00820213">
        <w:rPr>
          <w:lang w:val="en-IN"/>
        </w:rPr>
        <w:t xml:space="preserve">Representation Inequality: There might be an overrepresentation of some groups (e.g., young professionals) and </w:t>
      </w:r>
      <w:r w:rsidR="00142224" w:rsidRPr="00820213">
        <w:rPr>
          <w:lang w:val="en-IN"/>
        </w:rPr>
        <w:t xml:space="preserve">an </w:t>
      </w:r>
      <w:r w:rsidRPr="00820213">
        <w:rPr>
          <w:lang w:val="en-IN"/>
        </w:rPr>
        <w:t>underrepresentation of vulnerable groups (e.g., elderly, low-income residents).</w:t>
      </w:r>
    </w:p>
    <w:p w14:paraId="1ED13857" w14:textId="2CB7DDEC" w:rsidR="003E267B" w:rsidRPr="00820213" w:rsidRDefault="003E267B" w:rsidP="00820213">
      <w:pPr>
        <w:pStyle w:val="ListParagraph"/>
        <w:numPr>
          <w:ilvl w:val="0"/>
          <w:numId w:val="20"/>
        </w:numPr>
        <w:rPr>
          <w:lang w:val="en-IN"/>
        </w:rPr>
      </w:pPr>
      <w:r w:rsidRPr="00820213">
        <w:rPr>
          <w:lang w:val="en-IN"/>
        </w:rPr>
        <w:t>Transparency and Trust: When the stakeholders feel that the decisions are made beforehand, trust may be lost</w:t>
      </w:r>
      <w:r w:rsidR="00142224" w:rsidRPr="00820213">
        <w:rPr>
          <w:lang w:val="en-IN"/>
        </w:rPr>
        <w:t>,</w:t>
      </w:r>
      <w:r w:rsidRPr="00820213">
        <w:rPr>
          <w:lang w:val="en-IN"/>
        </w:rPr>
        <w:t xml:space="preserve"> and this may diminish the effectiveness of engagement.</w:t>
      </w:r>
    </w:p>
    <w:p w14:paraId="48E9B951" w14:textId="053A6E99" w:rsidR="003E267B" w:rsidRPr="00820213" w:rsidRDefault="003E267B" w:rsidP="00820213">
      <w:pPr>
        <w:pStyle w:val="ListParagraph"/>
        <w:numPr>
          <w:ilvl w:val="0"/>
          <w:numId w:val="20"/>
        </w:numPr>
        <w:rPr>
          <w:b/>
          <w:lang w:val="en-IN"/>
        </w:rPr>
      </w:pPr>
      <w:r w:rsidRPr="00820213">
        <w:rPr>
          <w:lang w:val="en-IN"/>
        </w:rPr>
        <w:t>Managing Expectations: Regeneration projects usually boast of economic change</w:t>
      </w:r>
      <w:r w:rsidR="00142224" w:rsidRPr="00820213">
        <w:rPr>
          <w:lang w:val="en-IN"/>
        </w:rPr>
        <w:t>,</w:t>
      </w:r>
      <w:r w:rsidRPr="00820213">
        <w:rPr>
          <w:lang w:val="en-IN"/>
        </w:rPr>
        <w:t xml:space="preserve"> but any delay or obvious disruption might cause disappointment</w:t>
      </w:r>
      <w:r w:rsidR="006C5F19">
        <w:rPr>
          <w:lang w:val="en-IN"/>
        </w:rPr>
        <w:t xml:space="preserve"> (</w:t>
      </w:r>
      <w:r w:rsidR="006C5F19" w:rsidRPr="006C5F19">
        <w:rPr>
          <w:lang w:val="en-IN"/>
        </w:rPr>
        <w:t>Gleeds</w:t>
      </w:r>
      <w:r w:rsidR="006C5F19">
        <w:rPr>
          <w:lang w:val="en-IN"/>
        </w:rPr>
        <w:t xml:space="preserve">, </w:t>
      </w:r>
      <w:r w:rsidR="006C5F19" w:rsidRPr="006C5F19">
        <w:rPr>
          <w:lang w:val="en-IN"/>
        </w:rPr>
        <w:t>2024</w:t>
      </w:r>
      <w:r w:rsidR="006C5F19">
        <w:rPr>
          <w:lang w:val="en-IN"/>
        </w:rPr>
        <w:t>)</w:t>
      </w:r>
      <w:r w:rsidRPr="00820213">
        <w:rPr>
          <w:lang w:val="en-IN"/>
        </w:rPr>
        <w:t>.</w:t>
      </w:r>
    </w:p>
    <w:p w14:paraId="169B307E" w14:textId="5C552142" w:rsidR="00D0113F" w:rsidRPr="00D0113F" w:rsidRDefault="00D0113F" w:rsidP="003E267B">
      <w:pPr>
        <w:pStyle w:val="Heading2"/>
        <w:rPr>
          <w:lang w:val="en-IN"/>
        </w:rPr>
      </w:pPr>
      <w:bookmarkStart w:id="14" w:name="_Toc222992976"/>
      <w:r w:rsidRPr="00D0113F">
        <w:rPr>
          <w:lang w:val="en-IN"/>
        </w:rPr>
        <w:t>2.7 Impact of Effective vs Ineffective Engagement</w:t>
      </w:r>
      <w:bookmarkEnd w:id="1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49"/>
        <w:gridCol w:w="4767"/>
      </w:tblGrid>
      <w:tr w:rsidR="00626F8B" w:rsidRPr="00626F8B" w14:paraId="5757EE3E" w14:textId="77777777" w:rsidTr="00626F8B">
        <w:trPr>
          <w:tblHeader/>
          <w:tblCellSpacing w:w="15" w:type="dxa"/>
        </w:trPr>
        <w:tc>
          <w:tcPr>
            <w:tcW w:w="0" w:type="auto"/>
            <w:vAlign w:val="center"/>
            <w:hideMark/>
          </w:tcPr>
          <w:p w14:paraId="2FC9C95B" w14:textId="7D1FBE32" w:rsidR="00626F8B" w:rsidRPr="00626F8B" w:rsidRDefault="00626F8B" w:rsidP="00626F8B">
            <w:pPr>
              <w:jc w:val="center"/>
              <w:rPr>
                <w:b/>
                <w:bCs/>
                <w:lang w:val="en-IN"/>
              </w:rPr>
            </w:pPr>
            <w:r w:rsidRPr="00626F8B">
              <w:rPr>
                <w:b/>
                <w:bCs/>
                <w:lang w:val="en-IN"/>
              </w:rPr>
              <w:t>Effective Stakeholder Engagement Results In</w:t>
            </w:r>
          </w:p>
        </w:tc>
        <w:tc>
          <w:tcPr>
            <w:tcW w:w="0" w:type="auto"/>
            <w:vAlign w:val="center"/>
            <w:hideMark/>
          </w:tcPr>
          <w:p w14:paraId="6B3E7D40" w14:textId="45D07A40" w:rsidR="00626F8B" w:rsidRPr="00626F8B" w:rsidRDefault="00626F8B" w:rsidP="00626F8B">
            <w:pPr>
              <w:jc w:val="center"/>
              <w:rPr>
                <w:b/>
                <w:bCs/>
                <w:lang w:val="en-IN"/>
              </w:rPr>
            </w:pPr>
            <w:r w:rsidRPr="00626F8B">
              <w:rPr>
                <w:b/>
                <w:bCs/>
                <w:lang w:val="en-IN"/>
              </w:rPr>
              <w:t>Ineffective Stakeholder Engagement May Result In</w:t>
            </w:r>
          </w:p>
        </w:tc>
      </w:tr>
      <w:tr w:rsidR="00626F8B" w:rsidRPr="00626F8B" w14:paraId="796BBC97" w14:textId="77777777" w:rsidTr="00626F8B">
        <w:trPr>
          <w:tblCellSpacing w:w="15" w:type="dxa"/>
        </w:trPr>
        <w:tc>
          <w:tcPr>
            <w:tcW w:w="0" w:type="auto"/>
            <w:vAlign w:val="center"/>
            <w:hideMark/>
          </w:tcPr>
          <w:p w14:paraId="635BB33D" w14:textId="77777777" w:rsidR="00626F8B" w:rsidRPr="00626F8B" w:rsidRDefault="00626F8B" w:rsidP="00626F8B">
            <w:pPr>
              <w:jc w:val="center"/>
              <w:rPr>
                <w:lang w:val="en-IN"/>
              </w:rPr>
            </w:pPr>
            <w:r w:rsidRPr="00626F8B">
              <w:rPr>
                <w:lang w:val="en-IN"/>
              </w:rPr>
              <w:t>Increased project legitimacy</w:t>
            </w:r>
          </w:p>
        </w:tc>
        <w:tc>
          <w:tcPr>
            <w:tcW w:w="0" w:type="auto"/>
            <w:vAlign w:val="center"/>
            <w:hideMark/>
          </w:tcPr>
          <w:p w14:paraId="4FF80885" w14:textId="77777777" w:rsidR="00626F8B" w:rsidRPr="00626F8B" w:rsidRDefault="00626F8B" w:rsidP="00626F8B">
            <w:pPr>
              <w:jc w:val="center"/>
              <w:rPr>
                <w:lang w:val="en-IN"/>
              </w:rPr>
            </w:pPr>
            <w:r w:rsidRPr="00626F8B">
              <w:rPr>
                <w:lang w:val="en-IN"/>
              </w:rPr>
              <w:t>Planning objections</w:t>
            </w:r>
          </w:p>
        </w:tc>
      </w:tr>
      <w:tr w:rsidR="00626F8B" w:rsidRPr="00626F8B" w14:paraId="0B5AEE0B" w14:textId="77777777" w:rsidTr="00626F8B">
        <w:trPr>
          <w:tblCellSpacing w:w="15" w:type="dxa"/>
        </w:trPr>
        <w:tc>
          <w:tcPr>
            <w:tcW w:w="0" w:type="auto"/>
            <w:vAlign w:val="center"/>
            <w:hideMark/>
          </w:tcPr>
          <w:p w14:paraId="352EEABC" w14:textId="77777777" w:rsidR="00626F8B" w:rsidRPr="00626F8B" w:rsidRDefault="00626F8B" w:rsidP="00626F8B">
            <w:pPr>
              <w:jc w:val="center"/>
              <w:rPr>
                <w:lang w:val="en-IN"/>
              </w:rPr>
            </w:pPr>
            <w:r w:rsidRPr="00626F8B">
              <w:rPr>
                <w:lang w:val="en-IN"/>
              </w:rPr>
              <w:lastRenderedPageBreak/>
              <w:t>Reduced resistance</w:t>
            </w:r>
          </w:p>
        </w:tc>
        <w:tc>
          <w:tcPr>
            <w:tcW w:w="0" w:type="auto"/>
            <w:vAlign w:val="center"/>
            <w:hideMark/>
          </w:tcPr>
          <w:p w14:paraId="63F00E21" w14:textId="77777777" w:rsidR="00626F8B" w:rsidRPr="00626F8B" w:rsidRDefault="00626F8B" w:rsidP="00626F8B">
            <w:pPr>
              <w:jc w:val="center"/>
              <w:rPr>
                <w:lang w:val="en-IN"/>
              </w:rPr>
            </w:pPr>
            <w:r w:rsidRPr="00626F8B">
              <w:rPr>
                <w:lang w:val="en-IN"/>
              </w:rPr>
              <w:t>Community protest</w:t>
            </w:r>
          </w:p>
        </w:tc>
      </w:tr>
      <w:tr w:rsidR="00626F8B" w:rsidRPr="00626F8B" w14:paraId="3AB455CB" w14:textId="77777777" w:rsidTr="00626F8B">
        <w:trPr>
          <w:tblCellSpacing w:w="15" w:type="dxa"/>
        </w:trPr>
        <w:tc>
          <w:tcPr>
            <w:tcW w:w="0" w:type="auto"/>
            <w:vAlign w:val="center"/>
            <w:hideMark/>
          </w:tcPr>
          <w:p w14:paraId="3A6ADE9C" w14:textId="77777777" w:rsidR="00626F8B" w:rsidRPr="00626F8B" w:rsidRDefault="00626F8B" w:rsidP="00626F8B">
            <w:pPr>
              <w:jc w:val="center"/>
              <w:rPr>
                <w:lang w:val="en-IN"/>
              </w:rPr>
            </w:pPr>
            <w:r w:rsidRPr="00626F8B">
              <w:rPr>
                <w:lang w:val="en-IN"/>
              </w:rPr>
              <w:t>Better alignment with community needs</w:t>
            </w:r>
          </w:p>
        </w:tc>
        <w:tc>
          <w:tcPr>
            <w:tcW w:w="0" w:type="auto"/>
            <w:vAlign w:val="center"/>
            <w:hideMark/>
          </w:tcPr>
          <w:p w14:paraId="30EACC82" w14:textId="77777777" w:rsidR="00626F8B" w:rsidRPr="00626F8B" w:rsidRDefault="00626F8B" w:rsidP="00626F8B">
            <w:pPr>
              <w:jc w:val="center"/>
              <w:rPr>
                <w:lang w:val="en-IN"/>
              </w:rPr>
            </w:pPr>
            <w:r w:rsidRPr="00626F8B">
              <w:rPr>
                <w:lang w:val="en-IN"/>
              </w:rPr>
              <w:t>Delays and financial cost overruns</w:t>
            </w:r>
          </w:p>
        </w:tc>
      </w:tr>
      <w:tr w:rsidR="00626F8B" w:rsidRPr="00626F8B" w14:paraId="4089AF20" w14:textId="77777777" w:rsidTr="00626F8B">
        <w:trPr>
          <w:tblCellSpacing w:w="15" w:type="dxa"/>
        </w:trPr>
        <w:tc>
          <w:tcPr>
            <w:tcW w:w="0" w:type="auto"/>
            <w:vAlign w:val="center"/>
            <w:hideMark/>
          </w:tcPr>
          <w:p w14:paraId="334C19EC" w14:textId="77777777" w:rsidR="00626F8B" w:rsidRPr="00626F8B" w:rsidRDefault="00626F8B" w:rsidP="00626F8B">
            <w:pPr>
              <w:jc w:val="center"/>
              <w:rPr>
                <w:lang w:val="en-IN"/>
              </w:rPr>
            </w:pPr>
            <w:r w:rsidRPr="00626F8B">
              <w:rPr>
                <w:lang w:val="en-IN"/>
              </w:rPr>
              <w:t>Long-term sustainability</w:t>
            </w:r>
          </w:p>
        </w:tc>
        <w:tc>
          <w:tcPr>
            <w:tcW w:w="0" w:type="auto"/>
            <w:vAlign w:val="center"/>
            <w:hideMark/>
          </w:tcPr>
          <w:p w14:paraId="098B5006" w14:textId="77777777" w:rsidR="00626F8B" w:rsidRPr="00626F8B" w:rsidRDefault="00626F8B" w:rsidP="00626F8B">
            <w:pPr>
              <w:jc w:val="center"/>
              <w:rPr>
                <w:lang w:val="en-IN"/>
              </w:rPr>
            </w:pPr>
            <w:r w:rsidRPr="00626F8B">
              <w:rPr>
                <w:lang w:val="en-IN"/>
              </w:rPr>
              <w:t>Reputational damage</w:t>
            </w:r>
          </w:p>
        </w:tc>
      </w:tr>
    </w:tbl>
    <w:p w14:paraId="62B07F5C" w14:textId="77777777" w:rsidR="00D0113F" w:rsidRPr="00D0113F" w:rsidRDefault="00D0113F" w:rsidP="00387C8A">
      <w:pPr>
        <w:pStyle w:val="Heading2"/>
        <w:rPr>
          <w:lang w:val="en-IN"/>
        </w:rPr>
      </w:pPr>
      <w:bookmarkStart w:id="15" w:name="_Toc222992977"/>
      <w:r w:rsidRPr="00D0113F">
        <w:rPr>
          <w:lang w:val="en-IN"/>
        </w:rPr>
        <w:t>2.8 Application to the Telford Context</w:t>
      </w:r>
      <w:bookmarkEnd w:id="15"/>
    </w:p>
    <w:p w14:paraId="68217E4A" w14:textId="64776ED7" w:rsidR="00C745EE" w:rsidRDefault="00C745EE" w:rsidP="00C745EE">
      <w:pPr>
        <w:rPr>
          <w:b/>
          <w:lang w:val="en-IN"/>
        </w:rPr>
      </w:pPr>
      <w:r w:rsidRPr="00C745EE">
        <w:rPr>
          <w:lang w:val="en-IN"/>
        </w:rPr>
        <w:t>Stakeholder involvement in the context of Telford population expansion and economic shift should underpin the Housing accessibility, Sustainable urban living and Inclusive economic growth. Power-Interest Matrix makes sure that strategic priorities are prioritised</w:t>
      </w:r>
      <w:r w:rsidR="00142224">
        <w:rPr>
          <w:lang w:val="en-IN"/>
        </w:rPr>
        <w:t>,</w:t>
      </w:r>
      <w:r w:rsidRPr="00C745EE">
        <w:rPr>
          <w:lang w:val="en-IN"/>
        </w:rPr>
        <w:t xml:space="preserve"> and CSR principles make sure that the result is ethical and sustainable</w:t>
      </w:r>
      <w:r w:rsidR="00B92A3A">
        <w:rPr>
          <w:lang w:val="en-IN"/>
        </w:rPr>
        <w:t xml:space="preserve"> (</w:t>
      </w:r>
      <w:r w:rsidR="00B92A3A" w:rsidRPr="00B92A3A">
        <w:rPr>
          <w:lang w:val="en-IN"/>
        </w:rPr>
        <w:t>Khan, Saeed,</w:t>
      </w:r>
      <w:r w:rsidR="00B92A3A">
        <w:rPr>
          <w:lang w:val="en-IN"/>
        </w:rPr>
        <w:t xml:space="preserve"> </w:t>
      </w:r>
      <w:r w:rsidR="00B92A3A" w:rsidRPr="00B92A3A">
        <w:rPr>
          <w:lang w:val="en-IN"/>
        </w:rPr>
        <w:t>and Hussain, 2024</w:t>
      </w:r>
      <w:r w:rsidR="00B92A3A">
        <w:rPr>
          <w:lang w:val="en-IN"/>
        </w:rPr>
        <w:t>)</w:t>
      </w:r>
      <w:r w:rsidRPr="00C745EE">
        <w:rPr>
          <w:lang w:val="en-IN"/>
        </w:rPr>
        <w:t>. The communication strategy of the Council shows systematic interaction, but the inclusiveness and transparency still have to be improved.</w:t>
      </w:r>
    </w:p>
    <w:p w14:paraId="7B7783E8" w14:textId="672A984C" w:rsidR="00626F8B" w:rsidRPr="00626F8B" w:rsidRDefault="00626F8B" w:rsidP="00387C8A">
      <w:pPr>
        <w:pStyle w:val="Heading1"/>
        <w:rPr>
          <w:lang w:val="en-IN"/>
        </w:rPr>
      </w:pPr>
      <w:bookmarkStart w:id="16" w:name="_Toc222992978"/>
      <w:r w:rsidRPr="00626F8B">
        <w:rPr>
          <w:lang w:val="en-IN"/>
        </w:rPr>
        <w:t>Element 3: Ethical Consideration and Awareness, and Reflective Insight</w:t>
      </w:r>
      <w:bookmarkEnd w:id="16"/>
    </w:p>
    <w:p w14:paraId="330C4382" w14:textId="77777777" w:rsidR="00626F8B" w:rsidRPr="00626F8B" w:rsidRDefault="00626F8B" w:rsidP="00387C8A">
      <w:pPr>
        <w:pStyle w:val="Heading2"/>
        <w:rPr>
          <w:lang w:val="en-IN"/>
        </w:rPr>
      </w:pPr>
      <w:bookmarkStart w:id="17" w:name="_Toc222992979"/>
      <w:r w:rsidRPr="00626F8B">
        <w:rPr>
          <w:lang w:val="en-IN"/>
        </w:rPr>
        <w:t>3.0 Introduction to Ethical Stakeholder Engagement</w:t>
      </w:r>
      <w:bookmarkEnd w:id="17"/>
    </w:p>
    <w:p w14:paraId="54935160" w14:textId="650DFF48" w:rsidR="0054569F" w:rsidRDefault="0054569F" w:rsidP="0054569F">
      <w:pPr>
        <w:rPr>
          <w:b/>
          <w:lang w:val="en-IN"/>
        </w:rPr>
      </w:pPr>
      <w:r w:rsidRPr="0054569F">
        <w:rPr>
          <w:lang w:val="en-IN"/>
        </w:rPr>
        <w:t>Public sector regeneration projects are based on ethical stakeholder engagement</w:t>
      </w:r>
      <w:r w:rsidR="00142224">
        <w:rPr>
          <w:lang w:val="en-IN"/>
        </w:rPr>
        <w:t>,</w:t>
      </w:r>
      <w:r w:rsidRPr="0054569F">
        <w:rPr>
          <w:lang w:val="en-IN"/>
        </w:rPr>
        <w:t xml:space="preserve"> especially when the decision made directly impacts the </w:t>
      </w:r>
      <w:r w:rsidR="00142224">
        <w:rPr>
          <w:lang w:val="en-IN"/>
        </w:rPr>
        <w:t>well-being</w:t>
      </w:r>
      <w:r w:rsidRPr="0054569F">
        <w:rPr>
          <w:lang w:val="en-IN"/>
        </w:rPr>
        <w:t xml:space="preserve"> of the community, economic prospects and environmental sustainability. The stakeholder theory highlights the fact that organisations are not only morally bound to shareholders, but to all the groups that are impacted by their operations</w:t>
      </w:r>
      <w:r w:rsidR="00E80E70">
        <w:rPr>
          <w:lang w:val="en-IN"/>
        </w:rPr>
        <w:t xml:space="preserve"> (</w:t>
      </w:r>
      <w:r w:rsidR="00E80E70" w:rsidRPr="00E80E70">
        <w:rPr>
          <w:lang w:val="en-IN"/>
        </w:rPr>
        <w:t>O’Connell</w:t>
      </w:r>
      <w:r w:rsidR="00E80E70">
        <w:rPr>
          <w:lang w:val="en-IN"/>
        </w:rPr>
        <w:t xml:space="preserve"> </w:t>
      </w:r>
      <w:r w:rsidR="00E80E70" w:rsidRPr="00E80E70">
        <w:rPr>
          <w:lang w:val="en-IN"/>
        </w:rPr>
        <w:t>and Ward, 2023</w:t>
      </w:r>
      <w:r w:rsidR="00E80E70">
        <w:rPr>
          <w:lang w:val="en-IN"/>
        </w:rPr>
        <w:t>)</w:t>
      </w:r>
      <w:r w:rsidRPr="0054569F">
        <w:rPr>
          <w:lang w:val="en-IN"/>
        </w:rPr>
        <w:t>. In a local authority, like the Telford Town Centre Regeneration Project, ethical concerns go beyond compliance and are concerned with fairness, transparency, inclusivity and social responsibility. The regeneration projects are concerned with the use of public money, infrastructural facilities within the community and long-term urban development; hence, accountability and responsible governance should be expressed in the involvement of stakeholders.</w:t>
      </w:r>
    </w:p>
    <w:p w14:paraId="02FA0E2E" w14:textId="3243229B" w:rsidR="00626F8B" w:rsidRPr="00626F8B" w:rsidRDefault="00626F8B" w:rsidP="00387C8A">
      <w:pPr>
        <w:pStyle w:val="Heading2"/>
        <w:rPr>
          <w:lang w:val="en-IN"/>
        </w:rPr>
      </w:pPr>
      <w:bookmarkStart w:id="18" w:name="_Toc222992980"/>
      <w:r w:rsidRPr="00626F8B">
        <w:rPr>
          <w:lang w:val="en-IN"/>
        </w:rPr>
        <w:lastRenderedPageBreak/>
        <w:t>3.1 Community Interest and Social Responsibility</w:t>
      </w:r>
      <w:bookmarkEnd w:id="18"/>
    </w:p>
    <w:p w14:paraId="709851FA" w14:textId="374E1253" w:rsidR="001F47D7" w:rsidRPr="001F47D7" w:rsidRDefault="001F47D7" w:rsidP="001F47D7">
      <w:pPr>
        <w:rPr>
          <w:lang w:val="en-IN"/>
        </w:rPr>
      </w:pPr>
      <w:r w:rsidRPr="001F47D7">
        <w:rPr>
          <w:lang w:val="en-IN"/>
        </w:rPr>
        <w:t>Protecting community interest is one of the main ethical aspects in stakeholder engagement. Regeneration projects are usually promising in terms of economic growth, employment and better infrastructure</w:t>
      </w:r>
      <w:r w:rsidR="00142224">
        <w:rPr>
          <w:lang w:val="en-IN"/>
        </w:rPr>
        <w:t>,</w:t>
      </w:r>
      <w:r w:rsidRPr="001F47D7">
        <w:rPr>
          <w:lang w:val="en-IN"/>
        </w:rPr>
        <w:t xml:space="preserve"> but they can also lead to temporary inconvenience, displacement issues and a rise in the cost of living</w:t>
      </w:r>
      <w:r w:rsidR="00F26C40">
        <w:rPr>
          <w:lang w:val="en-IN"/>
        </w:rPr>
        <w:t xml:space="preserve"> (</w:t>
      </w:r>
      <w:r w:rsidR="00F26C40" w:rsidRPr="00F26C40">
        <w:rPr>
          <w:lang w:val="en-IN"/>
        </w:rPr>
        <w:t>Wei, Yuan, and Li, 2024</w:t>
      </w:r>
      <w:r w:rsidR="00F26C40">
        <w:rPr>
          <w:lang w:val="en-IN"/>
        </w:rPr>
        <w:t>)</w:t>
      </w:r>
      <w:r w:rsidRPr="001F47D7">
        <w:rPr>
          <w:lang w:val="en-IN"/>
        </w:rPr>
        <w:t xml:space="preserve">. Ethical involvement involves balancing between social </w:t>
      </w:r>
      <w:r w:rsidR="00142224">
        <w:rPr>
          <w:lang w:val="en-IN"/>
        </w:rPr>
        <w:t>well-being</w:t>
      </w:r>
      <w:r w:rsidRPr="001F47D7">
        <w:rPr>
          <w:lang w:val="en-IN"/>
        </w:rPr>
        <w:t xml:space="preserve"> and economic goals.</w:t>
      </w:r>
    </w:p>
    <w:p w14:paraId="1E8DDA22" w14:textId="1F248444" w:rsidR="001F47D7" w:rsidRPr="001F47D7" w:rsidRDefault="001F47D7" w:rsidP="001F47D7">
      <w:pPr>
        <w:rPr>
          <w:lang w:val="en-IN"/>
        </w:rPr>
      </w:pPr>
      <w:r w:rsidRPr="001F47D7">
        <w:rPr>
          <w:lang w:val="en-IN"/>
        </w:rPr>
        <w:t xml:space="preserve">In Telford, the increase in population and housing demand puts pressure </w:t>
      </w:r>
      <w:r w:rsidR="00C75F74">
        <w:rPr>
          <w:lang w:val="en-IN"/>
        </w:rPr>
        <w:t>on</w:t>
      </w:r>
      <w:r w:rsidRPr="001F47D7">
        <w:rPr>
          <w:lang w:val="en-IN"/>
        </w:rPr>
        <w:t xml:space="preserve"> the redevelopment</w:t>
      </w:r>
      <w:r w:rsidR="00F26C40">
        <w:rPr>
          <w:lang w:val="en-IN"/>
        </w:rPr>
        <w:t>, which</w:t>
      </w:r>
      <w:r w:rsidRPr="001F47D7">
        <w:rPr>
          <w:lang w:val="en-IN"/>
        </w:rPr>
        <w:t xml:space="preserve"> is justifiable. Nevertheless, commercial investment should not be </w:t>
      </w:r>
      <w:r w:rsidR="00142224">
        <w:rPr>
          <w:lang w:val="en-IN"/>
        </w:rPr>
        <w:t>prioritised</w:t>
      </w:r>
      <w:r w:rsidRPr="001F47D7">
        <w:rPr>
          <w:lang w:val="en-IN"/>
        </w:rPr>
        <w:t xml:space="preserve"> without proper consideration of affordable housing, accessibility and public space that may exclude vulnerable groups. Corporate Social Responsibility (CSR) Pyramid</w:t>
      </w:r>
      <w:r w:rsidR="00580007">
        <w:rPr>
          <w:lang w:val="en-IN"/>
        </w:rPr>
        <w:t xml:space="preserve"> </w:t>
      </w:r>
      <w:r w:rsidRPr="001F47D7">
        <w:rPr>
          <w:lang w:val="en-IN"/>
        </w:rPr>
        <w:t>stipulates that organisations should meet the economic, legal, ethical and philanthropic duties</w:t>
      </w:r>
      <w:r w:rsidR="00605598">
        <w:rPr>
          <w:lang w:val="en-IN"/>
        </w:rPr>
        <w:t xml:space="preserve"> (</w:t>
      </w:r>
      <w:r w:rsidR="00605598" w:rsidRPr="00605598">
        <w:rPr>
          <w:lang w:val="en-IN"/>
        </w:rPr>
        <w:t>Serhane,</w:t>
      </w:r>
      <w:r w:rsidR="00605598">
        <w:rPr>
          <w:lang w:val="en-IN"/>
        </w:rPr>
        <w:t xml:space="preserve"> </w:t>
      </w:r>
      <w:r w:rsidR="00605598" w:rsidRPr="00605598">
        <w:rPr>
          <w:lang w:val="en-IN"/>
        </w:rPr>
        <w:t>2025</w:t>
      </w:r>
      <w:r w:rsidR="00605598">
        <w:rPr>
          <w:lang w:val="en-IN"/>
        </w:rPr>
        <w:t>)</w:t>
      </w:r>
      <w:r w:rsidRPr="001F47D7">
        <w:rPr>
          <w:lang w:val="en-IN"/>
        </w:rPr>
        <w:t xml:space="preserve">. In the case of local authorities, ethical responsibility involves making sure that regeneration benefits are </w:t>
      </w:r>
      <w:r w:rsidR="00B5707B" w:rsidRPr="001F47D7">
        <w:rPr>
          <w:lang w:val="en-IN"/>
        </w:rPr>
        <w:t>shared</w:t>
      </w:r>
      <w:r w:rsidRPr="001F47D7">
        <w:rPr>
          <w:lang w:val="en-IN"/>
        </w:rPr>
        <w:t xml:space="preserve"> and not disparagingly disadvantageous to some communities.</w:t>
      </w:r>
    </w:p>
    <w:p w14:paraId="1A7192AD" w14:textId="410292FB" w:rsidR="001F47D7" w:rsidRDefault="001F47D7" w:rsidP="001F47D7">
      <w:pPr>
        <w:rPr>
          <w:b/>
          <w:lang w:val="en-IN"/>
        </w:rPr>
      </w:pPr>
      <w:r w:rsidRPr="001F47D7">
        <w:rPr>
          <w:lang w:val="en-IN"/>
        </w:rPr>
        <w:t>This underscores the need to have inclusive consultation procedures that embrace the voices of the various groups</w:t>
      </w:r>
      <w:r w:rsidR="00142224">
        <w:rPr>
          <w:lang w:val="en-IN"/>
        </w:rPr>
        <w:t>,</w:t>
      </w:r>
      <w:r w:rsidRPr="001F47D7">
        <w:rPr>
          <w:lang w:val="en-IN"/>
        </w:rPr>
        <w:t xml:space="preserve"> such as the elderly residents, low-income households and small business owners. Lack of reflection of community interest may be detrimental to legitimacy and trust.</w:t>
      </w:r>
    </w:p>
    <w:p w14:paraId="6E4ADD6C" w14:textId="06DAFEE7" w:rsidR="00626F8B" w:rsidRPr="00626F8B" w:rsidRDefault="00626F8B" w:rsidP="001F47D7">
      <w:pPr>
        <w:pStyle w:val="Heading2"/>
        <w:rPr>
          <w:lang w:val="en-IN"/>
        </w:rPr>
      </w:pPr>
      <w:bookmarkStart w:id="19" w:name="_Toc222992981"/>
      <w:r w:rsidRPr="00626F8B">
        <w:rPr>
          <w:lang w:val="en-IN"/>
        </w:rPr>
        <w:t>3.2 Transparency and Accountability</w:t>
      </w:r>
      <w:bookmarkEnd w:id="19"/>
    </w:p>
    <w:p w14:paraId="4635563F" w14:textId="0DAF636C" w:rsidR="009B267E" w:rsidRPr="009B267E" w:rsidRDefault="009B267E" w:rsidP="009B267E">
      <w:pPr>
        <w:rPr>
          <w:lang w:val="en-IN"/>
        </w:rPr>
      </w:pPr>
      <w:r w:rsidRPr="009B267E">
        <w:rPr>
          <w:lang w:val="en-IN"/>
        </w:rPr>
        <w:t xml:space="preserve">Ethical stakeholder engagement is about transparency. Regeneration projects are expensive undertakings that require accountability to the taxpayers in terms of financial investment and </w:t>
      </w:r>
      <w:r w:rsidR="00B5707B">
        <w:rPr>
          <w:lang w:val="en-IN"/>
        </w:rPr>
        <w:t>policymaking</w:t>
      </w:r>
      <w:r w:rsidRPr="009B267E">
        <w:rPr>
          <w:lang w:val="en-IN"/>
        </w:rPr>
        <w:t>. Open communication of sources of funds, schedules, risk</w:t>
      </w:r>
      <w:r w:rsidR="00142224">
        <w:rPr>
          <w:lang w:val="en-IN"/>
        </w:rPr>
        <w:t>,</w:t>
      </w:r>
      <w:r w:rsidRPr="009B267E">
        <w:rPr>
          <w:lang w:val="en-IN"/>
        </w:rPr>
        <w:t xml:space="preserve"> and benefits to be expected enhances trust among the population.</w:t>
      </w:r>
    </w:p>
    <w:p w14:paraId="073A8FEC" w14:textId="0175C558" w:rsidR="009B267E" w:rsidRPr="009B267E" w:rsidRDefault="009B267E" w:rsidP="009B267E">
      <w:pPr>
        <w:rPr>
          <w:lang w:val="en-IN"/>
        </w:rPr>
      </w:pPr>
      <w:r w:rsidRPr="009B267E">
        <w:rPr>
          <w:lang w:val="en-IN"/>
        </w:rPr>
        <w:t xml:space="preserve">In the Telford Town Centre Regeneration Project, ethical transparency involves the publicity of the planning decision, financial allocations and impact assessment. </w:t>
      </w:r>
      <w:r w:rsidR="008B4BA5" w:rsidRPr="008B4BA5">
        <w:rPr>
          <w:lang w:val="en-IN"/>
        </w:rPr>
        <w:t>Urbinati</w:t>
      </w:r>
      <w:r w:rsidR="002D2904">
        <w:rPr>
          <w:lang w:val="en-IN"/>
        </w:rPr>
        <w:t xml:space="preserve"> et al. </w:t>
      </w:r>
      <w:r w:rsidRPr="009B267E">
        <w:rPr>
          <w:lang w:val="en-IN"/>
        </w:rPr>
        <w:t>(</w:t>
      </w:r>
      <w:r w:rsidR="002D2904" w:rsidRPr="008B4BA5">
        <w:rPr>
          <w:lang w:val="en-IN"/>
        </w:rPr>
        <w:t>2021</w:t>
      </w:r>
      <w:r w:rsidRPr="009B267E">
        <w:rPr>
          <w:lang w:val="en-IN"/>
        </w:rPr>
        <w:t xml:space="preserve">) </w:t>
      </w:r>
      <w:r w:rsidR="00B44D39">
        <w:rPr>
          <w:lang w:val="en-IN"/>
        </w:rPr>
        <w:t>state</w:t>
      </w:r>
      <w:r w:rsidRPr="009B267E">
        <w:rPr>
          <w:lang w:val="en-IN"/>
        </w:rPr>
        <w:t xml:space="preserve"> that open stakeholder interactions </w:t>
      </w:r>
      <w:r w:rsidR="00142224">
        <w:rPr>
          <w:lang w:val="en-IN"/>
        </w:rPr>
        <w:t>minimise</w:t>
      </w:r>
      <w:r w:rsidRPr="009B267E">
        <w:rPr>
          <w:lang w:val="en-IN"/>
        </w:rPr>
        <w:t xml:space="preserve"> conflict and improve cooperation. On the other hand, when the stakeholders feel that decisions have been made or </w:t>
      </w:r>
      <w:r w:rsidR="00142224">
        <w:rPr>
          <w:lang w:val="en-IN"/>
        </w:rPr>
        <w:t xml:space="preserve">are </w:t>
      </w:r>
      <w:r w:rsidRPr="009B267E">
        <w:rPr>
          <w:lang w:val="en-IN"/>
        </w:rPr>
        <w:t>unjustified, the trust is eroded.</w:t>
      </w:r>
    </w:p>
    <w:p w14:paraId="0CCFD203" w14:textId="21E2BC1C" w:rsidR="009B267E" w:rsidRDefault="009B267E" w:rsidP="009B267E">
      <w:pPr>
        <w:rPr>
          <w:b/>
          <w:lang w:val="en-IN"/>
        </w:rPr>
      </w:pPr>
      <w:r w:rsidRPr="009B267E">
        <w:rPr>
          <w:lang w:val="en-IN"/>
        </w:rPr>
        <w:t>Accountability also means responding in a meaningful way to feedback as opposed to consultation as a procedural requirement. The Ladder of Participation cautions against tokenistic participation where stakeholders are not empowered and not informed</w:t>
      </w:r>
      <w:r w:rsidR="00570534">
        <w:rPr>
          <w:lang w:val="en-IN"/>
        </w:rPr>
        <w:t xml:space="preserve"> (</w:t>
      </w:r>
      <w:r w:rsidR="00570534" w:rsidRPr="00570534">
        <w:rPr>
          <w:lang w:val="en-IN"/>
        </w:rPr>
        <w:t>Bell</w:t>
      </w:r>
      <w:r w:rsidR="00570534">
        <w:rPr>
          <w:lang w:val="en-IN"/>
        </w:rPr>
        <w:t xml:space="preserve"> </w:t>
      </w:r>
      <w:r w:rsidR="00570534" w:rsidRPr="00570534">
        <w:rPr>
          <w:lang w:val="en-IN"/>
        </w:rPr>
        <w:t>and Reed, 2022</w:t>
      </w:r>
      <w:r w:rsidR="00570534">
        <w:rPr>
          <w:lang w:val="en-IN"/>
        </w:rPr>
        <w:t>)</w:t>
      </w:r>
      <w:r w:rsidRPr="009B267E">
        <w:rPr>
          <w:lang w:val="en-IN"/>
        </w:rPr>
        <w:t>. Ethical practice involves going beyond the minimum compliance to actual conversation.</w:t>
      </w:r>
    </w:p>
    <w:p w14:paraId="3694286E" w14:textId="3D2D457E" w:rsidR="00626F8B" w:rsidRPr="00626F8B" w:rsidRDefault="00626F8B" w:rsidP="009B267E">
      <w:pPr>
        <w:pStyle w:val="Heading2"/>
        <w:rPr>
          <w:lang w:val="en-IN"/>
        </w:rPr>
      </w:pPr>
      <w:bookmarkStart w:id="20" w:name="_Toc222992982"/>
      <w:r w:rsidRPr="00626F8B">
        <w:rPr>
          <w:lang w:val="en-IN"/>
        </w:rPr>
        <w:lastRenderedPageBreak/>
        <w:t>3.3 Fairness and Inclusivity</w:t>
      </w:r>
      <w:bookmarkEnd w:id="20"/>
    </w:p>
    <w:p w14:paraId="31439DC1" w14:textId="5B453242" w:rsidR="00301141" w:rsidRPr="00301141" w:rsidRDefault="00301141" w:rsidP="00301141">
      <w:pPr>
        <w:rPr>
          <w:lang w:val="en-IN"/>
        </w:rPr>
      </w:pPr>
      <w:r w:rsidRPr="00301141">
        <w:rPr>
          <w:lang w:val="en-IN"/>
        </w:rPr>
        <w:t>Fairness is the treatment of the stakeholders fairly</w:t>
      </w:r>
      <w:r w:rsidR="00142224">
        <w:rPr>
          <w:lang w:val="en-IN"/>
        </w:rPr>
        <w:t>,</w:t>
      </w:r>
      <w:r w:rsidRPr="00301141">
        <w:rPr>
          <w:lang w:val="en-IN"/>
        </w:rPr>
        <w:t xml:space="preserve"> whereas inclusivity means that the voices of different people will be heard during the </w:t>
      </w:r>
      <w:r w:rsidR="00142224">
        <w:rPr>
          <w:lang w:val="en-IN"/>
        </w:rPr>
        <w:t>decision-making</w:t>
      </w:r>
      <w:r w:rsidRPr="00301141">
        <w:rPr>
          <w:lang w:val="en-IN"/>
        </w:rPr>
        <w:t xml:space="preserve"> process</w:t>
      </w:r>
      <w:r w:rsidR="0016657C">
        <w:rPr>
          <w:lang w:val="en-IN"/>
        </w:rPr>
        <w:t xml:space="preserve"> (</w:t>
      </w:r>
      <w:r w:rsidR="0016657C" w:rsidRPr="0016657C">
        <w:rPr>
          <w:lang w:val="en-IN"/>
        </w:rPr>
        <w:t>Di Maddaloni and Derakhshan, 2024</w:t>
      </w:r>
      <w:r w:rsidR="0016657C">
        <w:rPr>
          <w:lang w:val="en-IN"/>
        </w:rPr>
        <w:t>)</w:t>
      </w:r>
      <w:r w:rsidRPr="00301141">
        <w:rPr>
          <w:lang w:val="en-IN"/>
        </w:rPr>
        <w:t>. Power imbalances tend to prevail in regeneration processes, with the high-power stakeholders like developers and the low-power groups like residents.</w:t>
      </w:r>
    </w:p>
    <w:p w14:paraId="0A07CC42" w14:textId="0A436B29" w:rsidR="00301141" w:rsidRPr="00301141" w:rsidRDefault="00301141" w:rsidP="00301141">
      <w:pPr>
        <w:rPr>
          <w:lang w:val="en-IN"/>
        </w:rPr>
      </w:pPr>
      <w:r w:rsidRPr="00301141">
        <w:rPr>
          <w:lang w:val="en-IN"/>
        </w:rPr>
        <w:t xml:space="preserve">The Power-Interest Matrix proves that residents can possess high interest and less formal authority. These imbalances should be reduced by the management of the ethical stakeholders by making meaningful consultation and communication lines accessible. </w:t>
      </w:r>
      <w:r w:rsidR="00142224">
        <w:rPr>
          <w:lang w:val="en-IN"/>
        </w:rPr>
        <w:t>Online</w:t>
      </w:r>
      <w:r w:rsidRPr="00301141">
        <w:rPr>
          <w:lang w:val="en-IN"/>
        </w:rPr>
        <w:t xml:space="preserve"> consultation systems have a higher reach, but online exclusion of older or less privileged residents is an ethical issue. Thus, the online interaction with real-life forums improves fairness.</w:t>
      </w:r>
    </w:p>
    <w:p w14:paraId="2CF044B2" w14:textId="14D36B1E" w:rsidR="00301141" w:rsidRDefault="00301141" w:rsidP="00301141">
      <w:pPr>
        <w:rPr>
          <w:b/>
          <w:lang w:val="en-IN"/>
        </w:rPr>
      </w:pPr>
      <w:r w:rsidRPr="00301141">
        <w:rPr>
          <w:lang w:val="en-IN"/>
        </w:rPr>
        <w:t xml:space="preserve">Inclusivity also </w:t>
      </w:r>
      <w:r w:rsidR="00142224">
        <w:rPr>
          <w:lang w:val="en-IN"/>
        </w:rPr>
        <w:t>takes</w:t>
      </w:r>
      <w:r w:rsidRPr="00301141">
        <w:rPr>
          <w:lang w:val="en-IN"/>
        </w:rPr>
        <w:t xml:space="preserve"> into account the environmental stakeholders and long-term sustainability. The intergenerational equity should be reflected in decisions, whereby the future residents enjoy the fruits of responsible planning as opposed to receiving the legacy of environmental degradation.</w:t>
      </w:r>
    </w:p>
    <w:p w14:paraId="106B2384" w14:textId="1B6280B4" w:rsidR="00626F8B" w:rsidRDefault="00626F8B" w:rsidP="00301141">
      <w:pPr>
        <w:pStyle w:val="Heading2"/>
        <w:rPr>
          <w:lang w:val="en-IN"/>
        </w:rPr>
      </w:pPr>
      <w:bookmarkStart w:id="21" w:name="_Toc222992983"/>
      <w:r w:rsidRPr="00626F8B">
        <w:rPr>
          <w:lang w:val="en-IN"/>
        </w:rPr>
        <w:t>3.4 Corporate Social Responsibility and Sustainability</w:t>
      </w:r>
      <w:bookmarkEnd w:id="21"/>
    </w:p>
    <w:p w14:paraId="05C2CC15" w14:textId="77777777" w:rsidR="005219BB" w:rsidRDefault="005219BB" w:rsidP="005219BB">
      <w:pPr>
        <w:keepNext/>
        <w:jc w:val="center"/>
      </w:pPr>
      <w:r>
        <w:rPr>
          <w:noProof/>
          <w:lang w:val="en-IN" w:eastAsia="en-IN" w:bidi="ar-SA"/>
        </w:rPr>
        <w:drawing>
          <wp:inline distT="0" distB="0" distL="0" distR="0" wp14:anchorId="262B72FC" wp14:editId="3AFFB7BB">
            <wp:extent cx="3776980" cy="2832944"/>
            <wp:effectExtent l="19050" t="19050" r="13970" b="24765"/>
            <wp:docPr id="1712282710" name="Picture 2" descr="Corporate Social Respon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porate Social Responsibil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0049" cy="2835246"/>
                    </a:xfrm>
                    <a:prstGeom prst="rect">
                      <a:avLst/>
                    </a:prstGeom>
                    <a:noFill/>
                    <a:ln>
                      <a:solidFill>
                        <a:schemeClr val="accent1"/>
                      </a:solidFill>
                    </a:ln>
                  </pic:spPr>
                </pic:pic>
              </a:graphicData>
            </a:graphic>
          </wp:inline>
        </w:drawing>
      </w:r>
    </w:p>
    <w:p w14:paraId="65A56AC8" w14:textId="77777777" w:rsidR="005219BB" w:rsidRDefault="005219BB" w:rsidP="005219BB">
      <w:pPr>
        <w:pStyle w:val="Caption"/>
        <w:jc w:val="center"/>
        <w:rPr>
          <w:color w:val="0D0D0D" w:themeColor="text1" w:themeTint="F2"/>
          <w:sz w:val="20"/>
          <w:szCs w:val="18"/>
          <w:lang w:val="en-IN"/>
        </w:rPr>
      </w:pPr>
      <w:bookmarkStart w:id="22" w:name="_Toc222992947"/>
      <w:r w:rsidRPr="005219BB">
        <w:rPr>
          <w:color w:val="0D0D0D" w:themeColor="text1" w:themeTint="F2"/>
          <w:sz w:val="20"/>
          <w:szCs w:val="18"/>
        </w:rPr>
        <w:t xml:space="preserve">Figure </w:t>
      </w:r>
      <w:r w:rsidRPr="005219BB">
        <w:rPr>
          <w:color w:val="0D0D0D" w:themeColor="text1" w:themeTint="F2"/>
          <w:sz w:val="20"/>
          <w:szCs w:val="18"/>
        </w:rPr>
        <w:fldChar w:fldCharType="begin"/>
      </w:r>
      <w:r w:rsidRPr="005219BB">
        <w:rPr>
          <w:color w:val="0D0D0D" w:themeColor="text1" w:themeTint="F2"/>
          <w:sz w:val="20"/>
          <w:szCs w:val="18"/>
        </w:rPr>
        <w:instrText xml:space="preserve"> SEQ Figure \* ARABIC </w:instrText>
      </w:r>
      <w:r w:rsidRPr="005219BB">
        <w:rPr>
          <w:color w:val="0D0D0D" w:themeColor="text1" w:themeTint="F2"/>
          <w:sz w:val="20"/>
          <w:szCs w:val="18"/>
        </w:rPr>
        <w:fldChar w:fldCharType="separate"/>
      </w:r>
      <w:r w:rsidRPr="005219BB">
        <w:rPr>
          <w:noProof/>
          <w:color w:val="0D0D0D" w:themeColor="text1" w:themeTint="F2"/>
          <w:sz w:val="20"/>
          <w:szCs w:val="18"/>
        </w:rPr>
        <w:t>2</w:t>
      </w:r>
      <w:r w:rsidRPr="005219BB">
        <w:rPr>
          <w:color w:val="0D0D0D" w:themeColor="text1" w:themeTint="F2"/>
          <w:sz w:val="20"/>
          <w:szCs w:val="18"/>
        </w:rPr>
        <w:fldChar w:fldCharType="end"/>
      </w:r>
      <w:r w:rsidRPr="005219BB">
        <w:rPr>
          <w:color w:val="0D0D0D" w:themeColor="text1" w:themeTint="F2"/>
          <w:sz w:val="20"/>
          <w:szCs w:val="18"/>
          <w:lang w:val="en-IN"/>
        </w:rPr>
        <w:t>: Corporate Social Responsibility</w:t>
      </w:r>
      <w:bookmarkEnd w:id="22"/>
      <w:r w:rsidRPr="005219BB">
        <w:rPr>
          <w:color w:val="0D0D0D" w:themeColor="text1" w:themeTint="F2"/>
          <w:sz w:val="20"/>
          <w:szCs w:val="18"/>
          <w:lang w:val="en-IN"/>
        </w:rPr>
        <w:t xml:space="preserve"> </w:t>
      </w:r>
    </w:p>
    <w:p w14:paraId="2EFB1B87" w14:textId="71B90A97" w:rsidR="005219BB" w:rsidRPr="005219BB" w:rsidRDefault="005219BB" w:rsidP="005219BB">
      <w:pPr>
        <w:pStyle w:val="Caption"/>
        <w:jc w:val="center"/>
        <w:rPr>
          <w:color w:val="0D0D0D" w:themeColor="text1" w:themeTint="F2"/>
          <w:sz w:val="20"/>
          <w:szCs w:val="18"/>
          <w:lang w:val="en-IN"/>
        </w:rPr>
      </w:pPr>
      <w:r w:rsidRPr="005219BB">
        <w:rPr>
          <w:color w:val="0D0D0D" w:themeColor="text1" w:themeTint="F2"/>
          <w:sz w:val="20"/>
          <w:szCs w:val="18"/>
          <w:lang w:val="en-IN"/>
        </w:rPr>
        <w:t>Source: (The Giving Machine, 2024/)</w:t>
      </w:r>
    </w:p>
    <w:p w14:paraId="13CC9CCD" w14:textId="73A16EC1" w:rsidR="00F3375F" w:rsidRPr="00F3375F" w:rsidRDefault="00F3375F" w:rsidP="00F3375F">
      <w:pPr>
        <w:rPr>
          <w:lang w:val="en-IN"/>
        </w:rPr>
      </w:pPr>
      <w:r w:rsidRPr="00F3375F">
        <w:rPr>
          <w:lang w:val="en-IN"/>
        </w:rPr>
        <w:t xml:space="preserve">Stakeholder management has a close relationship with Corporate Social Responsibility (CSR). According to </w:t>
      </w:r>
      <w:r w:rsidR="000478B7" w:rsidRPr="000478B7">
        <w:rPr>
          <w:lang w:val="en-IN"/>
        </w:rPr>
        <w:t>Freeman</w:t>
      </w:r>
      <w:r w:rsidR="000478B7">
        <w:rPr>
          <w:lang w:val="en-IN"/>
        </w:rPr>
        <w:t xml:space="preserve"> </w:t>
      </w:r>
      <w:r w:rsidR="000478B7" w:rsidRPr="000478B7">
        <w:rPr>
          <w:lang w:val="en-IN"/>
        </w:rPr>
        <w:t xml:space="preserve">and Velamuri </w:t>
      </w:r>
      <w:r w:rsidRPr="00F3375F">
        <w:rPr>
          <w:lang w:val="en-IN"/>
        </w:rPr>
        <w:t>(</w:t>
      </w:r>
      <w:r w:rsidR="000478B7" w:rsidRPr="000478B7">
        <w:rPr>
          <w:lang w:val="en-IN"/>
        </w:rPr>
        <w:t>2023</w:t>
      </w:r>
      <w:r w:rsidRPr="00F3375F">
        <w:rPr>
          <w:lang w:val="en-IN"/>
        </w:rPr>
        <w:t xml:space="preserve">), organisations perform well when they generate </w:t>
      </w:r>
      <w:r w:rsidRPr="00F3375F">
        <w:rPr>
          <w:lang w:val="en-IN"/>
        </w:rPr>
        <w:lastRenderedPageBreak/>
        <w:t xml:space="preserve">value </w:t>
      </w:r>
      <w:r w:rsidR="00CE2FB5">
        <w:rPr>
          <w:lang w:val="en-IN"/>
        </w:rPr>
        <w:t>for</w:t>
      </w:r>
      <w:r w:rsidRPr="00F3375F">
        <w:rPr>
          <w:lang w:val="en-IN"/>
        </w:rPr>
        <w:t xml:space="preserve"> the various stakeholder groups. CSR in the regeneration of the public sector is manifested in sustainable urban design, local employment and environmental management.</w:t>
      </w:r>
    </w:p>
    <w:p w14:paraId="2BA80E0F" w14:textId="24C1E2DB" w:rsidR="00F3375F" w:rsidRPr="00F3375F" w:rsidRDefault="00F3375F" w:rsidP="00F3375F">
      <w:pPr>
        <w:rPr>
          <w:lang w:val="en-IN"/>
        </w:rPr>
      </w:pPr>
      <w:r w:rsidRPr="00F3375F">
        <w:rPr>
          <w:lang w:val="en-IN"/>
        </w:rPr>
        <w:t xml:space="preserve">Included in the sustainability goals of the Telford regeneration project are better infrastructure, residential development and regeneration of the </w:t>
      </w:r>
      <w:r w:rsidR="00142224">
        <w:rPr>
          <w:lang w:val="en-IN"/>
        </w:rPr>
        <w:t>town centre</w:t>
      </w:r>
      <w:r w:rsidRPr="00F3375F">
        <w:rPr>
          <w:lang w:val="en-IN"/>
        </w:rPr>
        <w:t>. Environmental responsibility is in terms of sustainable construction practices, energy-efficient housing and green spaces in line with national net-zero goals.</w:t>
      </w:r>
    </w:p>
    <w:p w14:paraId="148DF0D2" w14:textId="07FB72FC" w:rsidR="00F3375F" w:rsidRPr="00B26B65" w:rsidRDefault="00F3375F" w:rsidP="00F3375F">
      <w:pPr>
        <w:rPr>
          <w:lang w:val="en-IN"/>
        </w:rPr>
      </w:pPr>
      <w:r w:rsidRPr="00F3375F">
        <w:rPr>
          <w:lang w:val="en-IN"/>
        </w:rPr>
        <w:t xml:space="preserve">The concept of sustainability can be explained in terms of </w:t>
      </w:r>
      <w:r w:rsidR="00142224">
        <w:rPr>
          <w:lang w:val="en-IN"/>
        </w:rPr>
        <w:t xml:space="preserve">the </w:t>
      </w:r>
      <w:r w:rsidRPr="00F3375F">
        <w:rPr>
          <w:lang w:val="en-IN"/>
        </w:rPr>
        <w:t>Triple Bottom Line framework (</w:t>
      </w:r>
      <w:r w:rsidR="007D6CB9" w:rsidRPr="007D6CB9">
        <w:rPr>
          <w:lang w:val="en-IN"/>
        </w:rPr>
        <w:t>Zaharia</w:t>
      </w:r>
      <w:r w:rsidR="007D6CB9">
        <w:rPr>
          <w:lang w:val="en-IN"/>
        </w:rPr>
        <w:t xml:space="preserve"> </w:t>
      </w:r>
      <w:r w:rsidR="007D6CB9" w:rsidRPr="007D6CB9">
        <w:rPr>
          <w:lang w:val="en-IN"/>
        </w:rPr>
        <w:t>and Zaharia, 2021</w:t>
      </w:r>
      <w:r w:rsidRPr="00F3375F">
        <w:rPr>
          <w:lang w:val="en-IN"/>
        </w:rPr>
        <w:t xml:space="preserve">) that focuses on economic, social and environmental </w:t>
      </w:r>
      <w:r w:rsidR="00B5707B" w:rsidRPr="00F3375F">
        <w:rPr>
          <w:lang w:val="en-IN"/>
        </w:rPr>
        <w:t>performance</w:t>
      </w:r>
      <w:r w:rsidR="00B5707B">
        <w:rPr>
          <w:lang w:val="en-IN"/>
        </w:rPr>
        <w:t>, a</w:t>
      </w:r>
      <w:r w:rsidR="00044AA8" w:rsidRPr="00044AA8">
        <w:t xml:space="preserve"> Trade-off analysis focusing on Telford’s population growth.</w:t>
      </w:r>
      <w:r w:rsidRPr="00F3375F">
        <w:rPr>
          <w:lang w:val="en-IN"/>
        </w:rPr>
        <w:t xml:space="preserve"> Ethical stakeholder participation makes sure that economic development does not compromise the quality of the environment or social equity. An example is that social responsibility is achieved by supporting local businesses in case of construction disruption</w:t>
      </w:r>
      <w:r w:rsidR="00142224">
        <w:rPr>
          <w:lang w:val="en-IN"/>
        </w:rPr>
        <w:t>,</w:t>
      </w:r>
      <w:r w:rsidRPr="00F3375F">
        <w:rPr>
          <w:lang w:val="en-IN"/>
        </w:rPr>
        <w:t xml:space="preserve"> and economic sustainability is achieved by investing in long-term infrastructure.</w:t>
      </w:r>
      <w:r w:rsidR="00B26B65">
        <w:rPr>
          <w:lang w:val="en-IN"/>
        </w:rPr>
        <w:t xml:space="preserve"> </w:t>
      </w:r>
      <w:r w:rsidRPr="00F3375F">
        <w:rPr>
          <w:lang w:val="en-IN"/>
        </w:rPr>
        <w:t xml:space="preserve">The </w:t>
      </w:r>
      <w:r w:rsidR="00142224">
        <w:rPr>
          <w:lang w:val="en-IN"/>
        </w:rPr>
        <w:t>sustainability challenges</w:t>
      </w:r>
      <w:r w:rsidRPr="00F3375F">
        <w:rPr>
          <w:lang w:val="en-IN"/>
        </w:rPr>
        <w:t>, however, are the development speed and protection of the environment and the control of the expectations of the population on the short-term and long-term results.</w:t>
      </w:r>
    </w:p>
    <w:p w14:paraId="70392D3F" w14:textId="4BFF19CF" w:rsidR="00626F8B" w:rsidRPr="00626F8B" w:rsidRDefault="00626F8B" w:rsidP="00F3375F">
      <w:pPr>
        <w:pStyle w:val="Heading2"/>
        <w:rPr>
          <w:lang w:val="en-IN"/>
        </w:rPr>
      </w:pPr>
      <w:bookmarkStart w:id="23" w:name="_Toc222992984"/>
      <w:r w:rsidRPr="00626F8B">
        <w:rPr>
          <w:lang w:val="en-IN"/>
        </w:rPr>
        <w:t>3.5 Ethical Challenges in Practice</w:t>
      </w:r>
      <w:bookmarkEnd w:id="23"/>
    </w:p>
    <w:p w14:paraId="5FEE3F92" w14:textId="507F6A28" w:rsidR="004E3CFC" w:rsidRPr="004E3CFC" w:rsidRDefault="004E3CFC" w:rsidP="004E3CFC">
      <w:pPr>
        <w:rPr>
          <w:lang w:val="en-IN"/>
        </w:rPr>
      </w:pPr>
      <w:r w:rsidRPr="004E3CFC">
        <w:rPr>
          <w:lang w:val="en-IN"/>
        </w:rPr>
        <w:t xml:space="preserve">Ethical issues are complicated despite the existence of structured frameworks. The conflicting interests of the stakeholders pose a conflict between the economic profitability and the </w:t>
      </w:r>
      <w:r w:rsidR="00142224">
        <w:rPr>
          <w:lang w:val="en-IN"/>
        </w:rPr>
        <w:t>well-being</w:t>
      </w:r>
      <w:r w:rsidRPr="004E3CFC">
        <w:rPr>
          <w:lang w:val="en-IN"/>
        </w:rPr>
        <w:t xml:space="preserve"> of the community. Developers will focus on the return on investment, whereas residents will focus on quiet living conditions and affordable housing.</w:t>
      </w:r>
    </w:p>
    <w:p w14:paraId="5209B7BA" w14:textId="7E0C728A" w:rsidR="004E3CFC" w:rsidRPr="004E3CFC" w:rsidRDefault="004E3CFC" w:rsidP="004E3CFC">
      <w:pPr>
        <w:rPr>
          <w:lang w:val="en-IN"/>
        </w:rPr>
      </w:pPr>
      <w:r w:rsidRPr="004E3CFC">
        <w:rPr>
          <w:lang w:val="en-IN"/>
        </w:rPr>
        <w:t>Consultation fatigue is another problem. Consultations with repeated visits without apparent integration of feedback can make the stakeholders feel neglected</w:t>
      </w:r>
      <w:r w:rsidR="00E11021">
        <w:rPr>
          <w:lang w:val="en-IN"/>
        </w:rPr>
        <w:t xml:space="preserve"> (</w:t>
      </w:r>
      <w:r w:rsidR="00E11021" w:rsidRPr="00E11021">
        <w:rPr>
          <w:lang w:val="en-IN"/>
        </w:rPr>
        <w:t>Roemer, Rundle-Thiele, and David, 2021</w:t>
      </w:r>
      <w:r w:rsidR="00E11021">
        <w:rPr>
          <w:lang w:val="en-IN"/>
        </w:rPr>
        <w:t>)</w:t>
      </w:r>
      <w:r w:rsidRPr="004E3CFC">
        <w:rPr>
          <w:lang w:val="en-IN"/>
        </w:rPr>
        <w:t>. The ethical engagement then involves the closure of the feedback loop by showing how the input of the community affected the decisions.</w:t>
      </w:r>
    </w:p>
    <w:p w14:paraId="102F938F" w14:textId="7141623A" w:rsidR="004E3CFC" w:rsidRDefault="004E3CFC" w:rsidP="004E3CFC">
      <w:pPr>
        <w:rPr>
          <w:b/>
          <w:lang w:val="en-IN"/>
        </w:rPr>
      </w:pPr>
      <w:r w:rsidRPr="004E3CFC">
        <w:rPr>
          <w:lang w:val="en-IN"/>
        </w:rPr>
        <w:t xml:space="preserve">Also, regeneration can be a source of unintentional gentrification, which raises property prices and rental rates. Such unintended consequences </w:t>
      </w:r>
      <w:r w:rsidR="00B5707B" w:rsidRPr="004E3CFC">
        <w:rPr>
          <w:lang w:val="en-IN"/>
        </w:rPr>
        <w:t>must</w:t>
      </w:r>
      <w:r w:rsidRPr="004E3CFC">
        <w:rPr>
          <w:lang w:val="en-IN"/>
        </w:rPr>
        <w:t xml:space="preserve"> be checked</w:t>
      </w:r>
      <w:r w:rsidR="00142224">
        <w:rPr>
          <w:lang w:val="en-IN"/>
        </w:rPr>
        <w:t>,</w:t>
      </w:r>
      <w:r w:rsidRPr="004E3CFC">
        <w:rPr>
          <w:lang w:val="en-IN"/>
        </w:rPr>
        <w:t xml:space="preserve"> and affordable housing provisions must be provided as ethical stakeholder management.</w:t>
      </w:r>
    </w:p>
    <w:p w14:paraId="22BD2936" w14:textId="1AB7972F" w:rsidR="00626F8B" w:rsidRPr="00626F8B" w:rsidRDefault="00626F8B" w:rsidP="004E3CFC">
      <w:pPr>
        <w:pStyle w:val="Heading2"/>
        <w:rPr>
          <w:lang w:val="en-IN"/>
        </w:rPr>
      </w:pPr>
      <w:bookmarkStart w:id="24" w:name="_Toc222992985"/>
      <w:r w:rsidRPr="00626F8B">
        <w:rPr>
          <w:lang w:val="en-IN"/>
        </w:rPr>
        <w:t>3.6 Reflective Insight: Learning from Theory and Practice</w:t>
      </w:r>
      <w:bookmarkEnd w:id="24"/>
    </w:p>
    <w:p w14:paraId="00E6ADE5" w14:textId="77777777" w:rsidR="006B47A8" w:rsidRPr="006B47A8" w:rsidRDefault="006B47A8" w:rsidP="006B47A8">
      <w:pPr>
        <w:rPr>
          <w:lang w:val="en-IN"/>
        </w:rPr>
      </w:pPr>
      <w:r w:rsidRPr="006B47A8">
        <w:rPr>
          <w:lang w:val="en-IN"/>
        </w:rPr>
        <w:t xml:space="preserve">The research on the stakeholder engagement theory and the case study of Telford Town Centre Regeneration have helped me to comprehend the nature of the complexity of dealing with a </w:t>
      </w:r>
      <w:r w:rsidRPr="006B47A8">
        <w:rPr>
          <w:lang w:val="en-IN"/>
        </w:rPr>
        <w:lastRenderedPageBreak/>
        <w:t>variety of interests. At first, stakeholder engagement was an easy consultation process. Nonetheless, the implementation of the stakeholder theory developed by Freeman and the Power-Interest Matrix by Mendelow showed the strategic aspect of the prioritisation of the stakeholders according to the influence and interest.</w:t>
      </w:r>
    </w:p>
    <w:p w14:paraId="2CA9DF48" w14:textId="2629CDCA" w:rsidR="006B47A8" w:rsidRPr="006B47A8" w:rsidRDefault="006B47A8" w:rsidP="006B47A8">
      <w:pPr>
        <w:rPr>
          <w:lang w:val="en-IN"/>
        </w:rPr>
      </w:pPr>
      <w:r w:rsidRPr="006B47A8">
        <w:rPr>
          <w:lang w:val="en-IN"/>
        </w:rPr>
        <w:t>I have also come to learn that the concept of stakeholder engagement is not merely about communication</w:t>
      </w:r>
      <w:r w:rsidR="00142224">
        <w:rPr>
          <w:lang w:val="en-IN"/>
        </w:rPr>
        <w:t>,</w:t>
      </w:r>
      <w:r w:rsidRPr="006B47A8">
        <w:rPr>
          <w:lang w:val="en-IN"/>
        </w:rPr>
        <w:t xml:space="preserve"> but </w:t>
      </w:r>
      <w:r w:rsidR="00142224">
        <w:rPr>
          <w:lang w:val="en-IN"/>
        </w:rPr>
        <w:t xml:space="preserve">also about </w:t>
      </w:r>
      <w:r w:rsidRPr="006B47A8">
        <w:rPr>
          <w:lang w:val="en-IN"/>
        </w:rPr>
        <w:t>power</w:t>
      </w:r>
      <w:r w:rsidR="00142224">
        <w:rPr>
          <w:lang w:val="en-IN"/>
        </w:rPr>
        <w:t>,</w:t>
      </w:r>
      <w:r w:rsidRPr="006B47A8">
        <w:rPr>
          <w:lang w:val="en-IN"/>
        </w:rPr>
        <w:t xml:space="preserve"> legitimacy and ethical responsibility. Theories like the Ladder of </w:t>
      </w:r>
      <w:r w:rsidR="00142224">
        <w:rPr>
          <w:lang w:val="en-IN"/>
        </w:rPr>
        <w:t>Participation</w:t>
      </w:r>
      <w:r w:rsidRPr="006B47A8">
        <w:rPr>
          <w:lang w:val="en-IN"/>
        </w:rPr>
        <w:t xml:space="preserve"> by Arnstein stressed the need to do away with token consultation to actual participation. This has heightened my </w:t>
      </w:r>
      <w:r w:rsidR="00142224">
        <w:rPr>
          <w:lang w:val="en-IN"/>
        </w:rPr>
        <w:t>sensitivity</w:t>
      </w:r>
      <w:r w:rsidRPr="006B47A8">
        <w:rPr>
          <w:lang w:val="en-IN"/>
        </w:rPr>
        <w:t xml:space="preserve"> to the ease with which the engagement processes can seem inclusive and yet not </w:t>
      </w:r>
      <w:r w:rsidR="00142224">
        <w:rPr>
          <w:lang w:val="en-IN"/>
        </w:rPr>
        <w:t>empower</w:t>
      </w:r>
      <w:r w:rsidRPr="006B47A8">
        <w:rPr>
          <w:lang w:val="en-IN"/>
        </w:rPr>
        <w:t xml:space="preserve"> the communities in the real sense.</w:t>
      </w:r>
    </w:p>
    <w:p w14:paraId="0D502DF0" w14:textId="2CC44AA6" w:rsidR="00626F8B" w:rsidRPr="00626F8B" w:rsidRDefault="00626F8B" w:rsidP="006B47A8">
      <w:pPr>
        <w:pStyle w:val="Heading2"/>
        <w:rPr>
          <w:lang w:val="en-IN"/>
        </w:rPr>
      </w:pPr>
      <w:bookmarkStart w:id="25" w:name="_Toc222992986"/>
      <w:r w:rsidRPr="00626F8B">
        <w:rPr>
          <w:lang w:val="en-IN"/>
        </w:rPr>
        <w:t>3.7 Skills Development and Future Relevance</w:t>
      </w:r>
      <w:bookmarkEnd w:id="25"/>
    </w:p>
    <w:p w14:paraId="25196A7A" w14:textId="1AA5E1A3" w:rsidR="00CD2181" w:rsidRPr="00CD2181" w:rsidRDefault="00CD2181" w:rsidP="00CD2181">
      <w:pPr>
        <w:rPr>
          <w:lang w:val="en-IN"/>
        </w:rPr>
      </w:pPr>
      <w:r w:rsidRPr="00CD2181">
        <w:rPr>
          <w:lang w:val="en-IN"/>
        </w:rPr>
        <w:t xml:space="preserve">The module has enhanced </w:t>
      </w:r>
      <w:r w:rsidR="00142224">
        <w:rPr>
          <w:lang w:val="en-IN"/>
        </w:rPr>
        <w:t>several</w:t>
      </w:r>
      <w:r w:rsidRPr="00CD2181">
        <w:rPr>
          <w:lang w:val="en-IN"/>
        </w:rPr>
        <w:t xml:space="preserve"> transferable skills. The first was a development of analytical skills that were achieved by applying theoretical models like stakeholder mapping and CSR frameworks to a real-life case. Second, critical thinking abilities were enhanced after assessing the efficiency of engagement strategies and recognition of ethical risks. Third, the ability to conduct research was improved through the incorporation of statistical data and scholarly literature to argue.</w:t>
      </w:r>
    </w:p>
    <w:p w14:paraId="5B1684EA" w14:textId="34387BB5" w:rsidR="00CD2181" w:rsidRPr="00CD2181" w:rsidRDefault="00CD2181" w:rsidP="00CD2181">
      <w:pPr>
        <w:rPr>
          <w:lang w:val="en-IN"/>
        </w:rPr>
      </w:pPr>
      <w:r w:rsidRPr="00CD2181">
        <w:rPr>
          <w:lang w:val="en-IN"/>
        </w:rPr>
        <w:t>Stakeholder management skills are also vital in business management, project coordination and public administration careers in terms of professional relevance</w:t>
      </w:r>
      <w:r w:rsidR="00193A5B">
        <w:rPr>
          <w:lang w:val="en-IN"/>
        </w:rPr>
        <w:t xml:space="preserve"> (</w:t>
      </w:r>
      <w:r w:rsidR="006F294E" w:rsidRPr="00193A5B">
        <w:rPr>
          <w:lang w:val="en-IN"/>
        </w:rPr>
        <w:t>Rosenbloom, Kravchuk, and Clerkin, 2022</w:t>
      </w:r>
      <w:r w:rsidR="00193A5B">
        <w:rPr>
          <w:lang w:val="en-IN"/>
        </w:rPr>
        <w:t>)</w:t>
      </w:r>
      <w:r w:rsidRPr="00CD2181">
        <w:rPr>
          <w:lang w:val="en-IN"/>
        </w:rPr>
        <w:t xml:space="preserve">. Learning to strike the right balance between competing interests, communicating effectively, and addressing the ethical considerations will be useful in </w:t>
      </w:r>
      <w:r w:rsidR="00142224">
        <w:rPr>
          <w:lang w:val="en-IN"/>
        </w:rPr>
        <w:t>a</w:t>
      </w:r>
      <w:r w:rsidRPr="00CD2181">
        <w:rPr>
          <w:lang w:val="en-IN"/>
        </w:rPr>
        <w:t xml:space="preserve"> future leadership position. The skill to translate theoretical concepts into practical scenarios also enhances </w:t>
      </w:r>
      <w:r w:rsidR="00142224">
        <w:rPr>
          <w:lang w:val="en-IN"/>
        </w:rPr>
        <w:t>my academic</w:t>
      </w:r>
      <w:r w:rsidRPr="00CD2181">
        <w:rPr>
          <w:lang w:val="en-IN"/>
        </w:rPr>
        <w:t xml:space="preserve"> development and prepares me </w:t>
      </w:r>
      <w:r w:rsidR="00142224">
        <w:rPr>
          <w:lang w:val="en-IN"/>
        </w:rPr>
        <w:t>for</w:t>
      </w:r>
      <w:r w:rsidRPr="00CD2181">
        <w:rPr>
          <w:lang w:val="en-IN"/>
        </w:rPr>
        <w:t xml:space="preserve"> a higher level of study.</w:t>
      </w:r>
    </w:p>
    <w:p w14:paraId="5EF65212" w14:textId="2691A341" w:rsidR="00626F8B" w:rsidRPr="00626F8B" w:rsidRDefault="00626F8B" w:rsidP="00CD2181">
      <w:pPr>
        <w:pStyle w:val="Heading1"/>
        <w:rPr>
          <w:lang w:val="en-IN"/>
        </w:rPr>
      </w:pPr>
      <w:bookmarkStart w:id="26" w:name="_Toc222992987"/>
      <w:r w:rsidRPr="00626F8B">
        <w:rPr>
          <w:lang w:val="en-IN"/>
        </w:rPr>
        <w:t>Element 4: Conclusion and Recommendations</w:t>
      </w:r>
      <w:bookmarkEnd w:id="26"/>
    </w:p>
    <w:p w14:paraId="3792D190" w14:textId="7CB01F40" w:rsidR="007C2A18" w:rsidRPr="007C2A18" w:rsidRDefault="007C2A18" w:rsidP="007C2A18">
      <w:pPr>
        <w:rPr>
          <w:lang w:val="en-IN"/>
        </w:rPr>
      </w:pPr>
      <w:r w:rsidRPr="007C2A18">
        <w:rPr>
          <w:lang w:val="en-IN"/>
        </w:rPr>
        <w:t xml:space="preserve">This discussion on stakeholder engagement in the Telford Town Centre Regeneration Project reveals that stakeholder management is the key to the legitimacy and sustainability of urban development. The project entails different stakeholders, the local authority, developers, funding bodies, residents, businesses and environmental groups, all of which have different degrees of power and interest. The use of the Power-Interest Matrix revealed the necessity to use differentiated engagement strategies, whereas the stakeholder theory pointed to the necessity to balance economic, social and environmental responsibilities. Transparency, fairness, </w:t>
      </w:r>
      <w:r w:rsidRPr="007C2A18">
        <w:rPr>
          <w:lang w:val="en-IN"/>
        </w:rPr>
        <w:lastRenderedPageBreak/>
        <w:t>inclusivity and accountability are some of the ethical concerns that were found to be vital in determining the level of community trust and project legitimacy.</w:t>
      </w:r>
    </w:p>
    <w:p w14:paraId="167E5B61" w14:textId="77777777" w:rsidR="007C2A18" w:rsidRPr="007C2A18" w:rsidRDefault="007C2A18" w:rsidP="007C2A18">
      <w:pPr>
        <w:rPr>
          <w:lang w:val="en-IN"/>
        </w:rPr>
      </w:pPr>
      <w:r w:rsidRPr="007C2A18">
        <w:rPr>
          <w:lang w:val="en-IN"/>
        </w:rPr>
        <w:t>The results show that accountability has been enhanced by the structured consultation processes, the governance meetings and digital communication strategies. Nevertheless, such obstacles as digital exclusion, consultation fatigue and possible power imbalances imply opportunities to develop.</w:t>
      </w:r>
    </w:p>
    <w:p w14:paraId="08845875" w14:textId="772B6DFD" w:rsidR="007C2A18" w:rsidRPr="007C2A18" w:rsidRDefault="007C2A18" w:rsidP="007C2A18">
      <w:pPr>
        <w:rPr>
          <w:lang w:val="en-IN"/>
        </w:rPr>
      </w:pPr>
      <w:r w:rsidRPr="007C2A18">
        <w:rPr>
          <w:lang w:val="en-IN"/>
        </w:rPr>
        <w:t xml:space="preserve">In order to increase stakeholder involvement, </w:t>
      </w:r>
      <w:r w:rsidR="00B5707B" w:rsidRPr="007C2A18">
        <w:rPr>
          <w:lang w:val="en-IN"/>
        </w:rPr>
        <w:t>a few</w:t>
      </w:r>
      <w:r w:rsidRPr="007C2A18">
        <w:rPr>
          <w:lang w:val="en-IN"/>
        </w:rPr>
        <w:t xml:space="preserve"> suggestions are put forward. To begin with, the Council needs to enhance feedback by showing clearly how </w:t>
      </w:r>
      <w:r w:rsidR="00142224">
        <w:rPr>
          <w:lang w:val="en-IN"/>
        </w:rPr>
        <w:t xml:space="preserve">the </w:t>
      </w:r>
      <w:r w:rsidRPr="007C2A18">
        <w:rPr>
          <w:lang w:val="en-IN"/>
        </w:rPr>
        <w:t>input of the people can be used to determine final decisions. Second, the engagement strategies must integrate both digital and accessible face-to-face consultations to make them inclusive. Third, continuous monitoring of stakeholders should be used by conducting regular impact assessments to correct the unanticipated social or environmental outcomes. Lastly, sustainability reporting, which is in tandem with Corporate Social Responsibility values, would also strengthen transparency and long-term responsibility.</w:t>
      </w:r>
    </w:p>
    <w:p w14:paraId="3F9E7E68" w14:textId="3AA45176" w:rsidR="007C2A18" w:rsidRDefault="007C2A18" w:rsidP="007C2A18">
      <w:pPr>
        <w:rPr>
          <w:lang w:val="en-IN"/>
        </w:rPr>
      </w:pPr>
      <w:r w:rsidRPr="007C2A18">
        <w:rPr>
          <w:lang w:val="en-IN"/>
        </w:rPr>
        <w:t xml:space="preserve">In general, stakeholder engagement is not a procedural but a strategic need. Financial viability is not as significant as legitimacy in regeneration contexts. Trust, collaboration and ethical leadership are important to sustainable project success. The Telford Town Centre Regeneration Project is a good example of how the proper management of stakeholder engagement contributes to resilience, </w:t>
      </w:r>
      <w:r w:rsidR="00142224">
        <w:rPr>
          <w:lang w:val="en-IN"/>
        </w:rPr>
        <w:t>minimises</w:t>
      </w:r>
      <w:r w:rsidRPr="007C2A18">
        <w:rPr>
          <w:lang w:val="en-IN"/>
        </w:rPr>
        <w:t xml:space="preserve"> conflict and promotes the development of a community in the long run.</w:t>
      </w:r>
    </w:p>
    <w:p w14:paraId="57D10EA5" w14:textId="01128C56" w:rsidR="00387C8A" w:rsidRDefault="00387C8A" w:rsidP="007C2A18">
      <w:pPr>
        <w:spacing w:line="278" w:lineRule="auto"/>
        <w:jc w:val="left"/>
      </w:pPr>
      <w:r>
        <w:br w:type="page"/>
      </w:r>
    </w:p>
    <w:p w14:paraId="50EDD8B5" w14:textId="0821D5EE" w:rsidR="006C47AE" w:rsidRDefault="00387C8A" w:rsidP="00387C8A">
      <w:pPr>
        <w:pStyle w:val="Heading1"/>
      </w:pPr>
      <w:bookmarkStart w:id="27" w:name="_Toc222992988"/>
      <w:r>
        <w:lastRenderedPageBreak/>
        <w:t>References</w:t>
      </w:r>
      <w:bookmarkEnd w:id="27"/>
    </w:p>
    <w:p w14:paraId="61989CD6" w14:textId="77777777" w:rsidR="001E059B" w:rsidRPr="009D1DC7" w:rsidRDefault="001E059B" w:rsidP="009D1DC7">
      <w:pPr>
        <w:rPr>
          <w:lang w:val="en-IN"/>
        </w:rPr>
      </w:pPr>
      <w:r w:rsidRPr="009D1DC7">
        <w:rPr>
          <w:lang w:val="en-IN"/>
        </w:rPr>
        <w:t xml:space="preserve">Awa, H.O., Etim, W. and Ogbonda, E., </w:t>
      </w:r>
      <w:r>
        <w:rPr>
          <w:lang w:val="en-IN"/>
        </w:rPr>
        <w:t>(</w:t>
      </w:r>
      <w:r w:rsidRPr="009D1DC7">
        <w:rPr>
          <w:lang w:val="en-IN"/>
        </w:rPr>
        <w:t>2024</w:t>
      </w:r>
      <w:r>
        <w:rPr>
          <w:lang w:val="en-IN"/>
        </w:rPr>
        <w:t>)</w:t>
      </w:r>
      <w:r w:rsidRPr="009D1DC7">
        <w:rPr>
          <w:lang w:val="en-IN"/>
        </w:rPr>
        <w:t xml:space="preserve">. Stakeholders, stakeholder theory and corporate social responsibility (CSR). </w:t>
      </w:r>
      <w:r w:rsidRPr="009D1DC7">
        <w:rPr>
          <w:i/>
          <w:iCs/>
          <w:lang w:val="en-IN"/>
        </w:rPr>
        <w:t>International Journal of Corporate Social Responsibility</w:t>
      </w:r>
      <w:r w:rsidRPr="009D1DC7">
        <w:rPr>
          <w:lang w:val="en-IN"/>
        </w:rPr>
        <w:t xml:space="preserve">, </w:t>
      </w:r>
      <w:r w:rsidRPr="009D1DC7">
        <w:rPr>
          <w:i/>
          <w:iCs/>
          <w:lang w:val="en-IN"/>
        </w:rPr>
        <w:t>9</w:t>
      </w:r>
      <w:r w:rsidRPr="009D1DC7">
        <w:rPr>
          <w:lang w:val="en-IN"/>
        </w:rPr>
        <w:t>(1), p.11.</w:t>
      </w:r>
    </w:p>
    <w:p w14:paraId="36C5B21B" w14:textId="77777777" w:rsidR="001E059B" w:rsidRPr="00570534" w:rsidRDefault="001E059B" w:rsidP="00570534">
      <w:pPr>
        <w:rPr>
          <w:lang w:val="en-IN"/>
        </w:rPr>
      </w:pPr>
      <w:r w:rsidRPr="00570534">
        <w:rPr>
          <w:lang w:val="en-IN"/>
        </w:rPr>
        <w:t xml:space="preserve">Bell, K. and Reed, M., </w:t>
      </w:r>
      <w:r>
        <w:rPr>
          <w:lang w:val="en-IN"/>
        </w:rPr>
        <w:t>(</w:t>
      </w:r>
      <w:r w:rsidRPr="00570534">
        <w:rPr>
          <w:lang w:val="en-IN"/>
        </w:rPr>
        <w:t>2022</w:t>
      </w:r>
      <w:r>
        <w:rPr>
          <w:lang w:val="en-IN"/>
        </w:rPr>
        <w:t>)</w:t>
      </w:r>
      <w:r w:rsidRPr="00570534">
        <w:rPr>
          <w:lang w:val="en-IN"/>
        </w:rPr>
        <w:t xml:space="preserve">. The tree of participation: a new model for inclusive decision-making. </w:t>
      </w:r>
      <w:r w:rsidRPr="00570534">
        <w:rPr>
          <w:i/>
          <w:iCs/>
          <w:lang w:val="en-IN"/>
        </w:rPr>
        <w:t>Community Development Journal</w:t>
      </w:r>
      <w:r w:rsidRPr="00570534">
        <w:rPr>
          <w:lang w:val="en-IN"/>
        </w:rPr>
        <w:t xml:space="preserve">, </w:t>
      </w:r>
      <w:r w:rsidRPr="00570534">
        <w:rPr>
          <w:i/>
          <w:iCs/>
          <w:lang w:val="en-IN"/>
        </w:rPr>
        <w:t>57</w:t>
      </w:r>
      <w:r w:rsidRPr="00570534">
        <w:rPr>
          <w:lang w:val="en-IN"/>
        </w:rPr>
        <w:t>(4), pp.595-614.</w:t>
      </w:r>
    </w:p>
    <w:p w14:paraId="594E9305" w14:textId="77777777" w:rsidR="001E059B" w:rsidRPr="00D3503E" w:rsidRDefault="001E059B" w:rsidP="00D3503E">
      <w:pPr>
        <w:rPr>
          <w:lang w:val="en-IN"/>
        </w:rPr>
      </w:pPr>
      <w:r w:rsidRPr="00D3503E">
        <w:rPr>
          <w:lang w:val="en-IN"/>
        </w:rPr>
        <w:t xml:space="preserve">Bourne, E. and Bell, A., </w:t>
      </w:r>
      <w:r>
        <w:rPr>
          <w:lang w:val="en-IN"/>
        </w:rPr>
        <w:t>(</w:t>
      </w:r>
      <w:r w:rsidRPr="00D3503E">
        <w:rPr>
          <w:lang w:val="en-IN"/>
        </w:rPr>
        <w:t>2025</w:t>
      </w:r>
      <w:r>
        <w:rPr>
          <w:lang w:val="en-IN"/>
        </w:rPr>
        <w:t>)</w:t>
      </w:r>
      <w:r w:rsidRPr="00D3503E">
        <w:rPr>
          <w:lang w:val="en-IN"/>
        </w:rPr>
        <w:t xml:space="preserve">. Student perceptions of transferable skills learned during a simulated placement. </w:t>
      </w:r>
      <w:r w:rsidRPr="00D3503E">
        <w:rPr>
          <w:i/>
          <w:iCs/>
          <w:lang w:val="en-IN"/>
        </w:rPr>
        <w:t>Innovations in Education and Teaching International</w:t>
      </w:r>
      <w:r w:rsidRPr="00D3503E">
        <w:rPr>
          <w:lang w:val="en-IN"/>
        </w:rPr>
        <w:t xml:space="preserve">, </w:t>
      </w:r>
      <w:r w:rsidRPr="00D3503E">
        <w:rPr>
          <w:i/>
          <w:iCs/>
          <w:lang w:val="en-IN"/>
        </w:rPr>
        <w:t>62</w:t>
      </w:r>
      <w:r w:rsidRPr="00D3503E">
        <w:rPr>
          <w:lang w:val="en-IN"/>
        </w:rPr>
        <w:t>(2), pp.642-656.</w:t>
      </w:r>
    </w:p>
    <w:p w14:paraId="366AFF28" w14:textId="77777777" w:rsidR="001E059B" w:rsidRPr="00F608A2" w:rsidRDefault="001E059B" w:rsidP="00F608A2">
      <w:pPr>
        <w:rPr>
          <w:lang w:val="en-IN"/>
        </w:rPr>
      </w:pPr>
      <w:r w:rsidRPr="00F608A2">
        <w:rPr>
          <w:lang w:val="en-IN"/>
        </w:rPr>
        <w:t xml:space="preserve">Butt, B., Jones, R.V. and Fuertes, A., </w:t>
      </w:r>
      <w:r>
        <w:rPr>
          <w:lang w:val="en-IN"/>
        </w:rPr>
        <w:t>(</w:t>
      </w:r>
      <w:r w:rsidRPr="00F608A2">
        <w:rPr>
          <w:lang w:val="en-IN"/>
        </w:rPr>
        <w:t>2021</w:t>
      </w:r>
      <w:r>
        <w:rPr>
          <w:lang w:val="en-IN"/>
        </w:rPr>
        <w:t>)</w:t>
      </w:r>
      <w:r w:rsidRPr="00F608A2">
        <w:rPr>
          <w:lang w:val="en-IN"/>
        </w:rPr>
        <w:t xml:space="preserve">. Opportunities and barriers to business engagement in the UK domestic retrofit sector: An industry perspective. </w:t>
      </w:r>
      <w:r w:rsidRPr="00F608A2">
        <w:rPr>
          <w:i/>
          <w:iCs/>
          <w:lang w:val="en-IN"/>
        </w:rPr>
        <w:t>Building Services Engineering Research and Technology</w:t>
      </w:r>
      <w:r w:rsidRPr="00F608A2">
        <w:rPr>
          <w:lang w:val="en-IN"/>
        </w:rPr>
        <w:t xml:space="preserve">, </w:t>
      </w:r>
      <w:r w:rsidRPr="00F608A2">
        <w:rPr>
          <w:i/>
          <w:iCs/>
          <w:lang w:val="en-IN"/>
        </w:rPr>
        <w:t>42</w:t>
      </w:r>
      <w:r w:rsidRPr="00F608A2">
        <w:rPr>
          <w:lang w:val="en-IN"/>
        </w:rPr>
        <w:t>(3), pp.293-305.</w:t>
      </w:r>
    </w:p>
    <w:p w14:paraId="41CB814A" w14:textId="77777777" w:rsidR="001E059B" w:rsidRPr="0016657C" w:rsidRDefault="001E059B" w:rsidP="0016657C">
      <w:pPr>
        <w:rPr>
          <w:lang w:val="en-IN"/>
        </w:rPr>
      </w:pPr>
      <w:r w:rsidRPr="0016657C">
        <w:rPr>
          <w:lang w:val="en-IN"/>
        </w:rPr>
        <w:t xml:space="preserve">Di Maddaloni, F. and Derakhshan, R., </w:t>
      </w:r>
      <w:r>
        <w:rPr>
          <w:lang w:val="en-IN"/>
        </w:rPr>
        <w:t>(</w:t>
      </w:r>
      <w:r w:rsidRPr="0016657C">
        <w:rPr>
          <w:lang w:val="en-IN"/>
        </w:rPr>
        <w:t>2024</w:t>
      </w:r>
      <w:r>
        <w:rPr>
          <w:lang w:val="en-IN"/>
        </w:rPr>
        <w:t>)</w:t>
      </w:r>
      <w:r w:rsidRPr="0016657C">
        <w:rPr>
          <w:lang w:val="en-IN"/>
        </w:rPr>
        <w:t xml:space="preserve">. Stakeholders' perception of organization: an attribution and fairness perspective. </w:t>
      </w:r>
      <w:r w:rsidRPr="0016657C">
        <w:rPr>
          <w:i/>
          <w:iCs/>
          <w:lang w:val="en-IN"/>
        </w:rPr>
        <w:t>International Journal of Managing Projects in Business</w:t>
      </w:r>
      <w:r w:rsidRPr="0016657C">
        <w:rPr>
          <w:lang w:val="en-IN"/>
        </w:rPr>
        <w:t xml:space="preserve">, </w:t>
      </w:r>
      <w:r w:rsidRPr="0016657C">
        <w:rPr>
          <w:i/>
          <w:iCs/>
          <w:lang w:val="en-IN"/>
        </w:rPr>
        <w:t>17</w:t>
      </w:r>
      <w:r w:rsidRPr="0016657C">
        <w:rPr>
          <w:lang w:val="en-IN"/>
        </w:rPr>
        <w:t>(1), pp.27-49.</w:t>
      </w:r>
    </w:p>
    <w:p w14:paraId="372BD2F8" w14:textId="77777777" w:rsidR="001E059B" w:rsidRPr="00F76278" w:rsidRDefault="001E059B" w:rsidP="00F76278">
      <w:pPr>
        <w:rPr>
          <w:lang w:val="en-IN"/>
        </w:rPr>
      </w:pPr>
      <w:r w:rsidRPr="00F76278">
        <w:rPr>
          <w:lang w:val="en-IN"/>
        </w:rPr>
        <w:t xml:space="preserve">Eyieyien, O.G., Idemudia, C., Paul, P.O. and Ijomah, T.I., </w:t>
      </w:r>
      <w:r>
        <w:rPr>
          <w:lang w:val="en-IN"/>
        </w:rPr>
        <w:t>(</w:t>
      </w:r>
      <w:r w:rsidRPr="00F76278">
        <w:rPr>
          <w:lang w:val="en-IN"/>
        </w:rPr>
        <w:t>2024</w:t>
      </w:r>
      <w:r>
        <w:rPr>
          <w:lang w:val="en-IN"/>
        </w:rPr>
        <w:t>)</w:t>
      </w:r>
      <w:r w:rsidRPr="00F76278">
        <w:rPr>
          <w:lang w:val="en-IN"/>
        </w:rPr>
        <w:t xml:space="preserve">. Effective stakeholder and risk management strategies for large-scale international project success. </w:t>
      </w:r>
      <w:r w:rsidRPr="00F76278">
        <w:rPr>
          <w:i/>
          <w:iCs/>
          <w:lang w:val="en-IN"/>
        </w:rPr>
        <w:t>International Journal of Frontiers in Science and Technology Research</w:t>
      </w:r>
      <w:r w:rsidRPr="00F76278">
        <w:rPr>
          <w:lang w:val="en-IN"/>
        </w:rPr>
        <w:t xml:space="preserve">, </w:t>
      </w:r>
      <w:r w:rsidRPr="00F76278">
        <w:rPr>
          <w:i/>
          <w:iCs/>
          <w:lang w:val="en-IN"/>
        </w:rPr>
        <w:t>7</w:t>
      </w:r>
      <w:r w:rsidRPr="00F76278">
        <w:rPr>
          <w:lang w:val="en-IN"/>
        </w:rPr>
        <w:t>(1), pp.013-024.</w:t>
      </w:r>
    </w:p>
    <w:p w14:paraId="27493AD4" w14:textId="77777777" w:rsidR="001E059B" w:rsidRPr="00E15F01" w:rsidRDefault="001E059B" w:rsidP="00E15F01">
      <w:pPr>
        <w:rPr>
          <w:lang w:val="en-IN"/>
        </w:rPr>
      </w:pPr>
      <w:r w:rsidRPr="00E15F01">
        <w:rPr>
          <w:lang w:val="en-IN"/>
        </w:rPr>
        <w:t xml:space="preserve">Fallah Shayan, N., Mohabbati-Kalejahi, N., Alavi, S. and Zahed, M.A., </w:t>
      </w:r>
      <w:r>
        <w:rPr>
          <w:lang w:val="en-IN"/>
        </w:rPr>
        <w:t>(</w:t>
      </w:r>
      <w:r w:rsidRPr="00E15F01">
        <w:rPr>
          <w:lang w:val="en-IN"/>
        </w:rPr>
        <w:t>2022</w:t>
      </w:r>
      <w:r>
        <w:rPr>
          <w:lang w:val="en-IN"/>
        </w:rPr>
        <w:t>)</w:t>
      </w:r>
      <w:r w:rsidRPr="00E15F01">
        <w:rPr>
          <w:lang w:val="en-IN"/>
        </w:rPr>
        <w:t xml:space="preserve">. Sustainable development goals (SDGs) as a framework for corporate social responsibility (CSR). </w:t>
      </w:r>
      <w:r w:rsidRPr="00E15F01">
        <w:rPr>
          <w:i/>
          <w:iCs/>
          <w:lang w:val="en-IN"/>
        </w:rPr>
        <w:t>Sustainability</w:t>
      </w:r>
      <w:r w:rsidRPr="00E15F01">
        <w:rPr>
          <w:lang w:val="en-IN"/>
        </w:rPr>
        <w:t xml:space="preserve">, </w:t>
      </w:r>
      <w:r w:rsidRPr="00E15F01">
        <w:rPr>
          <w:i/>
          <w:iCs/>
          <w:lang w:val="en-IN"/>
        </w:rPr>
        <w:t>14</w:t>
      </w:r>
      <w:r w:rsidRPr="00E15F01">
        <w:rPr>
          <w:lang w:val="en-IN"/>
        </w:rPr>
        <w:t>(3), p.1222.</w:t>
      </w:r>
    </w:p>
    <w:p w14:paraId="3F629C79" w14:textId="77777777" w:rsidR="001E059B" w:rsidRPr="000478B7" w:rsidRDefault="001E059B" w:rsidP="000478B7">
      <w:pPr>
        <w:rPr>
          <w:lang w:val="en-IN"/>
        </w:rPr>
      </w:pPr>
      <w:r w:rsidRPr="000478B7">
        <w:rPr>
          <w:lang w:val="en-IN"/>
        </w:rPr>
        <w:t xml:space="preserve">Freeman, R.E. and Velamuri, S.R., </w:t>
      </w:r>
      <w:r>
        <w:rPr>
          <w:lang w:val="en-IN"/>
        </w:rPr>
        <w:t>(</w:t>
      </w:r>
      <w:r w:rsidRPr="000478B7">
        <w:rPr>
          <w:lang w:val="en-IN"/>
        </w:rPr>
        <w:t>2023</w:t>
      </w:r>
      <w:r>
        <w:rPr>
          <w:lang w:val="en-IN"/>
        </w:rPr>
        <w:t>)</w:t>
      </w:r>
      <w:r w:rsidRPr="000478B7">
        <w:rPr>
          <w:lang w:val="en-IN"/>
        </w:rPr>
        <w:t xml:space="preserve">. A new approach to CSR: Company stakeholder responsibility. In </w:t>
      </w:r>
      <w:r w:rsidRPr="000478B7">
        <w:rPr>
          <w:i/>
          <w:iCs/>
          <w:lang w:val="en-IN"/>
        </w:rPr>
        <w:t>R. Edward Freeman’s selected works on stakeholder theory and business ethics</w:t>
      </w:r>
      <w:r w:rsidRPr="000478B7">
        <w:rPr>
          <w:lang w:val="en-IN"/>
        </w:rPr>
        <w:t xml:space="preserve"> (pp. 251-264). Cham: Springer International Publishing.</w:t>
      </w:r>
    </w:p>
    <w:p w14:paraId="4519B668" w14:textId="77777777" w:rsidR="001E059B" w:rsidRPr="00027FA3" w:rsidRDefault="001E059B" w:rsidP="00027FA3">
      <w:pPr>
        <w:rPr>
          <w:lang w:val="en-IN"/>
        </w:rPr>
      </w:pPr>
      <w:r w:rsidRPr="00027FA3">
        <w:rPr>
          <w:lang w:val="en-IN"/>
        </w:rPr>
        <w:t xml:space="preserve">Freeman, R.E., Dmytriyev, S.D. and Phillips, R.A., </w:t>
      </w:r>
      <w:r>
        <w:rPr>
          <w:lang w:val="en-IN"/>
        </w:rPr>
        <w:t>(</w:t>
      </w:r>
      <w:r w:rsidRPr="00027FA3">
        <w:rPr>
          <w:lang w:val="en-IN"/>
        </w:rPr>
        <w:t>2021</w:t>
      </w:r>
      <w:r>
        <w:rPr>
          <w:lang w:val="en-IN"/>
        </w:rPr>
        <w:t>)</w:t>
      </w:r>
      <w:r w:rsidRPr="00027FA3">
        <w:rPr>
          <w:lang w:val="en-IN"/>
        </w:rPr>
        <w:t xml:space="preserve">. Stakeholder theory and the resource-based view of the firm. </w:t>
      </w:r>
      <w:r w:rsidRPr="00027FA3">
        <w:rPr>
          <w:i/>
          <w:iCs/>
          <w:lang w:val="en-IN"/>
        </w:rPr>
        <w:t>Journal of management</w:t>
      </w:r>
      <w:r w:rsidRPr="00027FA3">
        <w:rPr>
          <w:lang w:val="en-IN"/>
        </w:rPr>
        <w:t xml:space="preserve">, </w:t>
      </w:r>
      <w:r w:rsidRPr="00027FA3">
        <w:rPr>
          <w:i/>
          <w:iCs/>
          <w:lang w:val="en-IN"/>
        </w:rPr>
        <w:t>47</w:t>
      </w:r>
      <w:r w:rsidRPr="00027FA3">
        <w:rPr>
          <w:lang w:val="en-IN"/>
        </w:rPr>
        <w:t>(7), pp.1757-1770.</w:t>
      </w:r>
    </w:p>
    <w:p w14:paraId="06779591" w14:textId="77777777" w:rsidR="001E059B" w:rsidRPr="006C5F19" w:rsidRDefault="001E059B" w:rsidP="006C5F19">
      <w:pPr>
        <w:rPr>
          <w:lang w:val="en-IN"/>
        </w:rPr>
      </w:pPr>
      <w:r w:rsidRPr="006C5F19">
        <w:rPr>
          <w:lang w:val="en-IN"/>
        </w:rPr>
        <w:t xml:space="preserve">Gleeds (2024) </w:t>
      </w:r>
      <w:r w:rsidRPr="006C5F19">
        <w:rPr>
          <w:i/>
          <w:iCs/>
          <w:lang w:val="en-IN"/>
        </w:rPr>
        <w:t>The quad, station quarter - Telford projects</w:t>
      </w:r>
      <w:r w:rsidRPr="006C5F19">
        <w:rPr>
          <w:lang w:val="en-IN"/>
        </w:rPr>
        <w:t xml:space="preserve">, </w:t>
      </w:r>
      <w:r w:rsidRPr="006C5F19">
        <w:rPr>
          <w:i/>
          <w:iCs/>
          <w:lang w:val="en-IN"/>
        </w:rPr>
        <w:t>Gleeds supports £17m Quad Development</w:t>
      </w:r>
      <w:r w:rsidRPr="006C5F19">
        <w:rPr>
          <w:lang w:val="en-IN"/>
        </w:rPr>
        <w:t xml:space="preserve">. Available at: https://www.gleeds.com/en/projects/the-quad-station-quarter-telford/ (Accessed: 25 February 2026). </w:t>
      </w:r>
    </w:p>
    <w:p w14:paraId="34B190BA" w14:textId="77777777" w:rsidR="001E059B" w:rsidRPr="008B2566" w:rsidRDefault="001E059B" w:rsidP="008B2566">
      <w:pPr>
        <w:rPr>
          <w:lang w:val="en-IN"/>
        </w:rPr>
      </w:pPr>
      <w:r w:rsidRPr="008B2566">
        <w:rPr>
          <w:lang w:val="en-IN"/>
        </w:rPr>
        <w:lastRenderedPageBreak/>
        <w:t xml:space="preserve">Hodson, E., Svanda, A. and Dadashi, N., </w:t>
      </w:r>
      <w:r>
        <w:rPr>
          <w:lang w:val="en-IN"/>
        </w:rPr>
        <w:t>(</w:t>
      </w:r>
      <w:r w:rsidRPr="008B2566">
        <w:rPr>
          <w:lang w:val="en-IN"/>
        </w:rPr>
        <w:t>2023</w:t>
      </w:r>
      <w:r>
        <w:rPr>
          <w:lang w:val="en-IN"/>
        </w:rPr>
        <w:t>)</w:t>
      </w:r>
      <w:r w:rsidRPr="008B2566">
        <w:rPr>
          <w:lang w:val="en-IN"/>
        </w:rPr>
        <w:t xml:space="preserve">. Whom do we include and when? Participatory design with vulnerable groups. </w:t>
      </w:r>
      <w:r w:rsidRPr="008B2566">
        <w:rPr>
          <w:i/>
          <w:iCs/>
          <w:lang w:val="en-IN"/>
        </w:rPr>
        <w:t>CoDesign</w:t>
      </w:r>
      <w:r w:rsidRPr="008B2566">
        <w:rPr>
          <w:lang w:val="en-IN"/>
        </w:rPr>
        <w:t xml:space="preserve">, </w:t>
      </w:r>
      <w:r w:rsidRPr="008B2566">
        <w:rPr>
          <w:i/>
          <w:iCs/>
          <w:lang w:val="en-IN"/>
        </w:rPr>
        <w:t>19</w:t>
      </w:r>
      <w:r w:rsidRPr="008B2566">
        <w:rPr>
          <w:lang w:val="en-IN"/>
        </w:rPr>
        <w:t>(4), pp.269-286.</w:t>
      </w:r>
    </w:p>
    <w:p w14:paraId="1B09FA20" w14:textId="77777777" w:rsidR="001E059B" w:rsidRPr="00B92A3A" w:rsidRDefault="001E059B" w:rsidP="00B92A3A">
      <w:pPr>
        <w:rPr>
          <w:lang w:val="en-IN"/>
        </w:rPr>
      </w:pPr>
      <w:r w:rsidRPr="00B92A3A">
        <w:rPr>
          <w:lang w:val="en-IN"/>
        </w:rPr>
        <w:t xml:space="preserve">Khan, M.I.M., Saeed, A.A. and Hussain, Z., </w:t>
      </w:r>
      <w:r>
        <w:rPr>
          <w:lang w:val="en-IN"/>
        </w:rPr>
        <w:t>(</w:t>
      </w:r>
      <w:r w:rsidRPr="00B92A3A">
        <w:rPr>
          <w:lang w:val="en-IN"/>
        </w:rPr>
        <w:t>2024</w:t>
      </w:r>
      <w:r>
        <w:rPr>
          <w:lang w:val="en-IN"/>
        </w:rPr>
        <w:t>)</w:t>
      </w:r>
      <w:r w:rsidRPr="00B92A3A">
        <w:rPr>
          <w:lang w:val="en-IN"/>
        </w:rPr>
        <w:t xml:space="preserve">. Analyzing the Role of Stakeholder Analysis in Strategic Decision-Making. </w:t>
      </w:r>
      <w:r w:rsidRPr="00B92A3A">
        <w:rPr>
          <w:i/>
          <w:iCs/>
          <w:lang w:val="en-IN"/>
        </w:rPr>
        <w:t>Contemporary Journal of Social Science Review</w:t>
      </w:r>
      <w:r w:rsidRPr="00B92A3A">
        <w:rPr>
          <w:lang w:val="en-IN"/>
        </w:rPr>
        <w:t xml:space="preserve">, </w:t>
      </w:r>
      <w:r w:rsidRPr="00B92A3A">
        <w:rPr>
          <w:i/>
          <w:iCs/>
          <w:lang w:val="en-IN"/>
        </w:rPr>
        <w:t>2</w:t>
      </w:r>
      <w:r w:rsidRPr="00B92A3A">
        <w:rPr>
          <w:lang w:val="en-IN"/>
        </w:rPr>
        <w:t>(04), pp.1099-1108.</w:t>
      </w:r>
    </w:p>
    <w:p w14:paraId="68CD6D32" w14:textId="77777777" w:rsidR="001E059B" w:rsidRPr="00262733" w:rsidRDefault="001E059B" w:rsidP="00262733">
      <w:pPr>
        <w:rPr>
          <w:lang w:val="en-IN"/>
        </w:rPr>
      </w:pPr>
      <w:r w:rsidRPr="00262733">
        <w:rPr>
          <w:lang w:val="en-IN"/>
        </w:rPr>
        <w:t xml:space="preserve">Kivits, R. and Sawang, S., </w:t>
      </w:r>
      <w:r>
        <w:rPr>
          <w:lang w:val="en-IN"/>
        </w:rPr>
        <w:t>(</w:t>
      </w:r>
      <w:r w:rsidRPr="00262733">
        <w:rPr>
          <w:lang w:val="en-IN"/>
        </w:rPr>
        <w:t>2021</w:t>
      </w:r>
      <w:r>
        <w:rPr>
          <w:lang w:val="en-IN"/>
        </w:rPr>
        <w:t>)</w:t>
      </w:r>
      <w:r w:rsidRPr="00262733">
        <w:rPr>
          <w:lang w:val="en-IN"/>
        </w:rPr>
        <w:t xml:space="preserve">. Stakeholder theory. In </w:t>
      </w:r>
      <w:r w:rsidRPr="00262733">
        <w:rPr>
          <w:i/>
          <w:iCs/>
          <w:lang w:val="en-IN"/>
        </w:rPr>
        <w:t>The dynamism of stakeholder engagement: A case study of the aviation industry</w:t>
      </w:r>
      <w:r w:rsidRPr="00262733">
        <w:rPr>
          <w:lang w:val="en-IN"/>
        </w:rPr>
        <w:t xml:space="preserve"> (pp. 1-8). Cham: Springer International Publishing.</w:t>
      </w:r>
    </w:p>
    <w:p w14:paraId="2BE3139F" w14:textId="77777777" w:rsidR="001E059B" w:rsidRPr="00B17622" w:rsidRDefault="001E059B" w:rsidP="00B17622">
      <w:pPr>
        <w:rPr>
          <w:lang w:val="en-IN"/>
        </w:rPr>
      </w:pPr>
      <w:r w:rsidRPr="00B17622">
        <w:rPr>
          <w:lang w:val="en-IN"/>
        </w:rPr>
        <w:t xml:space="preserve">Mashali, A., Elbeltagi, E., Motawa, I. and Elshikh, M., </w:t>
      </w:r>
      <w:r>
        <w:rPr>
          <w:lang w:val="en-IN"/>
        </w:rPr>
        <w:t>(</w:t>
      </w:r>
      <w:r w:rsidRPr="00B17622">
        <w:rPr>
          <w:lang w:val="en-IN"/>
        </w:rPr>
        <w:t>2023</w:t>
      </w:r>
      <w:r>
        <w:rPr>
          <w:lang w:val="en-IN"/>
        </w:rPr>
        <w:t>)</w:t>
      </w:r>
      <w:r w:rsidRPr="00B17622">
        <w:rPr>
          <w:lang w:val="en-IN"/>
        </w:rPr>
        <w:t xml:space="preserve">. Stakeholder management challenges in mega construction projects: critical success factors. </w:t>
      </w:r>
      <w:r w:rsidRPr="00B17622">
        <w:rPr>
          <w:i/>
          <w:iCs/>
          <w:lang w:val="en-IN"/>
        </w:rPr>
        <w:t>Journal of engineering, design and technology</w:t>
      </w:r>
      <w:r w:rsidRPr="00B17622">
        <w:rPr>
          <w:lang w:val="en-IN"/>
        </w:rPr>
        <w:t xml:space="preserve">, </w:t>
      </w:r>
      <w:r w:rsidRPr="00B17622">
        <w:rPr>
          <w:i/>
          <w:iCs/>
          <w:lang w:val="en-IN"/>
        </w:rPr>
        <w:t>21</w:t>
      </w:r>
      <w:r w:rsidRPr="00B17622">
        <w:rPr>
          <w:lang w:val="en-IN"/>
        </w:rPr>
        <w:t>(2), pp.358-375.</w:t>
      </w:r>
    </w:p>
    <w:p w14:paraId="41748949" w14:textId="77777777" w:rsidR="001E059B" w:rsidRDefault="001E059B" w:rsidP="00E80E70">
      <w:pPr>
        <w:rPr>
          <w:lang w:val="en-IN"/>
        </w:rPr>
      </w:pPr>
      <w:r w:rsidRPr="00E80E70">
        <w:rPr>
          <w:lang w:val="en-IN"/>
        </w:rPr>
        <w:t xml:space="preserve">O’Connell, M. and Ward, A.M., </w:t>
      </w:r>
      <w:r>
        <w:rPr>
          <w:lang w:val="en-IN"/>
        </w:rPr>
        <w:t>(</w:t>
      </w:r>
      <w:r w:rsidRPr="00E80E70">
        <w:rPr>
          <w:lang w:val="en-IN"/>
        </w:rPr>
        <w:t>2023</w:t>
      </w:r>
      <w:r>
        <w:rPr>
          <w:lang w:val="en-IN"/>
        </w:rPr>
        <w:t>)</w:t>
      </w:r>
      <w:r w:rsidRPr="00E80E70">
        <w:rPr>
          <w:lang w:val="en-IN"/>
        </w:rPr>
        <w:t xml:space="preserve">. Shareholder theory/shareholder value. In </w:t>
      </w:r>
      <w:r w:rsidRPr="00E80E70">
        <w:rPr>
          <w:i/>
          <w:iCs/>
          <w:lang w:val="en-IN"/>
        </w:rPr>
        <w:t>Encyclopedia of sustainable management</w:t>
      </w:r>
      <w:r w:rsidRPr="00E80E70">
        <w:rPr>
          <w:lang w:val="en-IN"/>
        </w:rPr>
        <w:t xml:space="preserve"> (pp. 2918-2924). Cham: Springer International Publishing.</w:t>
      </w:r>
    </w:p>
    <w:p w14:paraId="2EC39D26" w14:textId="77777777" w:rsidR="001E059B" w:rsidRPr="00E11021" w:rsidRDefault="001E059B" w:rsidP="00E11021">
      <w:pPr>
        <w:rPr>
          <w:lang w:val="en-IN"/>
        </w:rPr>
      </w:pPr>
      <w:r w:rsidRPr="00E11021">
        <w:rPr>
          <w:lang w:val="en-IN"/>
        </w:rPr>
        <w:t xml:space="preserve">Roemer, C., Rundle-Thiele, S. and David, P., </w:t>
      </w:r>
      <w:r>
        <w:rPr>
          <w:lang w:val="en-IN"/>
        </w:rPr>
        <w:t>(</w:t>
      </w:r>
      <w:r w:rsidRPr="00E11021">
        <w:rPr>
          <w:lang w:val="en-IN"/>
        </w:rPr>
        <w:t>2021</w:t>
      </w:r>
      <w:r>
        <w:rPr>
          <w:lang w:val="en-IN"/>
        </w:rPr>
        <w:t>)</w:t>
      </w:r>
      <w:r w:rsidRPr="00E11021">
        <w:rPr>
          <w:lang w:val="en-IN"/>
        </w:rPr>
        <w:t xml:space="preserve">. Moving theory focus beyond individuals targeted for change: observing project stakeholder interactions. </w:t>
      </w:r>
      <w:r w:rsidRPr="00E11021">
        <w:rPr>
          <w:i/>
          <w:iCs/>
          <w:lang w:val="en-IN"/>
        </w:rPr>
        <w:t>Journal of Social Marketing</w:t>
      </w:r>
      <w:r w:rsidRPr="00E11021">
        <w:rPr>
          <w:lang w:val="en-IN"/>
        </w:rPr>
        <w:t xml:space="preserve">, </w:t>
      </w:r>
      <w:r w:rsidRPr="00E11021">
        <w:rPr>
          <w:i/>
          <w:iCs/>
          <w:lang w:val="en-IN"/>
        </w:rPr>
        <w:t>11</w:t>
      </w:r>
      <w:r w:rsidRPr="00E11021">
        <w:rPr>
          <w:lang w:val="en-IN"/>
        </w:rPr>
        <w:t>(2), pp.148-166.</w:t>
      </w:r>
    </w:p>
    <w:p w14:paraId="2170764D" w14:textId="77777777" w:rsidR="001E059B" w:rsidRPr="00193A5B" w:rsidRDefault="001E059B" w:rsidP="00193A5B">
      <w:pPr>
        <w:rPr>
          <w:lang w:val="en-IN"/>
        </w:rPr>
      </w:pPr>
      <w:r w:rsidRPr="00193A5B">
        <w:rPr>
          <w:lang w:val="en-IN"/>
        </w:rPr>
        <w:t xml:space="preserve">Rosenbloom, D.H., Kravchuk, R.S. and Clerkin, R.M., </w:t>
      </w:r>
      <w:r>
        <w:rPr>
          <w:lang w:val="en-IN"/>
        </w:rPr>
        <w:t>(</w:t>
      </w:r>
      <w:r w:rsidRPr="00193A5B">
        <w:rPr>
          <w:lang w:val="en-IN"/>
        </w:rPr>
        <w:t>2022</w:t>
      </w:r>
      <w:r>
        <w:rPr>
          <w:lang w:val="en-IN"/>
        </w:rPr>
        <w:t>)</w:t>
      </w:r>
      <w:r w:rsidRPr="00193A5B">
        <w:rPr>
          <w:lang w:val="en-IN"/>
        </w:rPr>
        <w:t xml:space="preserve">. </w:t>
      </w:r>
      <w:r w:rsidRPr="00193A5B">
        <w:rPr>
          <w:i/>
          <w:iCs/>
          <w:lang w:val="en-IN"/>
        </w:rPr>
        <w:t>Public administration: Understanding management, politics, and law in the public sector</w:t>
      </w:r>
      <w:r w:rsidRPr="00193A5B">
        <w:rPr>
          <w:lang w:val="en-IN"/>
        </w:rPr>
        <w:t>. Routledge.</w:t>
      </w:r>
    </w:p>
    <w:p w14:paraId="727723FD" w14:textId="77777777" w:rsidR="001E059B" w:rsidRPr="007047A6" w:rsidRDefault="001E059B" w:rsidP="007047A6">
      <w:pPr>
        <w:rPr>
          <w:lang w:val="en-IN"/>
        </w:rPr>
      </w:pPr>
      <w:r w:rsidRPr="007047A6">
        <w:rPr>
          <w:lang w:val="en-IN"/>
        </w:rPr>
        <w:t xml:space="preserve">Sciulli, N. and Adhariani, D., </w:t>
      </w:r>
      <w:r>
        <w:rPr>
          <w:lang w:val="en-IN"/>
        </w:rPr>
        <w:t>(</w:t>
      </w:r>
      <w:r w:rsidRPr="007047A6">
        <w:rPr>
          <w:lang w:val="en-IN"/>
        </w:rPr>
        <w:t>2023</w:t>
      </w:r>
      <w:r>
        <w:rPr>
          <w:lang w:val="en-IN"/>
        </w:rPr>
        <w:t>)</w:t>
      </w:r>
      <w:r w:rsidRPr="007047A6">
        <w:rPr>
          <w:lang w:val="en-IN"/>
        </w:rPr>
        <w:t xml:space="preserve">. The use of integrated reports to enhance stakeholder engagement. </w:t>
      </w:r>
      <w:r w:rsidRPr="007047A6">
        <w:rPr>
          <w:i/>
          <w:iCs/>
          <w:lang w:val="en-IN"/>
        </w:rPr>
        <w:t>Journal of Accounting &amp; Organizational Change</w:t>
      </w:r>
      <w:r w:rsidRPr="007047A6">
        <w:rPr>
          <w:lang w:val="en-IN"/>
        </w:rPr>
        <w:t xml:space="preserve">, </w:t>
      </w:r>
      <w:r w:rsidRPr="007047A6">
        <w:rPr>
          <w:i/>
          <w:iCs/>
          <w:lang w:val="en-IN"/>
        </w:rPr>
        <w:t>19</w:t>
      </w:r>
      <w:r w:rsidRPr="007047A6">
        <w:rPr>
          <w:lang w:val="en-IN"/>
        </w:rPr>
        <w:t>(3), pp.447-473.</w:t>
      </w:r>
    </w:p>
    <w:p w14:paraId="5FAC8DB4" w14:textId="77777777" w:rsidR="001E059B" w:rsidRPr="00605598" w:rsidRDefault="001E059B" w:rsidP="00605598">
      <w:pPr>
        <w:rPr>
          <w:lang w:val="en-IN"/>
        </w:rPr>
      </w:pPr>
      <w:r w:rsidRPr="00605598">
        <w:rPr>
          <w:lang w:val="en-IN"/>
        </w:rPr>
        <w:t xml:space="preserve">Serhane, S., </w:t>
      </w:r>
      <w:r>
        <w:rPr>
          <w:lang w:val="en-IN"/>
        </w:rPr>
        <w:t>(</w:t>
      </w:r>
      <w:r w:rsidRPr="00605598">
        <w:rPr>
          <w:lang w:val="en-IN"/>
        </w:rPr>
        <w:t>2025</w:t>
      </w:r>
      <w:r>
        <w:rPr>
          <w:lang w:val="en-IN"/>
        </w:rPr>
        <w:t>)</w:t>
      </w:r>
      <w:r w:rsidRPr="00605598">
        <w:rPr>
          <w:lang w:val="en-IN"/>
        </w:rPr>
        <w:t xml:space="preserve">. The multifaceted nature of corporate social responsibility: Exploring the economic, legal, ethical, and philanthropic dimensions. </w:t>
      </w:r>
      <w:r w:rsidRPr="00605598">
        <w:rPr>
          <w:i/>
          <w:iCs/>
          <w:lang w:val="en-IN"/>
        </w:rPr>
        <w:t>Business Ethics and Leadership</w:t>
      </w:r>
      <w:r w:rsidRPr="00605598">
        <w:rPr>
          <w:lang w:val="en-IN"/>
        </w:rPr>
        <w:t xml:space="preserve">, </w:t>
      </w:r>
      <w:r w:rsidRPr="00605598">
        <w:rPr>
          <w:i/>
          <w:iCs/>
          <w:lang w:val="en-IN"/>
        </w:rPr>
        <w:t>9</w:t>
      </w:r>
      <w:r w:rsidRPr="00605598">
        <w:rPr>
          <w:lang w:val="en-IN"/>
        </w:rPr>
        <w:t>(1), pp.230-239.</w:t>
      </w:r>
    </w:p>
    <w:p w14:paraId="79C528B3" w14:textId="77777777" w:rsidR="001E059B" w:rsidRPr="00467667" w:rsidRDefault="001E059B" w:rsidP="00467667">
      <w:pPr>
        <w:rPr>
          <w:lang w:val="en-IN"/>
        </w:rPr>
      </w:pPr>
      <w:r w:rsidRPr="00467667">
        <w:rPr>
          <w:lang w:val="en-IN"/>
        </w:rPr>
        <w:t xml:space="preserve">Shahzad, S., Faheem, M., Muqeet, H.A. and Waseem, M., </w:t>
      </w:r>
      <w:r>
        <w:rPr>
          <w:lang w:val="en-IN"/>
        </w:rPr>
        <w:t>(</w:t>
      </w:r>
      <w:r w:rsidRPr="00467667">
        <w:rPr>
          <w:lang w:val="en-IN"/>
        </w:rPr>
        <w:t>2024</w:t>
      </w:r>
      <w:r>
        <w:rPr>
          <w:lang w:val="en-IN"/>
        </w:rPr>
        <w:t>)</w:t>
      </w:r>
      <w:r w:rsidRPr="00467667">
        <w:rPr>
          <w:lang w:val="en-IN"/>
        </w:rPr>
        <w:t xml:space="preserve">. Charting the UK's path to net zero emissions by 2050: Challenges, strategies, and future directions. </w:t>
      </w:r>
      <w:r w:rsidRPr="00467667">
        <w:rPr>
          <w:i/>
          <w:iCs/>
          <w:lang w:val="en-IN"/>
        </w:rPr>
        <w:t>IET Smart Grid</w:t>
      </w:r>
      <w:r w:rsidRPr="00467667">
        <w:rPr>
          <w:lang w:val="en-IN"/>
        </w:rPr>
        <w:t xml:space="preserve">, </w:t>
      </w:r>
      <w:r w:rsidRPr="00467667">
        <w:rPr>
          <w:i/>
          <w:iCs/>
          <w:lang w:val="en-IN"/>
        </w:rPr>
        <w:t>7</w:t>
      </w:r>
      <w:r w:rsidRPr="00467667">
        <w:rPr>
          <w:lang w:val="en-IN"/>
        </w:rPr>
        <w:t>(6), pp.716-736.</w:t>
      </w:r>
    </w:p>
    <w:p w14:paraId="1BB753F7" w14:textId="77777777" w:rsidR="001E059B" w:rsidRDefault="001E059B" w:rsidP="00176F70">
      <w:pPr>
        <w:rPr>
          <w:lang w:val="en-IN"/>
        </w:rPr>
      </w:pPr>
      <w:r w:rsidRPr="00176F70">
        <w:rPr>
          <w:lang w:val="en-IN"/>
        </w:rPr>
        <w:t xml:space="preserve">Sharma, V., </w:t>
      </w:r>
      <w:r>
        <w:rPr>
          <w:lang w:val="en-IN"/>
        </w:rPr>
        <w:t>(</w:t>
      </w:r>
      <w:r w:rsidRPr="00176F70">
        <w:rPr>
          <w:lang w:val="en-IN"/>
        </w:rPr>
        <w:t>2025</w:t>
      </w:r>
      <w:r>
        <w:rPr>
          <w:lang w:val="en-IN"/>
        </w:rPr>
        <w:t>)</w:t>
      </w:r>
      <w:r w:rsidRPr="00176F70">
        <w:rPr>
          <w:lang w:val="en-IN"/>
        </w:rPr>
        <w:t xml:space="preserve">. Revisiting arnstein’sa ladder of citizen participation: Strengths and limitations in the 21st century. </w:t>
      </w:r>
      <w:r w:rsidRPr="00176F70">
        <w:rPr>
          <w:i/>
          <w:iCs/>
          <w:lang w:val="en-IN"/>
        </w:rPr>
        <w:t>Research Journal of Humanities and Social Sciences</w:t>
      </w:r>
      <w:r w:rsidRPr="00176F70">
        <w:rPr>
          <w:lang w:val="en-IN"/>
        </w:rPr>
        <w:t xml:space="preserve">, </w:t>
      </w:r>
      <w:r w:rsidRPr="00176F70">
        <w:rPr>
          <w:i/>
          <w:iCs/>
          <w:lang w:val="en-IN"/>
        </w:rPr>
        <w:t>16</w:t>
      </w:r>
      <w:r w:rsidRPr="00176F70">
        <w:rPr>
          <w:lang w:val="en-IN"/>
        </w:rPr>
        <w:t>(2), pp.75-80.</w:t>
      </w:r>
    </w:p>
    <w:p w14:paraId="631CE4CC" w14:textId="77777777" w:rsidR="001E059B" w:rsidRPr="0089384A" w:rsidRDefault="001E059B" w:rsidP="0089384A">
      <w:pPr>
        <w:rPr>
          <w:lang w:val="en-IN"/>
        </w:rPr>
      </w:pPr>
      <w:r w:rsidRPr="0089384A">
        <w:rPr>
          <w:lang w:val="en-IN"/>
        </w:rPr>
        <w:lastRenderedPageBreak/>
        <w:t xml:space="preserve">Telford &amp; Wrekin Council (2025) </w:t>
      </w:r>
      <w:r w:rsidRPr="0089384A">
        <w:rPr>
          <w:i/>
          <w:iCs/>
          <w:lang w:val="en-IN"/>
        </w:rPr>
        <w:t>Planning and building control</w:t>
      </w:r>
      <w:r w:rsidRPr="0089384A">
        <w:rPr>
          <w:lang w:val="en-IN"/>
        </w:rPr>
        <w:t xml:space="preserve">, </w:t>
      </w:r>
      <w:r w:rsidRPr="0089384A">
        <w:rPr>
          <w:i/>
          <w:iCs/>
          <w:lang w:val="en-IN"/>
        </w:rPr>
        <w:t>Telford &amp; Wrekin Council | Planning and Building Control</w:t>
      </w:r>
      <w:r w:rsidRPr="0089384A">
        <w:rPr>
          <w:lang w:val="en-IN"/>
        </w:rPr>
        <w:t xml:space="preserve">. Available at: </w:t>
      </w:r>
      <w:hyperlink r:id="rId11" w:history="1">
        <w:r w:rsidRPr="0089384A">
          <w:rPr>
            <w:rStyle w:val="Hyperlink"/>
            <w:lang w:val="en-IN"/>
          </w:rPr>
          <w:t>https://www.telford.gov.uk/planning-and-building-control/</w:t>
        </w:r>
      </w:hyperlink>
      <w:r>
        <w:rPr>
          <w:lang w:val="en-IN"/>
        </w:rPr>
        <w:t xml:space="preserve"> </w:t>
      </w:r>
      <w:r w:rsidRPr="0089384A">
        <w:rPr>
          <w:lang w:val="en-IN"/>
        </w:rPr>
        <w:t xml:space="preserve"> (Accessed: 25 February 2026). </w:t>
      </w:r>
    </w:p>
    <w:p w14:paraId="66825D8B" w14:textId="77777777" w:rsidR="001E059B" w:rsidRPr="00427C75" w:rsidRDefault="001E059B" w:rsidP="00427C75">
      <w:pPr>
        <w:rPr>
          <w:lang w:val="en-IN"/>
        </w:rPr>
      </w:pPr>
      <w:r w:rsidRPr="00427C75">
        <w:rPr>
          <w:lang w:val="en-IN"/>
        </w:rPr>
        <w:t xml:space="preserve">Telford </w:t>
      </w:r>
      <w:r>
        <w:rPr>
          <w:lang w:val="en-IN"/>
        </w:rPr>
        <w:t>and</w:t>
      </w:r>
      <w:r w:rsidRPr="00427C75">
        <w:rPr>
          <w:lang w:val="en-IN"/>
        </w:rPr>
        <w:t xml:space="preserve"> Wrekin Council (2023) </w:t>
      </w:r>
      <w:r w:rsidRPr="00427C75">
        <w:rPr>
          <w:i/>
          <w:iCs/>
          <w:lang w:val="en-IN"/>
        </w:rPr>
        <w:t>Telford Town Centre</w:t>
      </w:r>
      <w:r w:rsidRPr="00427C75">
        <w:rPr>
          <w:lang w:val="en-IN"/>
        </w:rPr>
        <w:t xml:space="preserve">, </w:t>
      </w:r>
      <w:r w:rsidRPr="00427C75">
        <w:rPr>
          <w:i/>
          <w:iCs/>
          <w:lang w:val="en-IN"/>
        </w:rPr>
        <w:t>Telford &amp; Wrekin Council</w:t>
      </w:r>
      <w:r w:rsidRPr="00427C75">
        <w:rPr>
          <w:lang w:val="en-IN"/>
        </w:rPr>
        <w:t xml:space="preserve">. Available at: </w:t>
      </w:r>
      <w:hyperlink r:id="rId12" w:history="1">
        <w:r w:rsidRPr="00427C75">
          <w:rPr>
            <w:rStyle w:val="Hyperlink"/>
            <w:lang w:val="en-IN"/>
          </w:rPr>
          <w:t>https://www.telford.gov.uk/investing-in-telford-and-wrekin/projects/telford-town-centre/</w:t>
        </w:r>
      </w:hyperlink>
      <w:r>
        <w:rPr>
          <w:lang w:val="en-IN"/>
        </w:rPr>
        <w:t xml:space="preserve"> </w:t>
      </w:r>
      <w:r w:rsidRPr="00427C75">
        <w:rPr>
          <w:lang w:val="en-IN"/>
        </w:rPr>
        <w:t xml:space="preserve"> (Accessed: 25 February 2026). </w:t>
      </w:r>
    </w:p>
    <w:p w14:paraId="324B8BDE" w14:textId="77777777" w:rsidR="001E059B" w:rsidRPr="003B636E" w:rsidRDefault="001E059B" w:rsidP="003B636E">
      <w:pPr>
        <w:rPr>
          <w:lang w:val="en-IN"/>
        </w:rPr>
      </w:pPr>
      <w:r w:rsidRPr="003B636E">
        <w:rPr>
          <w:lang w:val="en-IN"/>
        </w:rPr>
        <w:t xml:space="preserve">Telford.Gov (2024) </w:t>
      </w:r>
      <w:r w:rsidRPr="003B636E">
        <w:rPr>
          <w:i/>
          <w:iCs/>
          <w:lang w:val="en-IN"/>
        </w:rPr>
        <w:t>Station quarter</w:t>
      </w:r>
      <w:r w:rsidRPr="003B636E">
        <w:rPr>
          <w:lang w:val="en-IN"/>
        </w:rPr>
        <w:t xml:space="preserve">, </w:t>
      </w:r>
      <w:r w:rsidRPr="003B636E">
        <w:rPr>
          <w:i/>
          <w:iCs/>
          <w:lang w:val="en-IN"/>
        </w:rPr>
        <w:t>Telford &amp; Wrekin Council</w:t>
      </w:r>
      <w:r w:rsidRPr="003B636E">
        <w:rPr>
          <w:lang w:val="en-IN"/>
        </w:rPr>
        <w:t xml:space="preserve">. Available at: </w:t>
      </w:r>
      <w:hyperlink r:id="rId13" w:history="1">
        <w:r w:rsidRPr="003B636E">
          <w:rPr>
            <w:rStyle w:val="Hyperlink"/>
            <w:lang w:val="en-IN"/>
          </w:rPr>
          <w:t>https://www.telford.gov.uk/investing-in-telford-and-wrekin/projects/telford-town-centre/station-quarter/</w:t>
        </w:r>
      </w:hyperlink>
      <w:r>
        <w:rPr>
          <w:lang w:val="en-IN"/>
        </w:rPr>
        <w:t xml:space="preserve"> </w:t>
      </w:r>
      <w:r w:rsidRPr="003B636E">
        <w:rPr>
          <w:lang w:val="en-IN"/>
        </w:rPr>
        <w:t xml:space="preserve"> (Accessed: 25 February 2026). </w:t>
      </w:r>
    </w:p>
    <w:p w14:paraId="17418C7B" w14:textId="77777777" w:rsidR="001E059B" w:rsidRPr="008B4BA5" w:rsidRDefault="001E059B" w:rsidP="008B4BA5">
      <w:pPr>
        <w:rPr>
          <w:lang w:val="en-IN"/>
        </w:rPr>
      </w:pPr>
      <w:r w:rsidRPr="00B5707B">
        <w:rPr>
          <w:lang w:val="it-IT"/>
        </w:rPr>
        <w:t xml:space="preserve">Urbinati, A., Landoni, P., Cococcioni, F. and De Giudici, L., (2021). </w:t>
      </w:r>
      <w:r w:rsidRPr="008B4BA5">
        <w:rPr>
          <w:lang w:val="en-IN"/>
        </w:rPr>
        <w:t xml:space="preserve">Stakeholder management in open innovation projects: a multiple case study analysis. </w:t>
      </w:r>
      <w:r w:rsidRPr="008B4BA5">
        <w:rPr>
          <w:i/>
          <w:iCs/>
          <w:lang w:val="en-IN"/>
        </w:rPr>
        <w:t>European Journal of innovation management</w:t>
      </w:r>
      <w:r w:rsidRPr="008B4BA5">
        <w:rPr>
          <w:lang w:val="en-IN"/>
        </w:rPr>
        <w:t xml:space="preserve">, </w:t>
      </w:r>
      <w:r w:rsidRPr="008B4BA5">
        <w:rPr>
          <w:i/>
          <w:iCs/>
          <w:lang w:val="en-IN"/>
        </w:rPr>
        <w:t>24</w:t>
      </w:r>
      <w:r w:rsidRPr="008B4BA5">
        <w:rPr>
          <w:lang w:val="en-IN"/>
        </w:rPr>
        <w:t>(5), pp.1595-1624.</w:t>
      </w:r>
    </w:p>
    <w:p w14:paraId="48B71370" w14:textId="77777777" w:rsidR="001E059B" w:rsidRDefault="001E059B" w:rsidP="00F26C40">
      <w:pPr>
        <w:rPr>
          <w:lang w:val="en-IN"/>
        </w:rPr>
      </w:pPr>
      <w:r w:rsidRPr="00F26C40">
        <w:rPr>
          <w:lang w:val="en-IN"/>
        </w:rPr>
        <w:t xml:space="preserve">Wei, Y., Yuan, H. and Li, H., </w:t>
      </w:r>
      <w:r>
        <w:rPr>
          <w:lang w:val="en-IN"/>
        </w:rPr>
        <w:t>(</w:t>
      </w:r>
      <w:r w:rsidRPr="00F26C40">
        <w:rPr>
          <w:lang w:val="en-IN"/>
        </w:rPr>
        <w:t>2024</w:t>
      </w:r>
      <w:r>
        <w:rPr>
          <w:lang w:val="en-IN"/>
        </w:rPr>
        <w:t>)</w:t>
      </w:r>
      <w:r w:rsidRPr="00F26C40">
        <w:rPr>
          <w:lang w:val="en-IN"/>
        </w:rPr>
        <w:t xml:space="preserve">. Exploring the contribution of advanced systems in smart city development for the regeneration of urban industrial heritage. </w:t>
      </w:r>
      <w:r w:rsidRPr="00F26C40">
        <w:rPr>
          <w:i/>
          <w:iCs/>
          <w:lang w:val="en-IN"/>
        </w:rPr>
        <w:t>Buildings</w:t>
      </w:r>
      <w:r w:rsidRPr="00F26C40">
        <w:rPr>
          <w:lang w:val="en-IN"/>
        </w:rPr>
        <w:t xml:space="preserve">, </w:t>
      </w:r>
      <w:r w:rsidRPr="00F26C40">
        <w:rPr>
          <w:i/>
          <w:iCs/>
          <w:lang w:val="en-IN"/>
        </w:rPr>
        <w:t>14</w:t>
      </w:r>
      <w:r w:rsidRPr="00F26C40">
        <w:rPr>
          <w:lang w:val="en-IN"/>
        </w:rPr>
        <w:t>(3), p.583.</w:t>
      </w:r>
    </w:p>
    <w:p w14:paraId="327197D7" w14:textId="77777777" w:rsidR="001E059B" w:rsidRPr="00B63121" w:rsidRDefault="001E059B" w:rsidP="00B63121">
      <w:pPr>
        <w:rPr>
          <w:lang w:val="en-IN"/>
        </w:rPr>
      </w:pPr>
      <w:r w:rsidRPr="00B63121">
        <w:rPr>
          <w:lang w:val="en-IN"/>
        </w:rPr>
        <w:t xml:space="preserve">Wood, D.J., Mitchell, R.K., Agle, B.R. and Bryan, L.M., </w:t>
      </w:r>
      <w:r>
        <w:rPr>
          <w:lang w:val="en-IN"/>
        </w:rPr>
        <w:t>(</w:t>
      </w:r>
      <w:r w:rsidRPr="00B63121">
        <w:rPr>
          <w:lang w:val="en-IN"/>
        </w:rPr>
        <w:t>2021</w:t>
      </w:r>
      <w:r>
        <w:rPr>
          <w:lang w:val="en-IN"/>
        </w:rPr>
        <w:t>)</w:t>
      </w:r>
      <w:r w:rsidRPr="00B63121">
        <w:rPr>
          <w:lang w:val="en-IN"/>
        </w:rPr>
        <w:t xml:space="preserve">. Stakeholder identification and salience after 20 years: Progress, problems, and prospects. </w:t>
      </w:r>
      <w:r w:rsidRPr="00B63121">
        <w:rPr>
          <w:i/>
          <w:iCs/>
          <w:lang w:val="en-IN"/>
        </w:rPr>
        <w:t>Business &amp; Society</w:t>
      </w:r>
      <w:r w:rsidRPr="00B63121">
        <w:rPr>
          <w:lang w:val="en-IN"/>
        </w:rPr>
        <w:t xml:space="preserve">, </w:t>
      </w:r>
      <w:r w:rsidRPr="00B63121">
        <w:rPr>
          <w:i/>
          <w:iCs/>
          <w:lang w:val="en-IN"/>
        </w:rPr>
        <w:t>60</w:t>
      </w:r>
      <w:r w:rsidRPr="00B63121">
        <w:rPr>
          <w:lang w:val="en-IN"/>
        </w:rPr>
        <w:t>(1), pp.196-245.</w:t>
      </w:r>
    </w:p>
    <w:p w14:paraId="4ADAD903" w14:textId="77777777" w:rsidR="001E059B" w:rsidRPr="007D6CB9" w:rsidRDefault="001E059B" w:rsidP="007D6CB9">
      <w:pPr>
        <w:rPr>
          <w:lang w:val="en-IN"/>
        </w:rPr>
      </w:pPr>
      <w:r w:rsidRPr="007D6CB9">
        <w:rPr>
          <w:lang w:val="en-IN"/>
        </w:rPr>
        <w:t xml:space="preserve">Zaharia, R.M. and Zaharia, R., </w:t>
      </w:r>
      <w:r>
        <w:rPr>
          <w:lang w:val="en-IN"/>
        </w:rPr>
        <w:t>(</w:t>
      </w:r>
      <w:r w:rsidRPr="007D6CB9">
        <w:rPr>
          <w:lang w:val="en-IN"/>
        </w:rPr>
        <w:t>2021</w:t>
      </w:r>
      <w:r>
        <w:rPr>
          <w:lang w:val="en-IN"/>
        </w:rPr>
        <w:t>)</w:t>
      </w:r>
      <w:r w:rsidRPr="007D6CB9">
        <w:rPr>
          <w:lang w:val="en-IN"/>
        </w:rPr>
        <w:t xml:space="preserve">. Triple bottom line. In </w:t>
      </w:r>
      <w:r w:rsidRPr="007D6CB9">
        <w:rPr>
          <w:i/>
          <w:iCs/>
          <w:lang w:val="en-IN"/>
        </w:rPr>
        <w:t>The Palgrave handbook of corporate social responsibility</w:t>
      </w:r>
      <w:r w:rsidRPr="007D6CB9">
        <w:rPr>
          <w:lang w:val="en-IN"/>
        </w:rPr>
        <w:t xml:space="preserve"> (pp. 75-101). Cham: Springer International Publishing.</w:t>
      </w:r>
    </w:p>
    <w:p w14:paraId="48C433FD" w14:textId="77777777" w:rsidR="001E059B" w:rsidRPr="00D25A5A" w:rsidRDefault="001E059B" w:rsidP="00D25A5A">
      <w:pPr>
        <w:rPr>
          <w:lang w:val="en-IN"/>
        </w:rPr>
      </w:pPr>
      <w:r w:rsidRPr="00D25A5A">
        <w:rPr>
          <w:lang w:val="en-IN"/>
        </w:rPr>
        <w:t xml:space="preserve">Zhu, Q., Xi, J., Hu, X., Chong, H.Y., Zhou, Y. and Lyu, S., </w:t>
      </w:r>
      <w:r>
        <w:rPr>
          <w:lang w:val="en-IN"/>
        </w:rPr>
        <w:t>(</w:t>
      </w:r>
      <w:r w:rsidRPr="00D25A5A">
        <w:rPr>
          <w:lang w:val="en-IN"/>
        </w:rPr>
        <w:t>2024</w:t>
      </w:r>
      <w:r>
        <w:rPr>
          <w:lang w:val="en-IN"/>
        </w:rPr>
        <w:t>)</w:t>
      </w:r>
      <w:r w:rsidRPr="00D25A5A">
        <w:rPr>
          <w:lang w:val="en-IN"/>
        </w:rPr>
        <w:t xml:space="preserve">. Stakeholder mapping and analysis of off-site construction projects: utilizing a power–interest matrix and the fuzzy logic theory. </w:t>
      </w:r>
      <w:r w:rsidRPr="00D25A5A">
        <w:rPr>
          <w:i/>
          <w:iCs/>
          <w:lang w:val="en-IN"/>
        </w:rPr>
        <w:t>Buildings</w:t>
      </w:r>
      <w:r w:rsidRPr="00D25A5A">
        <w:rPr>
          <w:lang w:val="en-IN"/>
        </w:rPr>
        <w:t xml:space="preserve">, </w:t>
      </w:r>
      <w:r w:rsidRPr="00D25A5A">
        <w:rPr>
          <w:i/>
          <w:iCs/>
          <w:lang w:val="en-IN"/>
        </w:rPr>
        <w:t>14</w:t>
      </w:r>
      <w:r w:rsidRPr="00D25A5A">
        <w:rPr>
          <w:lang w:val="en-IN"/>
        </w:rPr>
        <w:t>(9), p.2865.</w:t>
      </w:r>
    </w:p>
    <w:p w14:paraId="7EC4D6A4" w14:textId="77777777" w:rsidR="00605598" w:rsidRPr="00F26C40" w:rsidRDefault="00605598" w:rsidP="00F26C40">
      <w:pPr>
        <w:rPr>
          <w:lang w:val="en-IN"/>
        </w:rPr>
      </w:pPr>
    </w:p>
    <w:p w14:paraId="010F835C" w14:textId="77777777" w:rsidR="00F26C40" w:rsidRPr="00E80E70" w:rsidRDefault="00F26C40" w:rsidP="00E80E70">
      <w:pPr>
        <w:rPr>
          <w:lang w:val="en-IN"/>
        </w:rPr>
      </w:pPr>
    </w:p>
    <w:p w14:paraId="41C12819" w14:textId="77777777" w:rsidR="003B636E" w:rsidRPr="00176F70" w:rsidRDefault="003B636E" w:rsidP="00176F70">
      <w:pPr>
        <w:rPr>
          <w:lang w:val="en-IN"/>
        </w:rPr>
      </w:pPr>
    </w:p>
    <w:p w14:paraId="41A9BE1B" w14:textId="77777777" w:rsidR="00387C8A" w:rsidRPr="00387C8A" w:rsidRDefault="00387C8A" w:rsidP="00387C8A"/>
    <w:p w14:paraId="73F6F11D" w14:textId="77777777" w:rsidR="00387C8A" w:rsidRDefault="00387C8A"/>
    <w:sectPr w:rsidR="00387C8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1A303" w14:textId="77777777" w:rsidR="009E7576" w:rsidRDefault="009E7576" w:rsidP="005E1764">
      <w:pPr>
        <w:spacing w:after="0" w:line="240" w:lineRule="auto"/>
      </w:pPr>
      <w:r>
        <w:separator/>
      </w:r>
    </w:p>
  </w:endnote>
  <w:endnote w:type="continuationSeparator" w:id="0">
    <w:p w14:paraId="582FEEC0" w14:textId="77777777" w:rsidR="009E7576" w:rsidRDefault="009E7576" w:rsidP="005E1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676291"/>
      <w:docPartObj>
        <w:docPartGallery w:val="Page Numbers (Bottom of Page)"/>
        <w:docPartUnique/>
      </w:docPartObj>
    </w:sdtPr>
    <w:sdtEndPr>
      <w:rPr>
        <w:noProof/>
      </w:rPr>
    </w:sdtEndPr>
    <w:sdtContent>
      <w:p w14:paraId="6880E6BD" w14:textId="28B83A60" w:rsidR="005E1764" w:rsidRDefault="005E1764">
        <w:pPr>
          <w:pStyle w:val="Footer"/>
          <w:jc w:val="right"/>
        </w:pPr>
        <w:r>
          <w:fldChar w:fldCharType="begin"/>
        </w:r>
        <w:r>
          <w:instrText xml:space="preserve"> PAGE   \* MERGEFORMAT </w:instrText>
        </w:r>
        <w:r>
          <w:fldChar w:fldCharType="separate"/>
        </w:r>
        <w:r w:rsidR="00DF43F0">
          <w:rPr>
            <w:noProof/>
          </w:rPr>
          <w:t>15</w:t>
        </w:r>
        <w:r>
          <w:rPr>
            <w:noProof/>
          </w:rPr>
          <w:fldChar w:fldCharType="end"/>
        </w:r>
      </w:p>
    </w:sdtContent>
  </w:sdt>
  <w:p w14:paraId="360ED08A" w14:textId="77777777" w:rsidR="005E1764" w:rsidRDefault="005E1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4B89C" w14:textId="77777777" w:rsidR="009E7576" w:rsidRDefault="009E7576" w:rsidP="005E1764">
      <w:pPr>
        <w:spacing w:after="0" w:line="240" w:lineRule="auto"/>
      </w:pPr>
      <w:r>
        <w:separator/>
      </w:r>
    </w:p>
  </w:footnote>
  <w:footnote w:type="continuationSeparator" w:id="0">
    <w:p w14:paraId="23B6A337" w14:textId="77777777" w:rsidR="009E7576" w:rsidRDefault="009E7576" w:rsidP="005E1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E12DC"/>
    <w:multiLevelType w:val="multilevel"/>
    <w:tmpl w:val="72629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F379A"/>
    <w:multiLevelType w:val="multilevel"/>
    <w:tmpl w:val="B8868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61F6D"/>
    <w:multiLevelType w:val="multilevel"/>
    <w:tmpl w:val="A22C0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BC0309"/>
    <w:multiLevelType w:val="multilevel"/>
    <w:tmpl w:val="313E8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EA5CCF"/>
    <w:multiLevelType w:val="multilevel"/>
    <w:tmpl w:val="7A72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55BB9"/>
    <w:multiLevelType w:val="multilevel"/>
    <w:tmpl w:val="437E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402B1"/>
    <w:multiLevelType w:val="multilevel"/>
    <w:tmpl w:val="BC08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644532"/>
    <w:multiLevelType w:val="multilevel"/>
    <w:tmpl w:val="A9A82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434EF3"/>
    <w:multiLevelType w:val="multilevel"/>
    <w:tmpl w:val="0976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B457D"/>
    <w:multiLevelType w:val="multilevel"/>
    <w:tmpl w:val="1A6AD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7C25C6"/>
    <w:multiLevelType w:val="multilevel"/>
    <w:tmpl w:val="C69CE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F216BC"/>
    <w:multiLevelType w:val="hybridMultilevel"/>
    <w:tmpl w:val="B280443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7830DDC"/>
    <w:multiLevelType w:val="hybridMultilevel"/>
    <w:tmpl w:val="C50CFF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1914504"/>
    <w:multiLevelType w:val="hybridMultilevel"/>
    <w:tmpl w:val="D89087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65B942B4"/>
    <w:multiLevelType w:val="multilevel"/>
    <w:tmpl w:val="7ABA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187CE2"/>
    <w:multiLevelType w:val="multilevel"/>
    <w:tmpl w:val="8E8E6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BB6AF0"/>
    <w:multiLevelType w:val="multilevel"/>
    <w:tmpl w:val="9C946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420389"/>
    <w:multiLevelType w:val="multilevel"/>
    <w:tmpl w:val="BE987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F52699"/>
    <w:multiLevelType w:val="multilevel"/>
    <w:tmpl w:val="F494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0055B4"/>
    <w:multiLevelType w:val="multilevel"/>
    <w:tmpl w:val="6872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915359">
    <w:abstractNumId w:val="6"/>
  </w:num>
  <w:num w:numId="2" w16cid:durableId="1727992691">
    <w:abstractNumId w:val="19"/>
  </w:num>
  <w:num w:numId="3" w16cid:durableId="739868497">
    <w:abstractNumId w:val="0"/>
  </w:num>
  <w:num w:numId="4" w16cid:durableId="910122795">
    <w:abstractNumId w:val="15"/>
  </w:num>
  <w:num w:numId="5" w16cid:durableId="139346285">
    <w:abstractNumId w:val="8"/>
  </w:num>
  <w:num w:numId="6" w16cid:durableId="1091588112">
    <w:abstractNumId w:val="2"/>
  </w:num>
  <w:num w:numId="7" w16cid:durableId="1229341024">
    <w:abstractNumId w:val="14"/>
  </w:num>
  <w:num w:numId="8" w16cid:durableId="1715541253">
    <w:abstractNumId w:val="5"/>
  </w:num>
  <w:num w:numId="9" w16cid:durableId="49814736">
    <w:abstractNumId w:val="4"/>
  </w:num>
  <w:num w:numId="10" w16cid:durableId="5060700">
    <w:abstractNumId w:val="7"/>
  </w:num>
  <w:num w:numId="11" w16cid:durableId="1682077903">
    <w:abstractNumId w:val="17"/>
  </w:num>
  <w:num w:numId="12" w16cid:durableId="337735446">
    <w:abstractNumId w:val="10"/>
  </w:num>
  <w:num w:numId="13" w16cid:durableId="554925687">
    <w:abstractNumId w:val="18"/>
  </w:num>
  <w:num w:numId="14" w16cid:durableId="629557164">
    <w:abstractNumId w:val="9"/>
  </w:num>
  <w:num w:numId="15" w16cid:durableId="2106917142">
    <w:abstractNumId w:val="1"/>
  </w:num>
  <w:num w:numId="16" w16cid:durableId="564419189">
    <w:abstractNumId w:val="16"/>
  </w:num>
  <w:num w:numId="17" w16cid:durableId="519972567">
    <w:abstractNumId w:val="3"/>
  </w:num>
  <w:num w:numId="18" w16cid:durableId="335616722">
    <w:abstractNumId w:val="12"/>
  </w:num>
  <w:num w:numId="19" w16cid:durableId="488062665">
    <w:abstractNumId w:val="11"/>
  </w:num>
  <w:num w:numId="20" w16cid:durableId="7728668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13F"/>
    <w:rsid w:val="00006364"/>
    <w:rsid w:val="000066C6"/>
    <w:rsid w:val="00027FA3"/>
    <w:rsid w:val="00036BB1"/>
    <w:rsid w:val="000376DD"/>
    <w:rsid w:val="000403D9"/>
    <w:rsid w:val="00040705"/>
    <w:rsid w:val="000436DA"/>
    <w:rsid w:val="00044AA8"/>
    <w:rsid w:val="000478B7"/>
    <w:rsid w:val="00075085"/>
    <w:rsid w:val="00077ADF"/>
    <w:rsid w:val="00086E15"/>
    <w:rsid w:val="00091279"/>
    <w:rsid w:val="000A744B"/>
    <w:rsid w:val="000B7548"/>
    <w:rsid w:val="000E5830"/>
    <w:rsid w:val="00106896"/>
    <w:rsid w:val="00142224"/>
    <w:rsid w:val="001541A9"/>
    <w:rsid w:val="0016657C"/>
    <w:rsid w:val="00167BC9"/>
    <w:rsid w:val="00176F70"/>
    <w:rsid w:val="001860F4"/>
    <w:rsid w:val="00193A5B"/>
    <w:rsid w:val="001A15DB"/>
    <w:rsid w:val="001C5185"/>
    <w:rsid w:val="001D054A"/>
    <w:rsid w:val="001D28B2"/>
    <w:rsid w:val="001D3547"/>
    <w:rsid w:val="001E059B"/>
    <w:rsid w:val="001E298C"/>
    <w:rsid w:val="001E31E7"/>
    <w:rsid w:val="001E5C98"/>
    <w:rsid w:val="001F47D7"/>
    <w:rsid w:val="001F6C58"/>
    <w:rsid w:val="00205A50"/>
    <w:rsid w:val="002071D6"/>
    <w:rsid w:val="002146C1"/>
    <w:rsid w:val="002224CD"/>
    <w:rsid w:val="0023792E"/>
    <w:rsid w:val="002439DF"/>
    <w:rsid w:val="0025028E"/>
    <w:rsid w:val="00262733"/>
    <w:rsid w:val="00264FA6"/>
    <w:rsid w:val="002751A7"/>
    <w:rsid w:val="00284A84"/>
    <w:rsid w:val="00294CE9"/>
    <w:rsid w:val="002B7F47"/>
    <w:rsid w:val="002D1EBC"/>
    <w:rsid w:val="002D2904"/>
    <w:rsid w:val="002D4EF4"/>
    <w:rsid w:val="002E0356"/>
    <w:rsid w:val="00301141"/>
    <w:rsid w:val="00303BCB"/>
    <w:rsid w:val="00313B74"/>
    <w:rsid w:val="00331B85"/>
    <w:rsid w:val="00333274"/>
    <w:rsid w:val="00333C4F"/>
    <w:rsid w:val="00333DA9"/>
    <w:rsid w:val="00336C7F"/>
    <w:rsid w:val="00355FAC"/>
    <w:rsid w:val="00364E47"/>
    <w:rsid w:val="00373465"/>
    <w:rsid w:val="00386408"/>
    <w:rsid w:val="00387C8A"/>
    <w:rsid w:val="003B3F40"/>
    <w:rsid w:val="003B52A2"/>
    <w:rsid w:val="003B5371"/>
    <w:rsid w:val="003B636E"/>
    <w:rsid w:val="003E267B"/>
    <w:rsid w:val="003F0815"/>
    <w:rsid w:val="00427C75"/>
    <w:rsid w:val="00445ECA"/>
    <w:rsid w:val="00467667"/>
    <w:rsid w:val="00470B1B"/>
    <w:rsid w:val="0048216D"/>
    <w:rsid w:val="00493E37"/>
    <w:rsid w:val="004950E9"/>
    <w:rsid w:val="004A01AD"/>
    <w:rsid w:val="004A6B86"/>
    <w:rsid w:val="004B4D68"/>
    <w:rsid w:val="004E36D7"/>
    <w:rsid w:val="004E3CFC"/>
    <w:rsid w:val="005144E2"/>
    <w:rsid w:val="005219BB"/>
    <w:rsid w:val="00522158"/>
    <w:rsid w:val="005311D7"/>
    <w:rsid w:val="00536453"/>
    <w:rsid w:val="0054569F"/>
    <w:rsid w:val="00552381"/>
    <w:rsid w:val="005638FD"/>
    <w:rsid w:val="00570534"/>
    <w:rsid w:val="00572F36"/>
    <w:rsid w:val="0057449B"/>
    <w:rsid w:val="00580007"/>
    <w:rsid w:val="005967F8"/>
    <w:rsid w:val="005A1F76"/>
    <w:rsid w:val="005A3359"/>
    <w:rsid w:val="005D22E2"/>
    <w:rsid w:val="005E1764"/>
    <w:rsid w:val="00605598"/>
    <w:rsid w:val="00626623"/>
    <w:rsid w:val="00626F8B"/>
    <w:rsid w:val="00633F0B"/>
    <w:rsid w:val="00634310"/>
    <w:rsid w:val="00642579"/>
    <w:rsid w:val="0067033A"/>
    <w:rsid w:val="006728F0"/>
    <w:rsid w:val="006821E3"/>
    <w:rsid w:val="00692B1D"/>
    <w:rsid w:val="006972CB"/>
    <w:rsid w:val="006A6423"/>
    <w:rsid w:val="006B47A8"/>
    <w:rsid w:val="006C47AE"/>
    <w:rsid w:val="006C5F19"/>
    <w:rsid w:val="006D6D84"/>
    <w:rsid w:val="006E4D8C"/>
    <w:rsid w:val="006F294E"/>
    <w:rsid w:val="007032C3"/>
    <w:rsid w:val="007047A6"/>
    <w:rsid w:val="00715AC6"/>
    <w:rsid w:val="00751A98"/>
    <w:rsid w:val="00766F59"/>
    <w:rsid w:val="00767D33"/>
    <w:rsid w:val="007844FF"/>
    <w:rsid w:val="007A2E3D"/>
    <w:rsid w:val="007B0740"/>
    <w:rsid w:val="007C2A18"/>
    <w:rsid w:val="007D00E0"/>
    <w:rsid w:val="007D6CB9"/>
    <w:rsid w:val="007E1595"/>
    <w:rsid w:val="00820213"/>
    <w:rsid w:val="0085282E"/>
    <w:rsid w:val="008675DF"/>
    <w:rsid w:val="0087152B"/>
    <w:rsid w:val="00876993"/>
    <w:rsid w:val="00883731"/>
    <w:rsid w:val="0089384A"/>
    <w:rsid w:val="008B1B61"/>
    <w:rsid w:val="008B2566"/>
    <w:rsid w:val="008B4BA5"/>
    <w:rsid w:val="008B5976"/>
    <w:rsid w:val="008C0CF9"/>
    <w:rsid w:val="008D3C6D"/>
    <w:rsid w:val="008D51C5"/>
    <w:rsid w:val="00907490"/>
    <w:rsid w:val="00907575"/>
    <w:rsid w:val="00933D5D"/>
    <w:rsid w:val="00943470"/>
    <w:rsid w:val="009455F0"/>
    <w:rsid w:val="00957380"/>
    <w:rsid w:val="009606F1"/>
    <w:rsid w:val="00981538"/>
    <w:rsid w:val="00983B6C"/>
    <w:rsid w:val="00986CA8"/>
    <w:rsid w:val="009A3B37"/>
    <w:rsid w:val="009B267E"/>
    <w:rsid w:val="009B631D"/>
    <w:rsid w:val="009D1DC7"/>
    <w:rsid w:val="009D4F07"/>
    <w:rsid w:val="009D6E51"/>
    <w:rsid w:val="009E6F3B"/>
    <w:rsid w:val="009E7576"/>
    <w:rsid w:val="009F50B3"/>
    <w:rsid w:val="00A138DD"/>
    <w:rsid w:val="00A2702E"/>
    <w:rsid w:val="00A36199"/>
    <w:rsid w:val="00A632F1"/>
    <w:rsid w:val="00A66726"/>
    <w:rsid w:val="00A77849"/>
    <w:rsid w:val="00A875F3"/>
    <w:rsid w:val="00A9286E"/>
    <w:rsid w:val="00AA1047"/>
    <w:rsid w:val="00AB3A9E"/>
    <w:rsid w:val="00AB610A"/>
    <w:rsid w:val="00AE7826"/>
    <w:rsid w:val="00AF2B24"/>
    <w:rsid w:val="00AF4CCC"/>
    <w:rsid w:val="00B14571"/>
    <w:rsid w:val="00B1495C"/>
    <w:rsid w:val="00B17622"/>
    <w:rsid w:val="00B24501"/>
    <w:rsid w:val="00B26B65"/>
    <w:rsid w:val="00B44D39"/>
    <w:rsid w:val="00B5707B"/>
    <w:rsid w:val="00B61479"/>
    <w:rsid w:val="00B63121"/>
    <w:rsid w:val="00B71208"/>
    <w:rsid w:val="00B84EB8"/>
    <w:rsid w:val="00B90AD0"/>
    <w:rsid w:val="00B92A3A"/>
    <w:rsid w:val="00BC2519"/>
    <w:rsid w:val="00BC491F"/>
    <w:rsid w:val="00BD2A10"/>
    <w:rsid w:val="00BD4C94"/>
    <w:rsid w:val="00BD5256"/>
    <w:rsid w:val="00BE090C"/>
    <w:rsid w:val="00BE2CB5"/>
    <w:rsid w:val="00BE5B8E"/>
    <w:rsid w:val="00BE767E"/>
    <w:rsid w:val="00C07E29"/>
    <w:rsid w:val="00C307DC"/>
    <w:rsid w:val="00C32758"/>
    <w:rsid w:val="00C37B38"/>
    <w:rsid w:val="00C45F6C"/>
    <w:rsid w:val="00C529D1"/>
    <w:rsid w:val="00C712C7"/>
    <w:rsid w:val="00C72080"/>
    <w:rsid w:val="00C745EE"/>
    <w:rsid w:val="00C75F74"/>
    <w:rsid w:val="00C86089"/>
    <w:rsid w:val="00C8670E"/>
    <w:rsid w:val="00C873F8"/>
    <w:rsid w:val="00C917BE"/>
    <w:rsid w:val="00CA7AEF"/>
    <w:rsid w:val="00CB0953"/>
    <w:rsid w:val="00CC5ACE"/>
    <w:rsid w:val="00CD2181"/>
    <w:rsid w:val="00CE2FB5"/>
    <w:rsid w:val="00D0113F"/>
    <w:rsid w:val="00D25A5A"/>
    <w:rsid w:val="00D3503E"/>
    <w:rsid w:val="00D42DE8"/>
    <w:rsid w:val="00D4326D"/>
    <w:rsid w:val="00D715AB"/>
    <w:rsid w:val="00D75780"/>
    <w:rsid w:val="00D95883"/>
    <w:rsid w:val="00DA68BB"/>
    <w:rsid w:val="00DB0ED0"/>
    <w:rsid w:val="00DB17CC"/>
    <w:rsid w:val="00DC18FC"/>
    <w:rsid w:val="00DC3C67"/>
    <w:rsid w:val="00DC4C5C"/>
    <w:rsid w:val="00DC6B7E"/>
    <w:rsid w:val="00DF43F0"/>
    <w:rsid w:val="00E0138C"/>
    <w:rsid w:val="00E055D5"/>
    <w:rsid w:val="00E11021"/>
    <w:rsid w:val="00E13DA9"/>
    <w:rsid w:val="00E148B0"/>
    <w:rsid w:val="00E15F01"/>
    <w:rsid w:val="00E261D1"/>
    <w:rsid w:val="00E54E47"/>
    <w:rsid w:val="00E556F3"/>
    <w:rsid w:val="00E6077E"/>
    <w:rsid w:val="00E64588"/>
    <w:rsid w:val="00E80E70"/>
    <w:rsid w:val="00E819B8"/>
    <w:rsid w:val="00EA5723"/>
    <w:rsid w:val="00ED06B2"/>
    <w:rsid w:val="00EF361B"/>
    <w:rsid w:val="00EF7BEF"/>
    <w:rsid w:val="00F06A89"/>
    <w:rsid w:val="00F2350A"/>
    <w:rsid w:val="00F23646"/>
    <w:rsid w:val="00F26C40"/>
    <w:rsid w:val="00F30D8D"/>
    <w:rsid w:val="00F3375F"/>
    <w:rsid w:val="00F35FE4"/>
    <w:rsid w:val="00F50775"/>
    <w:rsid w:val="00F50ADF"/>
    <w:rsid w:val="00F51021"/>
    <w:rsid w:val="00F557C2"/>
    <w:rsid w:val="00F56641"/>
    <w:rsid w:val="00F608A2"/>
    <w:rsid w:val="00F61A21"/>
    <w:rsid w:val="00F61BC9"/>
    <w:rsid w:val="00F6538A"/>
    <w:rsid w:val="00F66632"/>
    <w:rsid w:val="00F76278"/>
    <w:rsid w:val="00F855A1"/>
    <w:rsid w:val="00FA01F5"/>
    <w:rsid w:val="00FC2783"/>
    <w:rsid w:val="00FD31B9"/>
    <w:rsid w:val="00FD5182"/>
    <w:rsid w:val="00FE0769"/>
    <w:rsid w:val="00FF199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E33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FE4"/>
    <w:pPr>
      <w:spacing w:line="360" w:lineRule="auto"/>
      <w:jc w:val="both"/>
    </w:pPr>
    <w:rPr>
      <w:rFonts w:ascii="Times New Roman" w:hAnsi="Times New Roman"/>
      <w:color w:val="0D0D0D" w:themeColor="text1" w:themeTint="F2"/>
      <w:lang w:val="en-GB" w:bidi="hi-IN"/>
    </w:rPr>
  </w:style>
  <w:style w:type="paragraph" w:styleId="Heading1">
    <w:name w:val="heading 1"/>
    <w:basedOn w:val="Normal"/>
    <w:next w:val="Normal"/>
    <w:link w:val="Heading1Char"/>
    <w:uiPriority w:val="9"/>
    <w:qFormat/>
    <w:rsid w:val="00522158"/>
    <w:pPr>
      <w:keepNext/>
      <w:keepLines/>
      <w:spacing w:before="360" w:after="80"/>
      <w:outlineLvl w:val="0"/>
    </w:pPr>
    <w:rPr>
      <w:rFonts w:eastAsiaTheme="majorEastAsia" w:cstheme="majorBidi"/>
      <w:b/>
      <w:sz w:val="36"/>
      <w:szCs w:val="36"/>
    </w:rPr>
  </w:style>
  <w:style w:type="paragraph" w:styleId="Heading2">
    <w:name w:val="heading 2"/>
    <w:basedOn w:val="Normal"/>
    <w:next w:val="Normal"/>
    <w:link w:val="Heading2Char"/>
    <w:uiPriority w:val="9"/>
    <w:unhideWhenUsed/>
    <w:qFormat/>
    <w:rsid w:val="00522158"/>
    <w:pPr>
      <w:keepNext/>
      <w:keepLines/>
      <w:spacing w:before="160" w:after="80"/>
      <w:outlineLvl w:val="1"/>
    </w:pPr>
    <w:rPr>
      <w:rFonts w:eastAsiaTheme="majorEastAsia" w:cstheme="majorBidi"/>
      <w:b/>
      <w:sz w:val="32"/>
      <w:szCs w:val="29"/>
    </w:rPr>
  </w:style>
  <w:style w:type="paragraph" w:styleId="Heading3">
    <w:name w:val="heading 3"/>
    <w:basedOn w:val="Normal"/>
    <w:next w:val="Normal"/>
    <w:link w:val="Heading3Char"/>
    <w:uiPriority w:val="9"/>
    <w:semiHidden/>
    <w:unhideWhenUsed/>
    <w:qFormat/>
    <w:rsid w:val="009F50B3"/>
    <w:pPr>
      <w:keepNext/>
      <w:keepLines/>
      <w:spacing w:before="160" w:after="80"/>
      <w:outlineLvl w:val="2"/>
    </w:pPr>
    <w:rPr>
      <w:rFonts w:eastAsiaTheme="majorEastAsia" w:cstheme="majorBidi"/>
      <w:b/>
      <w:sz w:val="28"/>
      <w:szCs w:val="25"/>
    </w:rPr>
  </w:style>
  <w:style w:type="paragraph" w:styleId="Heading4">
    <w:name w:val="heading 4"/>
    <w:basedOn w:val="Normal"/>
    <w:next w:val="Normal"/>
    <w:link w:val="Heading4Char"/>
    <w:uiPriority w:val="9"/>
    <w:semiHidden/>
    <w:unhideWhenUsed/>
    <w:qFormat/>
    <w:rsid w:val="00D0113F"/>
    <w:pPr>
      <w:keepNext/>
      <w:keepLines/>
      <w:spacing w:before="80" w:after="40"/>
      <w:outlineLvl w:val="3"/>
    </w:pPr>
    <w:rPr>
      <w:rFonts w:asciiTheme="minorHAnsi" w:eastAsiaTheme="majorEastAsia" w:hAnsiTheme="minorHAnsi" w:cstheme="majorBidi"/>
      <w:i/>
      <w:iCs/>
      <w:color w:val="0F4761" w:themeColor="accent1" w:themeShade="BF"/>
      <w:szCs w:val="21"/>
    </w:rPr>
  </w:style>
  <w:style w:type="paragraph" w:styleId="Heading5">
    <w:name w:val="heading 5"/>
    <w:basedOn w:val="Normal"/>
    <w:next w:val="Normal"/>
    <w:link w:val="Heading5Char"/>
    <w:uiPriority w:val="9"/>
    <w:semiHidden/>
    <w:unhideWhenUsed/>
    <w:qFormat/>
    <w:rsid w:val="00D0113F"/>
    <w:pPr>
      <w:keepNext/>
      <w:keepLines/>
      <w:spacing w:before="80" w:after="40"/>
      <w:outlineLvl w:val="4"/>
    </w:pPr>
    <w:rPr>
      <w:rFonts w:asciiTheme="minorHAnsi" w:eastAsiaTheme="majorEastAsia" w:hAnsiTheme="minorHAnsi" w:cstheme="majorBidi"/>
      <w:color w:val="0F4761" w:themeColor="accent1" w:themeShade="BF"/>
      <w:szCs w:val="21"/>
    </w:rPr>
  </w:style>
  <w:style w:type="paragraph" w:styleId="Heading6">
    <w:name w:val="heading 6"/>
    <w:basedOn w:val="Normal"/>
    <w:next w:val="Normal"/>
    <w:link w:val="Heading6Char"/>
    <w:uiPriority w:val="9"/>
    <w:semiHidden/>
    <w:unhideWhenUsed/>
    <w:qFormat/>
    <w:rsid w:val="00D0113F"/>
    <w:pPr>
      <w:keepNext/>
      <w:keepLines/>
      <w:spacing w:before="40" w:after="0"/>
      <w:outlineLvl w:val="5"/>
    </w:pPr>
    <w:rPr>
      <w:rFonts w:asciiTheme="minorHAnsi" w:eastAsiaTheme="majorEastAsia" w:hAnsiTheme="minorHAnsi" w:cstheme="majorBidi"/>
      <w:i/>
      <w:iCs/>
      <w:color w:val="595959" w:themeColor="text1" w:themeTint="A6"/>
      <w:szCs w:val="21"/>
    </w:rPr>
  </w:style>
  <w:style w:type="paragraph" w:styleId="Heading7">
    <w:name w:val="heading 7"/>
    <w:basedOn w:val="Normal"/>
    <w:next w:val="Normal"/>
    <w:link w:val="Heading7Char"/>
    <w:uiPriority w:val="9"/>
    <w:semiHidden/>
    <w:unhideWhenUsed/>
    <w:qFormat/>
    <w:rsid w:val="00D0113F"/>
    <w:pPr>
      <w:keepNext/>
      <w:keepLines/>
      <w:spacing w:before="40" w:after="0"/>
      <w:outlineLvl w:val="6"/>
    </w:pPr>
    <w:rPr>
      <w:rFonts w:asciiTheme="minorHAnsi" w:eastAsiaTheme="majorEastAsia" w:hAnsiTheme="minorHAnsi" w:cstheme="majorBidi"/>
      <w:color w:val="595959" w:themeColor="text1" w:themeTint="A6"/>
      <w:szCs w:val="21"/>
    </w:rPr>
  </w:style>
  <w:style w:type="paragraph" w:styleId="Heading8">
    <w:name w:val="heading 8"/>
    <w:basedOn w:val="Normal"/>
    <w:next w:val="Normal"/>
    <w:link w:val="Heading8Char"/>
    <w:uiPriority w:val="9"/>
    <w:semiHidden/>
    <w:unhideWhenUsed/>
    <w:qFormat/>
    <w:rsid w:val="00D0113F"/>
    <w:pPr>
      <w:keepNext/>
      <w:keepLines/>
      <w:spacing w:after="0"/>
      <w:outlineLvl w:val="7"/>
    </w:pPr>
    <w:rPr>
      <w:rFonts w:asciiTheme="minorHAnsi" w:eastAsiaTheme="majorEastAsia" w:hAnsiTheme="minorHAnsi" w:cstheme="majorBidi"/>
      <w:i/>
      <w:iCs/>
      <w:color w:val="272727" w:themeColor="text1" w:themeTint="D8"/>
      <w:szCs w:val="21"/>
    </w:rPr>
  </w:style>
  <w:style w:type="paragraph" w:styleId="Heading9">
    <w:name w:val="heading 9"/>
    <w:basedOn w:val="Normal"/>
    <w:next w:val="Normal"/>
    <w:link w:val="Heading9Char"/>
    <w:uiPriority w:val="9"/>
    <w:semiHidden/>
    <w:unhideWhenUsed/>
    <w:qFormat/>
    <w:rsid w:val="00D0113F"/>
    <w:pPr>
      <w:keepNext/>
      <w:keepLines/>
      <w:spacing w:after="0"/>
      <w:outlineLvl w:val="8"/>
    </w:pPr>
    <w:rPr>
      <w:rFonts w:asciiTheme="minorHAnsi" w:eastAsiaTheme="majorEastAsia" w:hAnsiTheme="minorHAnsi" w:cstheme="majorBid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158"/>
    <w:rPr>
      <w:rFonts w:ascii="Times New Roman" w:eastAsiaTheme="majorEastAsia" w:hAnsi="Times New Roman" w:cstheme="majorBidi"/>
      <w:b/>
      <w:color w:val="0D0D0D" w:themeColor="text1" w:themeTint="F2"/>
      <w:sz w:val="36"/>
      <w:szCs w:val="36"/>
      <w:lang w:val="en-GB" w:bidi="hi-IN"/>
    </w:rPr>
  </w:style>
  <w:style w:type="character" w:customStyle="1" w:styleId="Heading2Char">
    <w:name w:val="Heading 2 Char"/>
    <w:basedOn w:val="DefaultParagraphFont"/>
    <w:link w:val="Heading2"/>
    <w:uiPriority w:val="9"/>
    <w:rsid w:val="00522158"/>
    <w:rPr>
      <w:rFonts w:ascii="Times New Roman" w:eastAsiaTheme="majorEastAsia" w:hAnsi="Times New Roman" w:cstheme="majorBidi"/>
      <w:b/>
      <w:color w:val="0D0D0D" w:themeColor="text1" w:themeTint="F2"/>
      <w:sz w:val="32"/>
      <w:szCs w:val="29"/>
      <w:lang w:val="en-GB" w:bidi="hi-IN"/>
    </w:rPr>
  </w:style>
  <w:style w:type="character" w:customStyle="1" w:styleId="Heading3Char">
    <w:name w:val="Heading 3 Char"/>
    <w:basedOn w:val="DefaultParagraphFont"/>
    <w:link w:val="Heading3"/>
    <w:uiPriority w:val="9"/>
    <w:semiHidden/>
    <w:rsid w:val="009F50B3"/>
    <w:rPr>
      <w:rFonts w:ascii="Times New Roman" w:eastAsiaTheme="majorEastAsia" w:hAnsi="Times New Roman" w:cstheme="majorBidi"/>
      <w:b/>
      <w:color w:val="0D0D0D" w:themeColor="text1" w:themeTint="F2"/>
      <w:sz w:val="28"/>
      <w:szCs w:val="25"/>
      <w:lang w:val="en-GB" w:bidi="hi-IN"/>
    </w:rPr>
  </w:style>
  <w:style w:type="character" w:customStyle="1" w:styleId="Heading4Char">
    <w:name w:val="Heading 4 Char"/>
    <w:basedOn w:val="DefaultParagraphFont"/>
    <w:link w:val="Heading4"/>
    <w:uiPriority w:val="9"/>
    <w:semiHidden/>
    <w:rsid w:val="00D0113F"/>
    <w:rPr>
      <w:rFonts w:eastAsiaTheme="majorEastAsia" w:cstheme="majorBidi"/>
      <w:i/>
      <w:iCs/>
      <w:color w:val="0F4761" w:themeColor="accent1" w:themeShade="BF"/>
      <w:szCs w:val="21"/>
      <w:lang w:val="en-GB" w:bidi="hi-IN"/>
    </w:rPr>
  </w:style>
  <w:style w:type="character" w:customStyle="1" w:styleId="Heading5Char">
    <w:name w:val="Heading 5 Char"/>
    <w:basedOn w:val="DefaultParagraphFont"/>
    <w:link w:val="Heading5"/>
    <w:uiPriority w:val="9"/>
    <w:semiHidden/>
    <w:rsid w:val="00D0113F"/>
    <w:rPr>
      <w:rFonts w:eastAsiaTheme="majorEastAsia" w:cstheme="majorBidi"/>
      <w:color w:val="0F4761" w:themeColor="accent1" w:themeShade="BF"/>
      <w:szCs w:val="21"/>
      <w:lang w:val="en-GB" w:bidi="hi-IN"/>
    </w:rPr>
  </w:style>
  <w:style w:type="character" w:customStyle="1" w:styleId="Heading6Char">
    <w:name w:val="Heading 6 Char"/>
    <w:basedOn w:val="DefaultParagraphFont"/>
    <w:link w:val="Heading6"/>
    <w:uiPriority w:val="9"/>
    <w:semiHidden/>
    <w:rsid w:val="00D0113F"/>
    <w:rPr>
      <w:rFonts w:eastAsiaTheme="majorEastAsia" w:cstheme="majorBidi"/>
      <w:i/>
      <w:iCs/>
      <w:color w:val="595959" w:themeColor="text1" w:themeTint="A6"/>
      <w:szCs w:val="21"/>
      <w:lang w:val="en-GB" w:bidi="hi-IN"/>
    </w:rPr>
  </w:style>
  <w:style w:type="character" w:customStyle="1" w:styleId="Heading7Char">
    <w:name w:val="Heading 7 Char"/>
    <w:basedOn w:val="DefaultParagraphFont"/>
    <w:link w:val="Heading7"/>
    <w:uiPriority w:val="9"/>
    <w:semiHidden/>
    <w:rsid w:val="00D0113F"/>
    <w:rPr>
      <w:rFonts w:eastAsiaTheme="majorEastAsia" w:cstheme="majorBidi"/>
      <w:color w:val="595959" w:themeColor="text1" w:themeTint="A6"/>
      <w:szCs w:val="21"/>
      <w:lang w:val="en-GB" w:bidi="hi-IN"/>
    </w:rPr>
  </w:style>
  <w:style w:type="character" w:customStyle="1" w:styleId="Heading8Char">
    <w:name w:val="Heading 8 Char"/>
    <w:basedOn w:val="DefaultParagraphFont"/>
    <w:link w:val="Heading8"/>
    <w:uiPriority w:val="9"/>
    <w:semiHidden/>
    <w:rsid w:val="00D0113F"/>
    <w:rPr>
      <w:rFonts w:eastAsiaTheme="majorEastAsia" w:cstheme="majorBidi"/>
      <w:i/>
      <w:iCs/>
      <w:color w:val="272727" w:themeColor="text1" w:themeTint="D8"/>
      <w:szCs w:val="21"/>
      <w:lang w:val="en-GB" w:bidi="hi-IN"/>
    </w:rPr>
  </w:style>
  <w:style w:type="character" w:customStyle="1" w:styleId="Heading9Char">
    <w:name w:val="Heading 9 Char"/>
    <w:basedOn w:val="DefaultParagraphFont"/>
    <w:link w:val="Heading9"/>
    <w:uiPriority w:val="9"/>
    <w:semiHidden/>
    <w:rsid w:val="00D0113F"/>
    <w:rPr>
      <w:rFonts w:eastAsiaTheme="majorEastAsia" w:cstheme="majorBidi"/>
      <w:color w:val="272727" w:themeColor="text1" w:themeTint="D8"/>
      <w:szCs w:val="21"/>
      <w:lang w:val="en-GB" w:bidi="hi-IN"/>
    </w:rPr>
  </w:style>
  <w:style w:type="paragraph" w:styleId="Title">
    <w:name w:val="Title"/>
    <w:basedOn w:val="Normal"/>
    <w:next w:val="Normal"/>
    <w:link w:val="TitleChar"/>
    <w:uiPriority w:val="10"/>
    <w:qFormat/>
    <w:rsid w:val="00D0113F"/>
    <w:pPr>
      <w:spacing w:after="80" w:line="240" w:lineRule="auto"/>
      <w:contextualSpacing/>
    </w:pPr>
    <w:rPr>
      <w:rFonts w:asciiTheme="majorHAnsi" w:eastAsiaTheme="majorEastAsia" w:hAnsiTheme="majorHAnsi" w:cstheme="majorBidi"/>
      <w:color w:val="auto"/>
      <w:spacing w:val="-10"/>
      <w:kern w:val="28"/>
      <w:sz w:val="56"/>
      <w:szCs w:val="50"/>
    </w:rPr>
  </w:style>
  <w:style w:type="character" w:customStyle="1" w:styleId="TitleChar">
    <w:name w:val="Title Char"/>
    <w:basedOn w:val="DefaultParagraphFont"/>
    <w:link w:val="Title"/>
    <w:uiPriority w:val="10"/>
    <w:rsid w:val="00D0113F"/>
    <w:rPr>
      <w:rFonts w:asciiTheme="majorHAnsi" w:eastAsiaTheme="majorEastAsia" w:hAnsiTheme="majorHAnsi" w:cstheme="majorBidi"/>
      <w:spacing w:val="-10"/>
      <w:kern w:val="28"/>
      <w:sz w:val="56"/>
      <w:szCs w:val="50"/>
      <w:lang w:val="en-GB" w:bidi="hi-IN"/>
    </w:rPr>
  </w:style>
  <w:style w:type="paragraph" w:styleId="Subtitle">
    <w:name w:val="Subtitle"/>
    <w:basedOn w:val="Normal"/>
    <w:next w:val="Normal"/>
    <w:link w:val="SubtitleChar"/>
    <w:uiPriority w:val="11"/>
    <w:qFormat/>
    <w:rsid w:val="00D0113F"/>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D0113F"/>
    <w:rPr>
      <w:rFonts w:eastAsiaTheme="majorEastAsia" w:cstheme="majorBidi"/>
      <w:color w:val="595959" w:themeColor="text1" w:themeTint="A6"/>
      <w:spacing w:val="15"/>
      <w:sz w:val="28"/>
      <w:szCs w:val="25"/>
      <w:lang w:val="en-GB" w:bidi="hi-IN"/>
    </w:rPr>
  </w:style>
  <w:style w:type="paragraph" w:styleId="Quote">
    <w:name w:val="Quote"/>
    <w:basedOn w:val="Normal"/>
    <w:next w:val="Normal"/>
    <w:link w:val="QuoteChar"/>
    <w:uiPriority w:val="29"/>
    <w:qFormat/>
    <w:rsid w:val="00D0113F"/>
    <w:pPr>
      <w:spacing w:before="160"/>
      <w:jc w:val="center"/>
    </w:pPr>
    <w:rPr>
      <w:i/>
      <w:iCs/>
      <w:color w:val="404040" w:themeColor="text1" w:themeTint="BF"/>
      <w:szCs w:val="21"/>
    </w:rPr>
  </w:style>
  <w:style w:type="character" w:customStyle="1" w:styleId="QuoteChar">
    <w:name w:val="Quote Char"/>
    <w:basedOn w:val="DefaultParagraphFont"/>
    <w:link w:val="Quote"/>
    <w:uiPriority w:val="29"/>
    <w:rsid w:val="00D0113F"/>
    <w:rPr>
      <w:rFonts w:ascii="Times New Roman" w:hAnsi="Times New Roman"/>
      <w:i/>
      <w:iCs/>
      <w:color w:val="404040" w:themeColor="text1" w:themeTint="BF"/>
      <w:szCs w:val="21"/>
      <w:lang w:val="en-GB" w:bidi="hi-IN"/>
    </w:rPr>
  </w:style>
  <w:style w:type="paragraph" w:styleId="ListParagraph">
    <w:name w:val="List Paragraph"/>
    <w:basedOn w:val="Normal"/>
    <w:uiPriority w:val="34"/>
    <w:qFormat/>
    <w:rsid w:val="00D0113F"/>
    <w:pPr>
      <w:ind w:left="720"/>
      <w:contextualSpacing/>
    </w:pPr>
    <w:rPr>
      <w:szCs w:val="21"/>
    </w:rPr>
  </w:style>
  <w:style w:type="character" w:styleId="IntenseEmphasis">
    <w:name w:val="Intense Emphasis"/>
    <w:basedOn w:val="DefaultParagraphFont"/>
    <w:uiPriority w:val="21"/>
    <w:qFormat/>
    <w:rsid w:val="00D0113F"/>
    <w:rPr>
      <w:i/>
      <w:iCs/>
      <w:color w:val="0F4761" w:themeColor="accent1" w:themeShade="BF"/>
    </w:rPr>
  </w:style>
  <w:style w:type="paragraph" w:styleId="IntenseQuote">
    <w:name w:val="Intense Quote"/>
    <w:basedOn w:val="Normal"/>
    <w:next w:val="Normal"/>
    <w:link w:val="IntenseQuoteChar"/>
    <w:uiPriority w:val="30"/>
    <w:qFormat/>
    <w:rsid w:val="00D011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1"/>
    </w:rPr>
  </w:style>
  <w:style w:type="character" w:customStyle="1" w:styleId="IntenseQuoteChar">
    <w:name w:val="Intense Quote Char"/>
    <w:basedOn w:val="DefaultParagraphFont"/>
    <w:link w:val="IntenseQuote"/>
    <w:uiPriority w:val="30"/>
    <w:rsid w:val="00D0113F"/>
    <w:rPr>
      <w:rFonts w:ascii="Times New Roman" w:hAnsi="Times New Roman"/>
      <w:i/>
      <w:iCs/>
      <w:color w:val="0F4761" w:themeColor="accent1" w:themeShade="BF"/>
      <w:szCs w:val="21"/>
      <w:lang w:val="en-GB" w:bidi="hi-IN"/>
    </w:rPr>
  </w:style>
  <w:style w:type="character" w:styleId="IntenseReference">
    <w:name w:val="Intense Reference"/>
    <w:basedOn w:val="DefaultParagraphFont"/>
    <w:uiPriority w:val="32"/>
    <w:qFormat/>
    <w:rsid w:val="00D0113F"/>
    <w:rPr>
      <w:b/>
      <w:bCs/>
      <w:smallCaps/>
      <w:color w:val="0F4761" w:themeColor="accent1" w:themeShade="BF"/>
      <w:spacing w:val="5"/>
    </w:rPr>
  </w:style>
  <w:style w:type="character" w:styleId="Hyperlink">
    <w:name w:val="Hyperlink"/>
    <w:basedOn w:val="DefaultParagraphFont"/>
    <w:uiPriority w:val="99"/>
    <w:unhideWhenUsed/>
    <w:rsid w:val="00D0113F"/>
    <w:rPr>
      <w:color w:val="467886" w:themeColor="hyperlink"/>
      <w:u w:val="single"/>
    </w:rPr>
  </w:style>
  <w:style w:type="character" w:customStyle="1" w:styleId="UnresolvedMention1">
    <w:name w:val="Unresolved Mention1"/>
    <w:basedOn w:val="DefaultParagraphFont"/>
    <w:uiPriority w:val="99"/>
    <w:semiHidden/>
    <w:unhideWhenUsed/>
    <w:rsid w:val="00D0113F"/>
    <w:rPr>
      <w:color w:val="605E5C"/>
      <w:shd w:val="clear" w:color="auto" w:fill="E1DFDD"/>
    </w:rPr>
  </w:style>
  <w:style w:type="paragraph" w:styleId="Header">
    <w:name w:val="header"/>
    <w:basedOn w:val="Normal"/>
    <w:link w:val="HeaderChar"/>
    <w:uiPriority w:val="99"/>
    <w:unhideWhenUsed/>
    <w:rsid w:val="005E1764"/>
    <w:pPr>
      <w:tabs>
        <w:tab w:val="center" w:pos="4513"/>
        <w:tab w:val="right" w:pos="9026"/>
      </w:tabs>
      <w:spacing w:after="0" w:line="240" w:lineRule="auto"/>
    </w:pPr>
    <w:rPr>
      <w:szCs w:val="21"/>
    </w:rPr>
  </w:style>
  <w:style w:type="character" w:customStyle="1" w:styleId="HeaderChar">
    <w:name w:val="Header Char"/>
    <w:basedOn w:val="DefaultParagraphFont"/>
    <w:link w:val="Header"/>
    <w:uiPriority w:val="99"/>
    <w:rsid w:val="005E1764"/>
    <w:rPr>
      <w:rFonts w:ascii="Times New Roman" w:hAnsi="Times New Roman"/>
      <w:color w:val="0D0D0D" w:themeColor="text1" w:themeTint="F2"/>
      <w:szCs w:val="21"/>
      <w:lang w:val="en-GB" w:bidi="hi-IN"/>
    </w:rPr>
  </w:style>
  <w:style w:type="paragraph" w:styleId="Footer">
    <w:name w:val="footer"/>
    <w:basedOn w:val="Normal"/>
    <w:link w:val="FooterChar"/>
    <w:uiPriority w:val="99"/>
    <w:unhideWhenUsed/>
    <w:rsid w:val="005E1764"/>
    <w:pPr>
      <w:tabs>
        <w:tab w:val="center" w:pos="4513"/>
        <w:tab w:val="right" w:pos="9026"/>
      </w:tabs>
      <w:spacing w:after="0" w:line="240" w:lineRule="auto"/>
    </w:pPr>
    <w:rPr>
      <w:szCs w:val="21"/>
    </w:rPr>
  </w:style>
  <w:style w:type="character" w:customStyle="1" w:styleId="FooterChar">
    <w:name w:val="Footer Char"/>
    <w:basedOn w:val="DefaultParagraphFont"/>
    <w:link w:val="Footer"/>
    <w:uiPriority w:val="99"/>
    <w:rsid w:val="005E1764"/>
    <w:rPr>
      <w:rFonts w:ascii="Times New Roman" w:hAnsi="Times New Roman"/>
      <w:color w:val="0D0D0D" w:themeColor="text1" w:themeTint="F2"/>
      <w:szCs w:val="21"/>
      <w:lang w:val="en-GB" w:bidi="hi-IN"/>
    </w:rPr>
  </w:style>
  <w:style w:type="table" w:styleId="TableGrid">
    <w:name w:val="Table Grid"/>
    <w:basedOn w:val="TableNormal"/>
    <w:uiPriority w:val="39"/>
    <w:rsid w:val="00493E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64588"/>
    <w:pPr>
      <w:spacing w:after="200" w:line="240" w:lineRule="auto"/>
    </w:pPr>
    <w:rPr>
      <w:i/>
      <w:iCs/>
      <w:color w:val="0E2841" w:themeColor="text2"/>
      <w:sz w:val="18"/>
      <w:szCs w:val="16"/>
    </w:rPr>
  </w:style>
  <w:style w:type="paragraph" w:styleId="TOCHeading">
    <w:name w:val="TOC Heading"/>
    <w:basedOn w:val="Heading1"/>
    <w:next w:val="Normal"/>
    <w:uiPriority w:val="39"/>
    <w:unhideWhenUsed/>
    <w:qFormat/>
    <w:rsid w:val="0023792E"/>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23792E"/>
    <w:pPr>
      <w:spacing w:after="100"/>
    </w:pPr>
    <w:rPr>
      <w:szCs w:val="21"/>
    </w:rPr>
  </w:style>
  <w:style w:type="paragraph" w:styleId="TOC2">
    <w:name w:val="toc 2"/>
    <w:basedOn w:val="Normal"/>
    <w:next w:val="Normal"/>
    <w:autoRedefine/>
    <w:uiPriority w:val="39"/>
    <w:unhideWhenUsed/>
    <w:rsid w:val="0023792E"/>
    <w:pPr>
      <w:spacing w:after="100"/>
      <w:ind w:left="240"/>
    </w:pPr>
    <w:rPr>
      <w:szCs w:val="21"/>
    </w:rPr>
  </w:style>
  <w:style w:type="paragraph" w:styleId="TableofFigures">
    <w:name w:val="table of figures"/>
    <w:basedOn w:val="Normal"/>
    <w:next w:val="Normal"/>
    <w:uiPriority w:val="99"/>
    <w:unhideWhenUsed/>
    <w:rsid w:val="00C32758"/>
    <w:pPr>
      <w:spacing w:after="0"/>
    </w:pPr>
    <w:rPr>
      <w:szCs w:val="21"/>
    </w:rPr>
  </w:style>
  <w:style w:type="character" w:styleId="CommentReference">
    <w:name w:val="annotation reference"/>
    <w:basedOn w:val="DefaultParagraphFont"/>
    <w:uiPriority w:val="99"/>
    <w:semiHidden/>
    <w:unhideWhenUsed/>
    <w:rsid w:val="00303BCB"/>
    <w:rPr>
      <w:sz w:val="16"/>
      <w:szCs w:val="16"/>
    </w:rPr>
  </w:style>
  <w:style w:type="paragraph" w:styleId="CommentText">
    <w:name w:val="annotation text"/>
    <w:basedOn w:val="Normal"/>
    <w:link w:val="CommentTextChar"/>
    <w:uiPriority w:val="99"/>
    <w:semiHidden/>
    <w:unhideWhenUsed/>
    <w:rsid w:val="00303BCB"/>
    <w:pPr>
      <w:spacing w:line="240" w:lineRule="auto"/>
    </w:pPr>
    <w:rPr>
      <w:sz w:val="20"/>
      <w:szCs w:val="18"/>
    </w:rPr>
  </w:style>
  <w:style w:type="character" w:customStyle="1" w:styleId="CommentTextChar">
    <w:name w:val="Comment Text Char"/>
    <w:basedOn w:val="DefaultParagraphFont"/>
    <w:link w:val="CommentText"/>
    <w:uiPriority w:val="99"/>
    <w:semiHidden/>
    <w:rsid w:val="00303BCB"/>
    <w:rPr>
      <w:rFonts w:ascii="Times New Roman" w:hAnsi="Times New Roman"/>
      <w:color w:val="0D0D0D" w:themeColor="text1" w:themeTint="F2"/>
      <w:sz w:val="20"/>
      <w:szCs w:val="18"/>
      <w:lang w:val="en-GB" w:bidi="hi-IN"/>
    </w:rPr>
  </w:style>
  <w:style w:type="paragraph" w:styleId="CommentSubject">
    <w:name w:val="annotation subject"/>
    <w:basedOn w:val="CommentText"/>
    <w:next w:val="CommentText"/>
    <w:link w:val="CommentSubjectChar"/>
    <w:uiPriority w:val="99"/>
    <w:semiHidden/>
    <w:unhideWhenUsed/>
    <w:rsid w:val="00303BCB"/>
    <w:rPr>
      <w:b/>
      <w:bCs/>
    </w:rPr>
  </w:style>
  <w:style w:type="character" w:customStyle="1" w:styleId="CommentSubjectChar">
    <w:name w:val="Comment Subject Char"/>
    <w:basedOn w:val="CommentTextChar"/>
    <w:link w:val="CommentSubject"/>
    <w:uiPriority w:val="99"/>
    <w:semiHidden/>
    <w:rsid w:val="00303BCB"/>
    <w:rPr>
      <w:rFonts w:ascii="Times New Roman" w:hAnsi="Times New Roman"/>
      <w:b/>
      <w:bCs/>
      <w:color w:val="0D0D0D" w:themeColor="text1" w:themeTint="F2"/>
      <w:sz w:val="20"/>
      <w:szCs w:val="18"/>
      <w:lang w:val="en-GB" w:bidi="hi-IN"/>
    </w:rPr>
  </w:style>
  <w:style w:type="paragraph" w:styleId="BalloonText">
    <w:name w:val="Balloon Text"/>
    <w:basedOn w:val="Normal"/>
    <w:link w:val="BalloonTextChar"/>
    <w:uiPriority w:val="99"/>
    <w:semiHidden/>
    <w:unhideWhenUsed/>
    <w:rsid w:val="00303BCB"/>
    <w:pPr>
      <w:spacing w:after="0" w:line="240" w:lineRule="auto"/>
    </w:pPr>
    <w:rPr>
      <w:rFonts w:ascii="Segoe UI" w:hAnsi="Segoe UI" w:cs="Mangal"/>
      <w:sz w:val="18"/>
      <w:szCs w:val="16"/>
    </w:rPr>
  </w:style>
  <w:style w:type="character" w:customStyle="1" w:styleId="BalloonTextChar">
    <w:name w:val="Balloon Text Char"/>
    <w:basedOn w:val="DefaultParagraphFont"/>
    <w:link w:val="BalloonText"/>
    <w:uiPriority w:val="99"/>
    <w:semiHidden/>
    <w:rsid w:val="00303BCB"/>
    <w:rPr>
      <w:rFonts w:ascii="Segoe UI" w:hAnsi="Segoe UI" w:cs="Mangal"/>
      <w:color w:val="0D0D0D" w:themeColor="text1" w:themeTint="F2"/>
      <w:sz w:val="18"/>
      <w:szCs w:val="16"/>
      <w:lang w:val="en-GB" w:bidi="hi-IN"/>
    </w:rPr>
  </w:style>
  <w:style w:type="paragraph" w:styleId="Revision">
    <w:name w:val="Revision"/>
    <w:hidden/>
    <w:uiPriority w:val="99"/>
    <w:semiHidden/>
    <w:rsid w:val="00264FA6"/>
    <w:pPr>
      <w:spacing w:after="0" w:line="240" w:lineRule="auto"/>
    </w:pPr>
    <w:rPr>
      <w:rFonts w:ascii="Times New Roman" w:hAnsi="Times New Roman"/>
      <w:color w:val="0D0D0D" w:themeColor="text1" w:themeTint="F2"/>
      <w:szCs w:val="21"/>
      <w:lang w:val="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lford.gov.uk/investing-in-telford-and-wrekin/projects/telford-town-centre/station-quar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lford.gov.uk/investing-in-telford-and-wrekin/projects/telford-town-cent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ford.gov.uk/planning-and-building-contro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BD13D-B4C1-4A4D-B798-90EBF9473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5071</Words>
  <Characters>28905</Characters>
  <Application>Microsoft Office Word</Application>
  <DocSecurity>0</DocSecurity>
  <Lines>240</Lines>
  <Paragraphs>67</Paragraphs>
  <ScaleCrop>false</ScaleCrop>
  <Company/>
  <LinksUpToDate>false</LinksUpToDate>
  <CharactersWithSpaces>33909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2026-02-28T05:02:00Z</dcterms:created>
  <dcterms:modified xsi:type="dcterms:W3CDTF">2026-03-22T08:59:00Z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59dcb350-da6e-4e67-915d-555e11db310f</vt:lpwstr>
  </property>
</Properties>
</file>