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000000"/>
          <w:spacing w:val="0"/>
          <w:position w:val="0"/>
          <w:sz w:val="32"/>
          <w:u w:val="single"/>
          <w:shd w:fill="auto" w:val="clear"/>
        </w:rPr>
      </w:pPr>
      <w:r>
        <w:rPr>
          <w:rFonts w:ascii="Arial" w:hAnsi="Arial" w:cs="Arial" w:eastAsia="Arial"/>
          <w:b/>
          <w:color w:val="000000"/>
          <w:spacing w:val="0"/>
          <w:position w:val="0"/>
          <w:sz w:val="32"/>
          <w:u w:val="single"/>
          <w:shd w:fill="auto" w:val="clear"/>
        </w:rPr>
        <w:t xml:space="preserve">Food &amp; Beverage Operations Module</w:t>
      </w:r>
    </w:p>
    <w:p>
      <w:pPr>
        <w:spacing w:before="0" w:after="0" w:line="360"/>
        <w:ind w:right="0" w:left="0" w:firstLine="0"/>
        <w:jc w:val="center"/>
        <w:rPr>
          <w:rFonts w:ascii="Arial" w:hAnsi="Arial" w:cs="Arial" w:eastAsia="Arial"/>
          <w:b/>
          <w:color w:val="000000"/>
          <w:spacing w:val="0"/>
          <w:position w:val="0"/>
          <w:sz w:val="32"/>
          <w:u w:val="single"/>
          <w:shd w:fill="auto" w:val="clear"/>
        </w:rPr>
      </w:pPr>
      <w:r>
        <w:rPr>
          <w:rFonts w:ascii="Arial" w:hAnsi="Arial" w:cs="Arial" w:eastAsia="Arial"/>
          <w:b/>
          <w:color w:val="000000"/>
          <w:spacing w:val="0"/>
          <w:position w:val="0"/>
          <w:sz w:val="32"/>
          <w:u w:val="single"/>
          <w:shd w:fill="auto" w:val="clear"/>
        </w:rPr>
        <w:t xml:space="preserve">Level (4, 5, 6): 4</w:t>
      </w:r>
    </w:p>
    <w:p>
      <w:pPr>
        <w:spacing w:before="0" w:after="0" w:line="360"/>
        <w:ind w:right="0" w:left="0" w:firstLine="0"/>
        <w:jc w:val="center"/>
        <w:rPr>
          <w:rFonts w:ascii="Arial" w:hAnsi="Arial" w:cs="Arial" w:eastAsia="Arial"/>
          <w:b/>
          <w:color w:val="000000"/>
          <w:spacing w:val="0"/>
          <w:position w:val="0"/>
          <w:sz w:val="32"/>
          <w:u w:val="single"/>
          <w:shd w:fill="auto" w:val="clear"/>
        </w:rPr>
      </w:pPr>
      <w:r>
        <w:rPr>
          <w:rFonts w:ascii="Arial" w:hAnsi="Arial" w:cs="Arial" w:eastAsia="Arial"/>
          <w:b/>
          <w:color w:val="000000"/>
          <w:spacing w:val="0"/>
          <w:position w:val="0"/>
          <w:sz w:val="32"/>
          <w:u w:val="single"/>
          <w:shd w:fill="auto" w:val="clear"/>
        </w:rPr>
        <w:t xml:space="preserve">Module code: BMIH4002</w:t>
      </w:r>
    </w:p>
    <w:p>
      <w:pPr>
        <w:spacing w:before="0" w:after="0" w:line="360"/>
        <w:ind w:right="0" w:left="0" w:firstLine="0"/>
        <w:jc w:val="center"/>
        <w:rPr>
          <w:rFonts w:ascii="Arial" w:hAnsi="Arial" w:cs="Arial" w:eastAsia="Arial"/>
          <w:color w:val="000000"/>
          <w:spacing w:val="0"/>
          <w:position w:val="0"/>
          <w:sz w:val="32"/>
          <w:u w:val="single"/>
          <w:shd w:fill="auto" w:val="clear"/>
        </w:rPr>
      </w:pPr>
    </w:p>
    <w:p>
      <w:pPr>
        <w:spacing w:before="0" w:after="0" w:line="360"/>
        <w:ind w:right="0" w:left="0" w:firstLine="0"/>
        <w:jc w:val="center"/>
        <w:rPr>
          <w:rFonts w:ascii="Arial" w:hAnsi="Arial" w:cs="Arial" w:eastAsia="Arial"/>
          <w:b/>
          <w:color w:val="000000"/>
          <w:spacing w:val="0"/>
          <w:position w:val="0"/>
          <w:sz w:val="32"/>
          <w:u w:val="single"/>
          <w:shd w:fill="auto" w:val="clear"/>
        </w:rPr>
      </w:pPr>
    </w:p>
    <w:p>
      <w:pPr>
        <w:spacing w:before="0" w:after="0" w:line="360"/>
        <w:ind w:right="0" w:left="0" w:firstLine="0"/>
        <w:jc w:val="center"/>
        <w:rPr>
          <w:rFonts w:ascii="Arial" w:hAnsi="Arial" w:cs="Arial" w:eastAsia="Arial"/>
          <w:b/>
          <w:color w:val="000000"/>
          <w:spacing w:val="0"/>
          <w:position w:val="0"/>
          <w:sz w:val="32"/>
          <w:u w:val="single"/>
          <w:shd w:fill="auto" w:val="clear"/>
        </w:rPr>
      </w:pPr>
      <w:r>
        <w:rPr>
          <w:rFonts w:ascii="Arial" w:hAnsi="Arial" w:cs="Arial" w:eastAsia="Arial"/>
          <w:b/>
          <w:color w:val="000000"/>
          <w:spacing w:val="0"/>
          <w:position w:val="0"/>
          <w:sz w:val="32"/>
          <w:u w:val="single"/>
          <w:shd w:fill="auto" w:val="clear"/>
        </w:rPr>
        <w:t xml:space="preserve">Assignment 1</w:t>
      </w:r>
    </w:p>
    <w:p>
      <w:pPr>
        <w:spacing w:before="0" w:after="0" w:line="360"/>
        <w:ind w:right="0" w:left="0" w:firstLine="0"/>
        <w:jc w:val="center"/>
        <w:rPr>
          <w:rFonts w:ascii="Arial" w:hAnsi="Arial" w:cs="Arial" w:eastAsia="Arial"/>
          <w:b/>
          <w:color w:val="000000"/>
          <w:spacing w:val="0"/>
          <w:position w:val="0"/>
          <w:sz w:val="32"/>
          <w:u w:val="single"/>
          <w:shd w:fill="auto" w:val="clear"/>
        </w:rPr>
      </w:pPr>
      <w:r>
        <w:rPr>
          <w:rFonts w:ascii="Arial" w:hAnsi="Arial" w:cs="Arial" w:eastAsia="Arial"/>
          <w:b/>
          <w:color w:val="000000"/>
          <w:spacing w:val="0"/>
          <w:position w:val="0"/>
          <w:sz w:val="32"/>
          <w:u w:val="single"/>
          <w:shd w:fill="auto" w:val="clear"/>
        </w:rPr>
        <w:t xml:space="preserve">Assignment Title: Student Journal (Learning Log)</w:t>
      </w:r>
    </w:p>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0"/>
          <w:shd w:fill="auto" w:val="clear"/>
        </w:rPr>
      </w:pPr>
    </w:p>
    <w:tbl>
      <w:tblPr>
        <w:tblInd w:w="108" w:type="dxa"/>
      </w:tblPr>
      <w:tblGrid>
        <w:gridCol w:w="3219"/>
        <w:gridCol w:w="5689"/>
      </w:tblGrid>
      <w:tr>
        <w:trPr>
          <w:trHeight w:val="1" w:hRule="atLeast"/>
          <w:jc w:val="left"/>
        </w:trPr>
        <w:tc>
          <w:tcPr>
            <w:tcW w:w="3219"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Student Name: Ramona-Maria Bucur</w:t>
            </w: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Student Number: 2023040</w:t>
            </w:r>
          </w:p>
          <w:p>
            <w:pPr>
              <w:spacing w:before="0" w:after="0" w:line="360"/>
              <w:ind w:right="0" w:left="0" w:firstLine="0"/>
              <w:jc w:val="both"/>
              <w:rPr>
                <w:spacing w:val="0"/>
                <w:position w:val="0"/>
                <w:sz w:val="24"/>
                <w:shd w:fill="auto" w:val="clear"/>
              </w:rPr>
            </w:pPr>
          </w:p>
        </w:tc>
        <w:tc>
          <w:tcPr>
            <w:tcW w:w="5689"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Module: </w:t>
            </w:r>
            <w:r>
              <w:rPr>
                <w:rFonts w:ascii="Arial" w:hAnsi="Arial" w:cs="Arial" w:eastAsia="Arial"/>
                <w:b/>
                <w:color w:val="000000"/>
                <w:spacing w:val="0"/>
                <w:position w:val="0"/>
                <w:sz w:val="24"/>
                <w:u w:val="single"/>
                <w:shd w:fill="auto" w:val="clear"/>
              </w:rPr>
              <w:t xml:space="preserve">Food and Beverage Operations</w:t>
            </w: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spacing w:val="0"/>
                <w:position w:val="0"/>
                <w:sz w:val="24"/>
                <w:shd w:fill="auto" w:val="clear"/>
              </w:rPr>
            </w:pPr>
            <w:r>
              <w:rPr>
                <w:rFonts w:ascii="Arial" w:hAnsi="Arial" w:cs="Arial" w:eastAsia="Arial"/>
                <w:b/>
                <w:color w:val="000000"/>
                <w:spacing w:val="0"/>
                <w:position w:val="0"/>
                <w:sz w:val="24"/>
                <w:shd w:fill="auto" w:val="clear"/>
              </w:rPr>
              <w:t xml:space="preserve">Lecturer: Laurence Blake</w:t>
            </w:r>
          </w:p>
        </w:tc>
      </w:tr>
    </w:tbl>
    <w:p>
      <w:pPr>
        <w:spacing w:before="0" w:after="0" w:line="360"/>
        <w:ind w:right="0" w:left="0" w:firstLine="0"/>
        <w:jc w:val="both"/>
        <w:rPr>
          <w:rFonts w:ascii="Arial" w:hAnsi="Arial" w:cs="Arial" w:eastAsia="Arial"/>
          <w:color w:val="000000"/>
          <w:spacing w:val="0"/>
          <w:position w:val="0"/>
          <w:sz w:val="20"/>
          <w:shd w:fill="auto" w:val="clear"/>
        </w:rPr>
      </w:pPr>
    </w:p>
    <w:tbl>
      <w:tblPr>
        <w:tblInd w:w="108" w:type="dxa"/>
      </w:tblPr>
      <w:tblGrid>
        <w:gridCol w:w="3197"/>
        <w:gridCol w:w="5711"/>
      </w:tblGrid>
      <w:tr>
        <w:trPr>
          <w:trHeight w:val="1" w:hRule="atLeast"/>
          <w:jc w:val="left"/>
        </w:trPr>
        <w:tc>
          <w:tcPr>
            <w:tcW w:w="3197" w:type="dxa"/>
            <w:tcBorders>
              <w:top w:val="single" w:color="000000" w:sz="4"/>
              <w:left w:val="single" w:color="000000" w:sz="4"/>
              <w:bottom w:val="single" w:color="000000" w:sz="4"/>
              <w:right w:val="single" w:color="000000" w:sz="4"/>
            </w:tcBorders>
            <w:shd w:color="auto" w:fill="fbd5b5"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b/>
                <w:color w:val="000000"/>
                <w:spacing w:val="0"/>
                <w:position w:val="0"/>
                <w:sz w:val="20"/>
                <w:shd w:fill="auto" w:val="clear"/>
              </w:rPr>
              <w:t xml:space="preserve">Topic of choice:</w:t>
            </w:r>
          </w:p>
        </w:tc>
        <w:tc>
          <w:tcPr>
            <w:tcW w:w="5711" w:type="dxa"/>
            <w:tcBorders>
              <w:top w:val="single" w:color="000000" w:sz="4"/>
              <w:left w:val="single" w:color="000000" w:sz="4"/>
              <w:bottom w:val="single" w:color="000000" w:sz="4"/>
              <w:right w:val="single" w:color="000000" w:sz="4"/>
            </w:tcBorders>
            <w:shd w:color="auto" w:fill="fbd5b5" w:val="clear"/>
            <w:tcMar>
              <w:left w:w="108" w:type="dxa"/>
              <w:right w:w="108" w:type="dxa"/>
            </w:tcMar>
            <w:vAlign w:val="center"/>
          </w:tcPr>
          <w:p>
            <w:pPr>
              <w:spacing w:before="0" w:after="0" w:line="360"/>
              <w:ind w:right="0" w:left="0" w:firstLine="0"/>
              <w:jc w:val="both"/>
              <w:rPr>
                <w:rFonts w:ascii="Arial" w:hAnsi="Arial" w:cs="Arial" w:eastAsia="Arial"/>
                <w:b/>
                <w:color w:val="000000"/>
                <w:spacing w:val="0"/>
                <w:position w:val="0"/>
                <w:sz w:val="20"/>
                <w:shd w:fill="auto" w:val="clear"/>
              </w:rPr>
            </w:pPr>
          </w:p>
          <w:p>
            <w:pPr>
              <w:spacing w:before="0" w:after="0" w:line="360"/>
              <w:ind w:right="0" w:left="0" w:firstLine="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Allergies and Intolerances and the Importance withing the industry</w:t>
            </w:r>
          </w:p>
          <w:p>
            <w:pPr>
              <w:spacing w:before="0" w:after="0" w:line="360"/>
              <w:ind w:right="0" w:left="0" w:firstLine="0"/>
              <w:jc w:val="both"/>
              <w:rPr>
                <w:spacing w:val="0"/>
                <w:position w:val="0"/>
                <w:shd w:fill="auto" w:val="clear"/>
              </w:rPr>
            </w:pPr>
          </w:p>
        </w:tc>
      </w:tr>
      <w:tr>
        <w:trPr>
          <w:trHeight w:val="1" w:hRule="atLeast"/>
          <w:jc w:val="left"/>
        </w:trPr>
        <w:tc>
          <w:tcPr>
            <w:tcW w:w="89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000000"/>
                <w:spacing w:val="0"/>
                <w:position w:val="0"/>
                <w:sz w:val="20"/>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Food &amp; Beverage management is a critical part of the tourism and hospitality industry in general. With the lecture focusing on the specific and advanced aspects of the management food and beverage operations, I have had the opportunity to explore different facets of this complex department of the industry. The food and beverage course offers content ranging from managerial practices to the maintenance specific customer requirements such as personal taste and preferences, as stated by </w:t>
            </w:r>
            <w:r>
              <w:rPr>
                <w:rFonts w:ascii="Arial" w:hAnsi="Arial" w:cs="Arial" w:eastAsia="Arial"/>
                <w:color w:val="000000"/>
                <w:spacing w:val="0"/>
                <w:position w:val="0"/>
                <w:sz w:val="24"/>
                <w:shd w:fill="FFFFFF" w:val="clear"/>
              </w:rPr>
              <w:t xml:space="preserve">Onyimba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(2021</w:t>
            </w:r>
            <w:r>
              <w:rPr>
                <w:rFonts w:ascii="Arial" w:hAnsi="Arial" w:cs="Arial" w:eastAsia="Arial"/>
                <w:color w:val="000000"/>
                <w:spacing w:val="0"/>
                <w:position w:val="0"/>
                <w:sz w:val="24"/>
                <w:shd w:fill="auto" w:val="clear"/>
              </w:rPr>
              <w:t xml:space="preserve">). One of the lectures that I found to be particularly interesting is the significance of Food allergies and intolerances of different customers and the implications of such unique and special attributes of different consumers upon the dietary practices of a company and the industry in general. Especially, the unique elements that can create serious health issues for certain customers was interesting for me to learn.</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lecture provided the students with numerous insights that I found to be helpful and effective for establishing a promising professional career and developing experience to ensure the effective management of the food and beverage operations of an establishment. The strategies and practices taught in the lecture will allow me to better serve the customers regardless of the organization I work for in the future. Allergies and intolerances are primarily the existence of certain compounds in different types of food items, that can induce discomfort and even cause major harm and critical injury to an individual consuming such elements. Typically, such ingredients or compounds are called allergens. Such items react in a negative manner inside the human body, where different customers sometimes may have an immune response to them. This creates an unpredictable situation for many consumers. Ortolani and Pastorello, (2006) discussed that allergies can range from mild discomfort to serious conditions that can hospitalize individuals. On the other hand, food intolerances are the inability of a consumer to digest and process specific food items in a normal manner. This can result in different diseases and discomforts such as vomiting, nausea and stomach problems. I believe that the existence of thousands of customers with health issues, students of Tourism and hospitality should explore this field. (Taylor and Baumert, 2012). Such valuable and necessary information was previously unknown to me. The design of the course and the lectures focusing on specific aspects of the concept from definitions, the allergen elements or compounds that can cause traditional intolerances. Although I knew about allergies on a basic level, I did not have prior knowledge that customer experiences can be such negative from consuming the food and drinks was highly informative. I was able to understand the importance of smaller details and the complexity existing within the different divisions of a broad industry.</w:t>
            </w:r>
          </w:p>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Wen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(2020) mentioned that the substantial growth in food allergic incidences, particularly among youngsters, during the last 20 years has brought attention to rising consumer awareness regarding foodborne allergies. Allergies have become a public health concern. Individuals, government organizations, and food producers all have responsibilities for food allergy control. Many domestic and global regulations talk about the importance of allergy awareness and provide criteria that food makers must follow. Irritants are culinary safety hazards, according to ISO 22000:2007, a global standard for quality management systems for food and beverages (GSO.org, 2021). Businesses are intended to manage food safety concerns, particularly allergies, to make sure that the food they create is secure, according to the GSO standardized practice guideline (2021).</w:t>
            </w:r>
          </w:p>
          <w:p>
            <w:pPr>
              <w:spacing w:before="0" w:after="0" w:line="360"/>
              <w:ind w:right="0" w:left="0" w:firstLine="0"/>
              <w:jc w:val="both"/>
              <w:rPr>
                <w:rFonts w:ascii="Arial" w:hAnsi="Arial" w:cs="Arial" w:eastAsia="Arial"/>
                <w:color w:val="000000"/>
                <w:spacing w:val="0"/>
                <w:position w:val="0"/>
                <w:sz w:val="24"/>
                <w:shd w:fill="auto" w:val="clear"/>
              </w:rPr>
            </w:pP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lecture described different ways to tackle the issue and how companies can make better decisions and take necessary precautions and measures to reduce such occurrences and ensure that the customers have a pleasant experience. For instance, </w:t>
            </w:r>
            <w:r>
              <w:rPr>
                <w:rFonts w:ascii="Arial" w:hAnsi="Arial" w:cs="Arial" w:eastAsia="Arial"/>
                <w:color w:val="000000"/>
                <w:spacing w:val="0"/>
                <w:position w:val="0"/>
                <w:sz w:val="24"/>
                <w:shd w:fill="FFFFFF" w:val="clear"/>
              </w:rPr>
              <w:t xml:space="preserve">Aleksi</w:t>
            </w:r>
            <w:r>
              <w:rPr>
                <w:rFonts w:ascii="Arial" w:hAnsi="Arial" w:cs="Arial" w:eastAsia="Arial"/>
                <w:color w:val="000000"/>
                <w:spacing w:val="0"/>
                <w:position w:val="0"/>
                <w:sz w:val="24"/>
                <w:shd w:fill="FFFFFF" w:val="clear"/>
              </w:rPr>
              <w:t xml:space="preserve">ć </w:t>
            </w:r>
            <w:r>
              <w:rPr>
                <w:rFonts w:ascii="Arial" w:hAnsi="Arial" w:cs="Arial" w:eastAsia="Arial"/>
                <w:i/>
                <w:color w:val="000000"/>
                <w:spacing w:val="0"/>
                <w:position w:val="0"/>
                <w:sz w:val="24"/>
                <w:shd w:fill="FFFFFF" w:val="clear"/>
              </w:rPr>
              <w:t xml:space="preserve">et al.,</w:t>
            </w:r>
            <w:r>
              <w:rPr>
                <w:rFonts w:ascii="Arial" w:hAnsi="Arial" w:cs="Arial" w:eastAsia="Arial"/>
                <w:color w:val="000000"/>
                <w:spacing w:val="0"/>
                <w:position w:val="0"/>
                <w:sz w:val="24"/>
                <w:shd w:fill="FFFFFF" w:val="clear"/>
              </w:rPr>
              <w:t xml:space="preserve"> (2020) stated that </w:t>
            </w:r>
            <w:r>
              <w:rPr>
                <w:rFonts w:ascii="Arial" w:hAnsi="Arial" w:cs="Arial" w:eastAsia="Arial"/>
                <w:color w:val="000000"/>
                <w:spacing w:val="0"/>
                <w:position w:val="0"/>
                <w:sz w:val="24"/>
                <w:shd w:fill="auto" w:val="clear"/>
              </w:rPr>
              <w:t xml:space="preserve">the traditional elements that are considered as allergens should be notified to the customers. The clients should also be communicated with by the establishment to gather any prior medical issues, whether they have any specific intolerances or allergic reactions to the allergens being used in the food. Moreover, companies can also indicate the existence of any sensitive items or ingredients in their dietary charts, labels for food packages and menus, so that it may remind the customer of their conditions. Personally, I believe that communication is key for success in hospitality and any service-oriented industry in general. Therefore, maintaining an open line of communication with the customers about their personal preferences and medical conditions such as these can easily be gathered and such keen interest in the protection of customer health can also indirectly develop the perception of the customers, therefore positively influencing their brand image.</w:t>
            </w:r>
          </w:p>
          <w:p>
            <w:pPr>
              <w:spacing w:before="0" w:after="0" w:line="360"/>
              <w:ind w:right="0" w:left="0" w:firstLine="0"/>
              <w:jc w:val="both"/>
              <w:rPr>
                <w:spacing w:val="0"/>
                <w:position w:val="0"/>
              </w:rPr>
            </w:pPr>
          </w:p>
        </w:tc>
      </w:tr>
    </w:tbl>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p>
      <w:pPr>
        <w:spacing w:before="0" w:after="0" w:line="360"/>
        <w:ind w:right="0" w:left="0" w:firstLine="0"/>
        <w:jc w:val="both"/>
        <w:rPr>
          <w:rFonts w:ascii="Arial" w:hAnsi="Arial" w:cs="Arial" w:eastAsia="Arial"/>
          <w:b/>
          <w:color w:val="000000"/>
          <w:spacing w:val="0"/>
          <w:position w:val="0"/>
          <w:sz w:val="24"/>
          <w:shd w:fill="auto" w:val="clear"/>
        </w:rPr>
      </w:pPr>
    </w:p>
    <w:tbl>
      <w:tblPr>
        <w:tblInd w:w="108" w:type="dxa"/>
      </w:tblPr>
      <w:tblGrid>
        <w:gridCol w:w="8666"/>
        <w:gridCol w:w="242"/>
      </w:tblGrid>
      <w:tr>
        <w:trPr>
          <w:trHeight w:val="1" w:hRule="atLeast"/>
          <w:jc w:val="left"/>
        </w:trPr>
        <w:tc>
          <w:tcPr>
            <w:tcW w:w="8666" w:type="dxa"/>
            <w:tcBorders>
              <w:top w:val="single" w:color="000000" w:sz="4"/>
              <w:left w:val="single" w:color="000000" w:sz="4"/>
              <w:bottom w:val="single" w:color="000000" w:sz="4"/>
              <w:right w:val="single" w:color="000000" w:sz="4"/>
            </w:tcBorders>
            <w:shd w:color="auto" w:fill="fbd5b5" w:val="clear"/>
            <w:tcMar>
              <w:left w:w="108" w:type="dxa"/>
              <w:right w:w="108" w:type="dxa"/>
            </w:tcMar>
            <w:vAlign w:val="center"/>
          </w:tcPr>
          <w:p>
            <w:pPr>
              <w:spacing w:before="0" w:after="0" w:line="360"/>
              <w:ind w:right="0" w:left="0" w:firstLine="0"/>
              <w:jc w:val="both"/>
              <w:rPr>
                <w:spacing w:val="0"/>
                <w:position w:val="0"/>
                <w:shd w:fill="auto" w:val="clear"/>
              </w:rPr>
            </w:pPr>
            <w:r>
              <w:rPr>
                <w:rFonts w:ascii="Arial" w:hAnsi="Arial" w:cs="Arial" w:eastAsia="Arial"/>
                <w:b/>
                <w:color w:val="000000"/>
                <w:spacing w:val="0"/>
                <w:position w:val="0"/>
                <w:sz w:val="20"/>
                <w:shd w:fill="auto" w:val="clear"/>
              </w:rPr>
              <w:t xml:space="preserve">REFERENCE LIST (not included in word count)</w:t>
            </w:r>
          </w:p>
        </w:tc>
        <w:tc>
          <w:tcPr>
            <w:tcW w:w="242" w:type="dxa"/>
            <w:tcBorders>
              <w:top w:val="single" w:color="000000" w:sz="4"/>
              <w:left w:val="single" w:color="000000" w:sz="4"/>
              <w:bottom w:val="single" w:color="000000" w:sz="4"/>
              <w:right w:val="single" w:color="000000" w:sz="4"/>
            </w:tcBorders>
            <w:shd w:color="auto" w:fill="fbd5b5" w:val="clear"/>
            <w:tcMar>
              <w:left w:w="108" w:type="dxa"/>
              <w:right w:w="108" w:type="dxa"/>
            </w:tcMar>
            <w:vAlign w:val="top"/>
          </w:tcPr>
          <w:p>
            <w:pPr>
              <w:spacing w:before="0" w:after="0" w:line="360"/>
              <w:ind w:right="0" w:left="0" w:firstLine="0"/>
              <w:jc w:val="both"/>
              <w:rPr>
                <w:rFonts w:ascii="Arial" w:hAnsi="Arial" w:cs="Arial" w:eastAsia="Arial"/>
                <w:b/>
                <w:color w:val="000000"/>
                <w:spacing w:val="0"/>
                <w:position w:val="0"/>
                <w:sz w:val="20"/>
                <w:shd w:fill="auto" w:val="clear"/>
              </w:rPr>
            </w:pPr>
          </w:p>
          <w:p>
            <w:pPr>
              <w:spacing w:before="0" w:after="0" w:line="360"/>
              <w:ind w:right="0" w:left="0" w:firstLine="0"/>
              <w:jc w:val="both"/>
              <w:rPr>
                <w:spacing w:val="0"/>
                <w:position w:val="0"/>
                <w:shd w:fill="auto" w:val="clear"/>
              </w:rPr>
            </w:pPr>
          </w:p>
        </w:tc>
      </w:tr>
      <w:tr>
        <w:trPr>
          <w:trHeight w:val="1" w:hRule="atLeast"/>
          <w:jc w:val="left"/>
        </w:trPr>
        <w:tc>
          <w:tcPr>
            <w:tcW w:w="89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000000"/>
                <w:spacing w:val="0"/>
                <w:position w:val="0"/>
                <w:sz w:val="24"/>
                <w:shd w:fill="FFFFFF" w:val="clear"/>
              </w:rPr>
            </w:pPr>
          </w:p>
          <w:p>
            <w:pPr>
              <w:spacing w:before="0" w:after="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Aleksi</w:t>
            </w:r>
            <w:r>
              <w:rPr>
                <w:rFonts w:ascii="Arial" w:hAnsi="Arial" w:cs="Arial" w:eastAsia="Arial"/>
                <w:color w:val="000000"/>
                <w:spacing w:val="0"/>
                <w:position w:val="0"/>
                <w:sz w:val="24"/>
                <w:shd w:fill="FFFFFF" w:val="clear"/>
              </w:rPr>
              <w:t xml:space="preserve">ć, M., Popov-Raljić, J., Đorđević, V., Rašeta, M., Lukić, M., Spirić, D. and Janković, V., 2020. Control of nutritive allergens in a hospitality kitchen. Scientific journal" Meat Technology", 61(1), pp.75-81.</w:t>
            </w:r>
          </w:p>
          <w:p>
            <w:pPr>
              <w:spacing w:before="0" w:after="0" w:line="360"/>
              <w:ind w:right="0" w:left="0" w:firstLine="0"/>
              <w:jc w:val="both"/>
              <w:rPr>
                <w:rFonts w:ascii="Arial" w:hAnsi="Arial" w:cs="Arial" w:eastAsia="Arial"/>
                <w:color w:val="000000"/>
                <w:spacing w:val="0"/>
                <w:position w:val="0"/>
                <w:sz w:val="32"/>
                <w:shd w:fill="auto" w:val="clear"/>
              </w:rPr>
            </w:pPr>
            <w:r>
              <w:rPr>
                <w:rFonts w:ascii="Arial" w:hAnsi="Arial" w:cs="Arial" w:eastAsia="Arial"/>
                <w:color w:val="000000"/>
                <w:spacing w:val="0"/>
                <w:position w:val="0"/>
                <w:sz w:val="24"/>
                <w:shd w:fill="FFFFFF" w:val="clear"/>
              </w:rPr>
              <w:t xml:space="preserve">Gso.org.sa. 2022. </w:t>
            </w:r>
            <w:r>
              <w:rPr>
                <w:rFonts w:ascii="Arial" w:hAnsi="Arial" w:cs="Arial" w:eastAsia="Arial"/>
                <w:i/>
                <w:color w:val="000000"/>
                <w:spacing w:val="0"/>
                <w:position w:val="0"/>
                <w:sz w:val="24"/>
                <w:shd w:fill="FFFFFF" w:val="clear"/>
              </w:rPr>
              <w:t xml:space="preserve">GSO ISO 22000:2007 - Standards Store - GCC Standardization Organization</w:t>
            </w:r>
            <w:r>
              <w:rPr>
                <w:rFonts w:ascii="Arial" w:hAnsi="Arial" w:cs="Arial" w:eastAsia="Arial"/>
                <w:color w:val="000000"/>
                <w:spacing w:val="0"/>
                <w:position w:val="0"/>
                <w:sz w:val="24"/>
                <w:shd w:fill="FFFFFF" w:val="clear"/>
              </w:rPr>
              <w:t xml:space="preserve">. [online] Available at: &lt;</w:t>
            </w:r>
            <w:hyperlink xmlns:r="http://schemas.openxmlformats.org/officeDocument/2006/relationships" r:id="docRId0">
              <w:r>
                <w:rPr>
                  <w:rFonts w:ascii="Arial" w:hAnsi="Arial" w:cs="Arial" w:eastAsia="Arial"/>
                  <w:color w:val="000000"/>
                  <w:spacing w:val="0"/>
                  <w:position w:val="0"/>
                  <w:sz w:val="24"/>
                  <w:u w:val="single"/>
                  <w:shd w:fill="FFFFFF" w:val="clear"/>
                </w:rPr>
                <w:t xml:space="preserve">https://www.gso.org.sa/store/standards/GSO:481622/GSO%20ISO%2022000:2007?lang=en</w:t>
              </w:r>
            </w:hyperlink>
            <w:r>
              <w:rPr>
                <w:rFonts w:ascii="Arial" w:hAnsi="Arial" w:cs="Arial" w:eastAsia="Arial"/>
                <w:color w:val="000000"/>
                <w:spacing w:val="0"/>
                <w:position w:val="0"/>
                <w:sz w:val="24"/>
                <w:shd w:fill="FFFFFF" w:val="clear"/>
              </w:rPr>
              <w:t xml:space="preserve">&gt; [Accessed 8 February 2022].</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FFFFFF" w:val="clear"/>
              </w:rPr>
              <w:t xml:space="preserve">Onyimba, F., Crowe, S.E., Johnson, S. and Leung, J., 2021. Food allergies and intolerances: A clinical approach to the diagnosis and management of adverse reactions to food. Clinical Gastroenterology and Hepatology.</w:t>
            </w:r>
          </w:p>
          <w:p>
            <w:pPr>
              <w:spacing w:before="0" w:after="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Ortolani, C. and Pastorello, E.A., 2006. Food allergies and food intolerances. Best Practice &amp; Research Clinical Gastroenterology, 20(3), pp.467-483.</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FFFFFF" w:val="clear"/>
              </w:rPr>
              <w:t xml:space="preserve">Taylor, S.L. and Baumert, J.L., 2012. Food allergies and intolerances. In Present Knowledge in Nutrition: Tenth Edition (pp. 1222-1235). Wiley-Blackwell.</w:t>
            </w:r>
          </w:p>
          <w:p>
            <w:pPr>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FFFFFF" w:val="clear"/>
              </w:rPr>
              <w:t xml:space="preserve">Wen, H., Park, E., Tao, C.W., Chae, B., Li, X. and Kwon, J., 2020. Exploring user-generated content related to dining experiences of consumers with food allergies. International Journal of Hospitality Management, 85, p.102357.</w:t>
            </w:r>
          </w:p>
          <w:p>
            <w:pPr>
              <w:spacing w:before="0" w:after="0" w:line="360"/>
              <w:ind w:right="0" w:left="0" w:firstLine="0"/>
              <w:jc w:val="both"/>
              <w:rPr>
                <w:spacing w:val="0"/>
                <w:position w:val="0"/>
              </w:rPr>
            </w:pPr>
          </w:p>
        </w:tc>
      </w:tr>
    </w:tbl>
    <w:p>
      <w:pPr>
        <w:spacing w:before="0" w:after="0" w:line="360"/>
        <w:ind w:right="0" w:left="0" w:firstLine="0"/>
        <w:jc w:val="both"/>
        <w:rPr>
          <w:rFonts w:ascii="Arial" w:hAnsi="Arial" w:cs="Arial" w:eastAsia="Arial"/>
          <w:b/>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gso.org.sa/store/standards/GSO:481622/GSO%20ISO%2022000:2007?lang=en"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