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74A8B" w14:textId="2929A979" w:rsidR="000D0510" w:rsidRDefault="000072AB" w:rsidP="00D159A8">
      <w:r>
        <w:t>Dissertation Proposal</w:t>
      </w:r>
    </w:p>
    <w:p w14:paraId="2F8F3159" w14:textId="3E57607F" w:rsidR="5A53F229" w:rsidRPr="0029730E" w:rsidRDefault="5A53F229" w:rsidP="00D159A8">
      <w:pPr>
        <w:jc w:val="center"/>
        <w:rPr>
          <w:u w:val="single"/>
        </w:rPr>
      </w:pPr>
      <w:r w:rsidRPr="0029730E">
        <w:rPr>
          <w:u w:val="single"/>
        </w:rPr>
        <w:t>Conflict resolution in the Youth of oPt</w:t>
      </w:r>
    </w:p>
    <w:p w14:paraId="580C5A52" w14:textId="5EFBA586" w:rsidR="00E72F7A" w:rsidRDefault="5A53F229" w:rsidP="5A53F229">
      <w:r>
        <w:t>The Occupied Palestinian Territories (oPt) are situated in and amongst the state of Israel. Since 19</w:t>
      </w:r>
      <w:r w:rsidR="00FE368F">
        <w:t>48</w:t>
      </w:r>
      <w:r>
        <w:t>, land traditionally occupied by Palestinians</w:t>
      </w:r>
      <w:r w:rsidR="00BA1DC8">
        <w:t xml:space="preserve"> </w:t>
      </w:r>
      <w:r>
        <w:t xml:space="preserve">has been increasingly occupied by Israel. oPt includes the West Bank, the Gaza strip, East Jerusalem and the capital itself, Jerusalem. This is all contested land with Palestinians and Israelis claiming territorial and land rights. Young people have and are growing </w:t>
      </w:r>
      <w:r w:rsidRPr="002B2AB5">
        <w:t xml:space="preserve">up within this contested landscape. </w:t>
      </w:r>
    </w:p>
    <w:p w14:paraId="4FB8E108" w14:textId="311C3768" w:rsidR="00AB44BA" w:rsidRPr="00E92968" w:rsidRDefault="00FC73FA" w:rsidP="5A53F229">
      <w:pPr>
        <w:rPr>
          <w:highlight w:val="yellow"/>
        </w:rPr>
      </w:pPr>
      <w:r>
        <w:t xml:space="preserve">Whilst </w:t>
      </w:r>
      <w:r w:rsidR="009A7DEB">
        <w:t xml:space="preserve">prominent levels of conflict </w:t>
      </w:r>
      <w:r>
        <w:t xml:space="preserve">are </w:t>
      </w:r>
      <w:r w:rsidR="009A7DEB">
        <w:t>actively ensuing</w:t>
      </w:r>
      <w:r>
        <w:t xml:space="preserve">, there needs to be a resolution or reduction of the conflict before development can take place. </w:t>
      </w:r>
      <w:r w:rsidR="00FC24FD">
        <w:t xml:space="preserve">Once </w:t>
      </w:r>
      <w:r w:rsidR="00505AC0">
        <w:t xml:space="preserve">this has occurred </w:t>
      </w:r>
      <w:r w:rsidR="00505AC0" w:rsidRPr="00505AC0">
        <w:t xml:space="preserve">Non-governmental organisations (NGOs) </w:t>
      </w:r>
      <w:r w:rsidR="00505AC0">
        <w:t xml:space="preserve">can use </w:t>
      </w:r>
      <w:r w:rsidR="00505AC0" w:rsidRPr="00505AC0">
        <w:t xml:space="preserve">models of development </w:t>
      </w:r>
      <w:r w:rsidR="00505AC0">
        <w:t xml:space="preserve">to continue conflict resolution and peace building work. Many do </w:t>
      </w:r>
      <w:r w:rsidR="009C6C31">
        <w:t xml:space="preserve">this </w:t>
      </w:r>
      <w:r w:rsidR="5A53F229" w:rsidRPr="00E92968">
        <w:t xml:space="preserve">through </w:t>
      </w:r>
      <w:r w:rsidR="003633AE" w:rsidRPr="00E92968">
        <w:t xml:space="preserve">specific engagement </w:t>
      </w:r>
      <w:r w:rsidR="009C6C31" w:rsidRPr="00E92968">
        <w:t xml:space="preserve">programmes </w:t>
      </w:r>
      <w:r w:rsidR="003633AE" w:rsidRPr="00E92968">
        <w:t>with young people on both sides of the conflict.</w:t>
      </w:r>
      <w:r w:rsidR="5A53F229" w:rsidRPr="00E92968">
        <w:t xml:space="preserve"> </w:t>
      </w:r>
      <w:r w:rsidR="000E5060" w:rsidRPr="00E92968">
        <w:t xml:space="preserve">In </w:t>
      </w:r>
      <w:r w:rsidR="006D224B" w:rsidRPr="00E92968">
        <w:t xml:space="preserve">2019 </w:t>
      </w:r>
      <w:r w:rsidR="00B865A6" w:rsidRPr="00E92968">
        <w:t xml:space="preserve">I had the opportunity </w:t>
      </w:r>
      <w:r w:rsidR="003633AE" w:rsidRPr="00E92968">
        <w:t>to witness first hand</w:t>
      </w:r>
      <w:r w:rsidR="00ED40F6" w:rsidRPr="00E92968">
        <w:t xml:space="preserve"> youth programmes that focused on conflict resolution </w:t>
      </w:r>
      <w:r w:rsidR="004D0F57" w:rsidRPr="00E92968">
        <w:t>with the Catholic Agency for Overseas Development (CAFOD)</w:t>
      </w:r>
      <w:r w:rsidR="00302A64" w:rsidRPr="00E92968">
        <w:t xml:space="preserve">. </w:t>
      </w:r>
    </w:p>
    <w:p w14:paraId="76A5D39B" w14:textId="5C5F8386" w:rsidR="00C21245" w:rsidRDefault="002B2AB5" w:rsidP="5A53F229">
      <w:r>
        <w:t xml:space="preserve">The </w:t>
      </w:r>
      <w:r w:rsidR="5A53F229">
        <w:t xml:space="preserve">aim of this </w:t>
      </w:r>
      <w:r w:rsidR="00743298">
        <w:t xml:space="preserve">dissertation </w:t>
      </w:r>
      <w:r w:rsidR="5A53F229">
        <w:t>is to explore the effectiveness of two youth programmes that focus on conflict resolution in Jaffa and B</w:t>
      </w:r>
      <w:r w:rsidR="00743298">
        <w:t>ethlehem</w:t>
      </w:r>
      <w:r w:rsidR="5A53F229">
        <w:t xml:space="preserve">. </w:t>
      </w:r>
      <w:r w:rsidR="0061273F">
        <w:t xml:space="preserve">This will be done through qualitative data evaluation. </w:t>
      </w:r>
      <w:r w:rsidR="5A53F229">
        <w:t xml:space="preserve">These </w:t>
      </w:r>
      <w:r w:rsidR="00730145">
        <w:t xml:space="preserve">programmes </w:t>
      </w:r>
      <w:r w:rsidR="5A53F229">
        <w:t xml:space="preserve">are the Sadaka Reut, </w:t>
      </w:r>
      <w:r w:rsidR="5A53F229" w:rsidRPr="003633AE">
        <w:rPr>
          <w:i/>
          <w:iCs/>
        </w:rPr>
        <w:t>Community in Action (CIA)</w:t>
      </w:r>
      <w:r w:rsidR="5A53F229">
        <w:t xml:space="preserve"> programme and the Arab Educational Institute’s (AEI),</w:t>
      </w:r>
      <w:r w:rsidR="003633AE">
        <w:t xml:space="preserve"> </w:t>
      </w:r>
      <w:r w:rsidR="003633AE" w:rsidRPr="003633AE">
        <w:rPr>
          <w:i/>
          <w:iCs/>
        </w:rPr>
        <w:t>Engaging, empowering and equipping diverse and marginalised youth and amplifying their voices for peace</w:t>
      </w:r>
      <w:r w:rsidR="003633AE" w:rsidRPr="003633AE">
        <w:t xml:space="preserve"> programm</w:t>
      </w:r>
      <w:r w:rsidR="003633AE">
        <w:t xml:space="preserve">e. </w:t>
      </w:r>
    </w:p>
    <w:p w14:paraId="7279C4DF" w14:textId="2A998341" w:rsidR="00AB44BA" w:rsidRPr="009F77E8" w:rsidRDefault="5A53F229" w:rsidP="5A53F229">
      <w:r>
        <w:t xml:space="preserve">The intention the CIA programme is to promote dialogue and understanding between the two communities with the hope that it will lead to peace. The AEI programme uses the creative arts as a way for young Palestinians to express their feelings and the challenges they experience because of the conflict. The aim is to promote non-violent expression towards the conflict. </w:t>
      </w:r>
    </w:p>
    <w:p w14:paraId="3404B61F" w14:textId="052E2518" w:rsidR="00AA0A19" w:rsidRDefault="00730145" w:rsidP="5A53F229">
      <w:r>
        <w:t xml:space="preserve">This dissertation intends to question whether </w:t>
      </w:r>
      <w:r w:rsidR="5A53F229" w:rsidRPr="000F7107">
        <w:t xml:space="preserve">youth conflict resolution programmes </w:t>
      </w:r>
      <w:r w:rsidR="00F23004" w:rsidRPr="000F7107">
        <w:t xml:space="preserve">in oPt </w:t>
      </w:r>
      <w:r w:rsidR="003E4BB5">
        <w:t>have contributed to a peaceful dissolution to the conflict</w:t>
      </w:r>
      <w:r w:rsidR="000E6525">
        <w:t xml:space="preserve">. </w:t>
      </w:r>
    </w:p>
    <w:p w14:paraId="5C6B6EA0" w14:textId="2E94049B" w:rsidR="00D25015" w:rsidRDefault="00027CBA" w:rsidP="5A53F229">
      <w:r w:rsidRPr="00027CBA">
        <w:t>From a theoretical perspective</w:t>
      </w:r>
      <w:r w:rsidR="00C73522">
        <w:t xml:space="preserve">, </w:t>
      </w:r>
      <w:r w:rsidR="00D31FF1">
        <w:t xml:space="preserve">conflict resolution theory </w:t>
      </w:r>
      <w:r w:rsidR="00EF08B6">
        <w:t>together with a post-development approach</w:t>
      </w:r>
      <w:r w:rsidR="00C55784">
        <w:t xml:space="preserve"> will be used</w:t>
      </w:r>
      <w:r w:rsidR="00EF08B6">
        <w:t xml:space="preserve">. </w:t>
      </w:r>
      <w:r w:rsidR="007B2EED">
        <w:t xml:space="preserve">Conflict resolution </w:t>
      </w:r>
      <w:r w:rsidR="00C24F93">
        <w:t>academics</w:t>
      </w:r>
      <w:r w:rsidR="003A3878">
        <w:t>-</w:t>
      </w:r>
      <w:r w:rsidR="00730145">
        <w:t xml:space="preserve"> </w:t>
      </w:r>
      <w:r w:rsidR="007B2EED">
        <w:t>Darw</w:t>
      </w:r>
      <w:r w:rsidR="00954DD7">
        <w:t>e</w:t>
      </w:r>
      <w:r w:rsidR="007B2EED">
        <w:t>ish and Thiessen</w:t>
      </w:r>
      <w:r w:rsidR="00730145">
        <w:t xml:space="preserve"> (2018)</w:t>
      </w:r>
      <w:r w:rsidR="007B2EED">
        <w:t xml:space="preserve"> draw a </w:t>
      </w:r>
      <w:r w:rsidR="00734EA3">
        <w:t xml:space="preserve">specific </w:t>
      </w:r>
      <w:r w:rsidR="007B2EED">
        <w:t>parallel between conflict resolution and asymmetric conflict</w:t>
      </w:r>
      <w:r w:rsidR="00734EA3">
        <w:t xml:space="preserve"> in oPt and Israel</w:t>
      </w:r>
      <w:r w:rsidR="007B2EED">
        <w:t>.</w:t>
      </w:r>
      <w:r w:rsidR="00734EA3">
        <w:t xml:space="preserve"> The</w:t>
      </w:r>
      <w:r w:rsidR="00730145">
        <w:t>ir</w:t>
      </w:r>
      <w:r w:rsidR="00734EA3">
        <w:t xml:space="preserve"> research suggests differing </w:t>
      </w:r>
      <w:r w:rsidR="00C30390">
        <w:t xml:space="preserve">success </w:t>
      </w:r>
      <w:r w:rsidR="00734EA3">
        <w:t xml:space="preserve">on </w:t>
      </w:r>
      <w:r w:rsidR="00315123">
        <w:t xml:space="preserve">youth participation </w:t>
      </w:r>
      <w:r w:rsidR="00E727D6">
        <w:t>with structural violence being a main barrier</w:t>
      </w:r>
      <w:r w:rsidR="00C457D4">
        <w:t xml:space="preserve"> (</w:t>
      </w:r>
      <w:r w:rsidR="00B91385">
        <w:t>T</w:t>
      </w:r>
      <w:r w:rsidR="00954DD7">
        <w:t>hiessen and Darw</w:t>
      </w:r>
      <w:r w:rsidR="00FB69F3">
        <w:t>ei</w:t>
      </w:r>
      <w:r w:rsidR="00954DD7">
        <w:t xml:space="preserve">sh, </w:t>
      </w:r>
      <w:r w:rsidR="00B91385">
        <w:t>2018</w:t>
      </w:r>
      <w:r w:rsidR="00F44070">
        <w:t xml:space="preserve">). </w:t>
      </w:r>
      <w:r w:rsidR="00F3695C">
        <w:t xml:space="preserve">This </w:t>
      </w:r>
      <w:r w:rsidR="005B3508">
        <w:t xml:space="preserve">approach </w:t>
      </w:r>
      <w:r w:rsidR="00C67A78">
        <w:t>goes hand in</w:t>
      </w:r>
      <w:r w:rsidR="00730145">
        <w:t xml:space="preserve"> hand</w:t>
      </w:r>
      <w:r w:rsidR="00C67A78">
        <w:t xml:space="preserve"> with post-development theorist </w:t>
      </w:r>
      <w:r w:rsidR="00730145">
        <w:t xml:space="preserve">Morgan </w:t>
      </w:r>
      <w:r w:rsidR="004B69AE">
        <w:t>Brigg</w:t>
      </w:r>
      <w:r w:rsidR="00730145">
        <w:t xml:space="preserve"> whose 2002 paper </w:t>
      </w:r>
      <w:r w:rsidR="00730145" w:rsidRPr="00E64DD5">
        <w:rPr>
          <w:i/>
          <w:iCs/>
        </w:rPr>
        <w:t>Post-development, Foucault and the colonisation metaphor</w:t>
      </w:r>
      <w:r w:rsidR="004B69AE" w:rsidRPr="00E64DD5">
        <w:rPr>
          <w:i/>
          <w:iCs/>
        </w:rPr>
        <w:t xml:space="preserve"> </w:t>
      </w:r>
      <w:r w:rsidR="004B69AE">
        <w:t>focuses on how post-development</w:t>
      </w:r>
      <w:r w:rsidR="00BF3069">
        <w:t xml:space="preserve"> theory</w:t>
      </w:r>
      <w:r w:rsidR="004B69AE">
        <w:t xml:space="preserve"> </w:t>
      </w:r>
      <w:r w:rsidR="00BF3069">
        <w:t>intertwines with</w:t>
      </w:r>
      <w:r w:rsidR="002F1FFD">
        <w:t xml:space="preserve"> power related to colonialism. This relates to Foucault’s notion of power developed after wartime periods </w:t>
      </w:r>
      <w:r w:rsidR="00B310B1">
        <w:t xml:space="preserve">which is critical to developing my dissertation research </w:t>
      </w:r>
      <w:r w:rsidR="004B69AE">
        <w:t>(Brigg,2002)</w:t>
      </w:r>
      <w:r w:rsidR="0088102E">
        <w:t xml:space="preserve">. </w:t>
      </w:r>
    </w:p>
    <w:p w14:paraId="70EE5A45" w14:textId="373643EB" w:rsidR="00862C79" w:rsidRDefault="00862C79" w:rsidP="00862C79">
      <w:r>
        <w:t xml:space="preserve">In 2019 I spent 2 </w:t>
      </w:r>
      <w:r w:rsidR="00E77813">
        <w:t xml:space="preserve">weeks </w:t>
      </w:r>
      <w:r>
        <w:t>in oPt conducting semi-structured interviews, focus groups and case studies with a number of young people</w:t>
      </w:r>
      <w:r w:rsidR="00374AEC">
        <w:t xml:space="preserve">. </w:t>
      </w:r>
      <w:r>
        <w:t>The data was collated and transcribed. In order to e</w:t>
      </w:r>
      <w:r w:rsidR="00A53F05">
        <w:t xml:space="preserve">xplore </w:t>
      </w:r>
      <w:r w:rsidR="002D2830">
        <w:t>whether participants in</w:t>
      </w:r>
      <w:r w:rsidRPr="0061273F">
        <w:t xml:space="preserve"> youth conflict resolution programmes in oPt </w:t>
      </w:r>
      <w:r w:rsidR="002D2830">
        <w:t xml:space="preserve">feel they </w:t>
      </w:r>
      <w:r w:rsidRPr="0061273F">
        <w:t>have contributed to a</w:t>
      </w:r>
      <w:r w:rsidR="002D2830">
        <w:t xml:space="preserve"> possible</w:t>
      </w:r>
      <w:r w:rsidRPr="0061273F">
        <w:t xml:space="preserve"> peaceful dissolution to the conflict</w:t>
      </w:r>
      <w:r>
        <w:t>, I propose to analyse the raw data I collected (this data has not been investigated before)</w:t>
      </w:r>
      <w:r w:rsidR="00374AEC">
        <w:t xml:space="preserve">. </w:t>
      </w:r>
    </w:p>
    <w:p w14:paraId="57828D37" w14:textId="1CAF6813" w:rsidR="00862C79" w:rsidRDefault="00862C79" w:rsidP="00862C79">
      <w:r>
        <w:t xml:space="preserve">The analytical process will </w:t>
      </w:r>
      <w:r w:rsidR="002D2830">
        <w:t xml:space="preserve">use narrative inquiry methods to </w:t>
      </w:r>
      <w:r>
        <w:t>identify re-occurring narratives</w:t>
      </w:r>
      <w:r w:rsidR="002D2830">
        <w:t xml:space="preserve"> using</w:t>
      </w:r>
      <w:r>
        <w:t>. T</w:t>
      </w:r>
      <w:r w:rsidR="002D2830">
        <w:t>his involves</w:t>
      </w:r>
      <w:r>
        <w:t xml:space="preserve"> a thematic approach to identify </w:t>
      </w:r>
      <w:r w:rsidR="00A53F05">
        <w:t xml:space="preserve">discourse </w:t>
      </w:r>
      <w:r w:rsidR="002D2830">
        <w:t>around the topics</w:t>
      </w:r>
      <w:r>
        <w:t xml:space="preserve"> of conflict</w:t>
      </w:r>
      <w:r w:rsidR="00A53F05">
        <w:t>, negotiation and/or mediation</w:t>
      </w:r>
      <w:r>
        <w:t xml:space="preserve">. </w:t>
      </w:r>
    </w:p>
    <w:p w14:paraId="5AAF21DB" w14:textId="531D9652" w:rsidR="00E51EFA" w:rsidRDefault="00E91A11" w:rsidP="5A53F229">
      <w:r>
        <w:lastRenderedPageBreak/>
        <w:t>Before collecting this data fully ethical procedures were followed. Consent forms for transcript</w:t>
      </w:r>
      <w:r w:rsidR="00CA32FC">
        <w:t>ion</w:t>
      </w:r>
      <w:r>
        <w:t xml:space="preserve">, translation and photographs </w:t>
      </w:r>
      <w:r w:rsidR="00CA32FC">
        <w:t xml:space="preserve">were gained through CAFOD ethical systems. </w:t>
      </w:r>
      <w:r w:rsidR="00A83CB0">
        <w:t>All data collected has been stored electronically via</w:t>
      </w:r>
      <w:r w:rsidR="00A83CB0" w:rsidRPr="00A83CB0">
        <w:t xml:space="preserve"> confidential password protected files</w:t>
      </w:r>
      <w:r w:rsidR="00A83CB0">
        <w:t xml:space="preserve">. Participants of the programmes will have pseudonyms names </w:t>
      </w:r>
      <w:r w:rsidR="00975BAC">
        <w:t>to ensure continued safety</w:t>
      </w:r>
      <w:r w:rsidR="00C3007B">
        <w:t xml:space="preserve"> in the midst of the conflict.</w:t>
      </w:r>
    </w:p>
    <w:p w14:paraId="3A390AD0" w14:textId="3DA9AB44" w:rsidR="004C2323" w:rsidRDefault="00C547CF" w:rsidP="5A53F229">
      <w:r>
        <w:t>It is important to note, that the</w:t>
      </w:r>
      <w:r w:rsidR="00913E10">
        <w:t xml:space="preserve"> data gathered from</w:t>
      </w:r>
      <w:r w:rsidR="004C2323">
        <w:t xml:space="preserve"> Sadaka Reut and AEI</w:t>
      </w:r>
      <w:r w:rsidR="00913E10">
        <w:t xml:space="preserve"> programme</w:t>
      </w:r>
      <w:r w:rsidR="004C2323">
        <w:t>s</w:t>
      </w:r>
      <w:r w:rsidR="00913E10">
        <w:t xml:space="preserve"> </w:t>
      </w:r>
      <w:r w:rsidR="006B1640">
        <w:t>do have limitations</w:t>
      </w:r>
      <w:r w:rsidR="004C2323">
        <w:t xml:space="preserve">. Both programmes </w:t>
      </w:r>
      <w:r w:rsidR="00D72D65">
        <w:t>have self-selecting participants</w:t>
      </w:r>
      <w:r w:rsidR="0042588E">
        <w:t xml:space="preserve"> with C</w:t>
      </w:r>
      <w:r w:rsidR="00B66D50">
        <w:t xml:space="preserve">IA having an unequal </w:t>
      </w:r>
      <w:r w:rsidR="00E91A11">
        <w:t>number</w:t>
      </w:r>
      <w:r w:rsidR="00B66D50">
        <w:t xml:space="preserve"> of Israelis to Palestinians</w:t>
      </w:r>
      <w:r w:rsidR="00374AEC">
        <w:t xml:space="preserve">. </w:t>
      </w:r>
      <w:r w:rsidR="00A53F05">
        <w:t>This will be accounted for when discussing the findings.</w:t>
      </w:r>
    </w:p>
    <w:p w14:paraId="3D999628" w14:textId="77777777" w:rsidR="000D2665" w:rsidRDefault="000D2665" w:rsidP="5A53F229"/>
    <w:p w14:paraId="47F6C58C" w14:textId="4A762A11" w:rsidR="5A53F229" w:rsidRPr="000D2665" w:rsidRDefault="00EF08B6" w:rsidP="5A53F229">
      <w:pPr>
        <w:rPr>
          <w:u w:val="single"/>
        </w:rPr>
      </w:pPr>
      <w:r w:rsidRPr="000D2665">
        <w:rPr>
          <w:u w:val="single"/>
        </w:rPr>
        <w:t xml:space="preserve">Reference List </w:t>
      </w:r>
    </w:p>
    <w:p w14:paraId="3EBBF9F8" w14:textId="78001F10" w:rsidR="00EF08B6" w:rsidRDefault="00707A90" w:rsidP="5A53F229">
      <w:r w:rsidRPr="00707A90">
        <w:t>Thiessen</w:t>
      </w:r>
      <w:r>
        <w:t xml:space="preserve">, C. and </w:t>
      </w:r>
      <w:r w:rsidRPr="00707A90">
        <w:t>Darweish</w:t>
      </w:r>
      <w:r>
        <w:t xml:space="preserve">, M. (2018) </w:t>
      </w:r>
      <w:r w:rsidR="00EC6CD9">
        <w:t>‘</w:t>
      </w:r>
      <w:r>
        <w:t>Conflict resolution and asymmetric conflict: The contradictions of planned contact interventions in Israel and Palestine</w:t>
      </w:r>
      <w:r w:rsidR="00EC6CD9">
        <w:t xml:space="preserve">’ </w:t>
      </w:r>
      <w:r w:rsidRPr="00EC6CD9">
        <w:rPr>
          <w:i/>
          <w:iCs/>
        </w:rPr>
        <w:t>International Journal of Intercultural Relations</w:t>
      </w:r>
      <w:r w:rsidR="001006E2">
        <w:t>,</w:t>
      </w:r>
      <w:r w:rsidR="00EC6CD9">
        <w:t>66</w:t>
      </w:r>
      <w:r w:rsidR="001006E2">
        <w:t>, pp.73-84, DOI:</w:t>
      </w:r>
      <w:r w:rsidR="001006E2" w:rsidRPr="001006E2">
        <w:t xml:space="preserve"> </w:t>
      </w:r>
      <w:hyperlink r:id="rId7" w:history="1">
        <w:r w:rsidR="001006E2" w:rsidRPr="00323FE5">
          <w:rPr>
            <w:rStyle w:val="Hyperlink"/>
          </w:rPr>
          <w:t>https://doi.org/10.1016/j.ijintrel.2018.06.006</w:t>
        </w:r>
      </w:hyperlink>
      <w:r w:rsidR="001006E2">
        <w:t xml:space="preserve">  </w:t>
      </w:r>
      <w:r w:rsidR="00EF08B6">
        <w:t>(</w:t>
      </w:r>
      <w:r w:rsidR="00C55784">
        <w:t>Accessed: 24</w:t>
      </w:r>
      <w:r w:rsidR="00C55784" w:rsidRPr="00C55784">
        <w:rPr>
          <w:vertAlign w:val="superscript"/>
        </w:rPr>
        <w:t>th</w:t>
      </w:r>
      <w:r w:rsidR="00C55784">
        <w:t xml:space="preserve"> March 2022)</w:t>
      </w:r>
    </w:p>
    <w:p w14:paraId="37B4AF03" w14:textId="438E665F" w:rsidR="00B91385" w:rsidRDefault="00072EDD" w:rsidP="000D2665">
      <w:r>
        <w:t xml:space="preserve">Brigg, M. </w:t>
      </w:r>
      <w:r w:rsidR="000D2665">
        <w:t>(2002) ‘Post-development, Foucault and the colonisation metaphor’, Third World Quarterly, 23(3), pp.421-436, DOI:</w:t>
      </w:r>
      <w:r w:rsidR="000D2665" w:rsidRPr="000D2665">
        <w:t xml:space="preserve"> 10.1080/01436590220138367</w:t>
      </w:r>
      <w:r w:rsidR="000D2665">
        <w:t xml:space="preserve"> (Accessed: 24</w:t>
      </w:r>
      <w:r w:rsidR="000D2665" w:rsidRPr="000D2665">
        <w:rPr>
          <w:vertAlign w:val="superscript"/>
        </w:rPr>
        <w:t>th</w:t>
      </w:r>
      <w:r w:rsidR="000D2665">
        <w:t xml:space="preserve"> March 2022)</w:t>
      </w:r>
    </w:p>
    <w:sectPr w:rsidR="00B913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2AB"/>
    <w:rsid w:val="000072AB"/>
    <w:rsid w:val="00027CBA"/>
    <w:rsid w:val="00072EDD"/>
    <w:rsid w:val="000D0510"/>
    <w:rsid w:val="000D2665"/>
    <w:rsid w:val="000E5060"/>
    <w:rsid w:val="000E6525"/>
    <w:rsid w:val="000F7107"/>
    <w:rsid w:val="001006E2"/>
    <w:rsid w:val="001051FA"/>
    <w:rsid w:val="001B1BEF"/>
    <w:rsid w:val="001E0FF4"/>
    <w:rsid w:val="001F4489"/>
    <w:rsid w:val="00220065"/>
    <w:rsid w:val="00244702"/>
    <w:rsid w:val="00276C33"/>
    <w:rsid w:val="00283BCA"/>
    <w:rsid w:val="0029730E"/>
    <w:rsid w:val="002B2AB5"/>
    <w:rsid w:val="002B77B6"/>
    <w:rsid w:val="002D2830"/>
    <w:rsid w:val="002F1FFD"/>
    <w:rsid w:val="00302A64"/>
    <w:rsid w:val="00315123"/>
    <w:rsid w:val="00337195"/>
    <w:rsid w:val="003633AE"/>
    <w:rsid w:val="00374AEC"/>
    <w:rsid w:val="003A3878"/>
    <w:rsid w:val="003C1512"/>
    <w:rsid w:val="003E23EE"/>
    <w:rsid w:val="003E4BB5"/>
    <w:rsid w:val="003E6BDF"/>
    <w:rsid w:val="00413151"/>
    <w:rsid w:val="0042588E"/>
    <w:rsid w:val="0043421E"/>
    <w:rsid w:val="00452DFF"/>
    <w:rsid w:val="00481055"/>
    <w:rsid w:val="004B69AE"/>
    <w:rsid w:val="004C2323"/>
    <w:rsid w:val="004D0F57"/>
    <w:rsid w:val="00505AC0"/>
    <w:rsid w:val="00510895"/>
    <w:rsid w:val="00570990"/>
    <w:rsid w:val="00580F9D"/>
    <w:rsid w:val="0058535A"/>
    <w:rsid w:val="005B3508"/>
    <w:rsid w:val="005B55A8"/>
    <w:rsid w:val="005F55A4"/>
    <w:rsid w:val="0061273F"/>
    <w:rsid w:val="00665B87"/>
    <w:rsid w:val="006B1640"/>
    <w:rsid w:val="006D224B"/>
    <w:rsid w:val="006D76F8"/>
    <w:rsid w:val="00707A90"/>
    <w:rsid w:val="00714D15"/>
    <w:rsid w:val="00730145"/>
    <w:rsid w:val="007349AB"/>
    <w:rsid w:val="00734EA3"/>
    <w:rsid w:val="00743298"/>
    <w:rsid w:val="007619DB"/>
    <w:rsid w:val="00766823"/>
    <w:rsid w:val="007830F3"/>
    <w:rsid w:val="007B171A"/>
    <w:rsid w:val="007B2EED"/>
    <w:rsid w:val="007C74E4"/>
    <w:rsid w:val="00862C79"/>
    <w:rsid w:val="00877B21"/>
    <w:rsid w:val="00880145"/>
    <w:rsid w:val="0088102E"/>
    <w:rsid w:val="008D627C"/>
    <w:rsid w:val="00905027"/>
    <w:rsid w:val="00913E10"/>
    <w:rsid w:val="00935ECF"/>
    <w:rsid w:val="00954DD7"/>
    <w:rsid w:val="00975BAC"/>
    <w:rsid w:val="009A7DEB"/>
    <w:rsid w:val="009C6C31"/>
    <w:rsid w:val="009F77E8"/>
    <w:rsid w:val="00A53F05"/>
    <w:rsid w:val="00A83CB0"/>
    <w:rsid w:val="00AA0A19"/>
    <w:rsid w:val="00AB44BA"/>
    <w:rsid w:val="00B310B1"/>
    <w:rsid w:val="00B52CFE"/>
    <w:rsid w:val="00B611EC"/>
    <w:rsid w:val="00B66D50"/>
    <w:rsid w:val="00B865A6"/>
    <w:rsid w:val="00B86D70"/>
    <w:rsid w:val="00B903C9"/>
    <w:rsid w:val="00B90AB6"/>
    <w:rsid w:val="00B91385"/>
    <w:rsid w:val="00BA1DC8"/>
    <w:rsid w:val="00BA5635"/>
    <w:rsid w:val="00BB2939"/>
    <w:rsid w:val="00BF302A"/>
    <w:rsid w:val="00BF3069"/>
    <w:rsid w:val="00C21245"/>
    <w:rsid w:val="00C24F93"/>
    <w:rsid w:val="00C3007B"/>
    <w:rsid w:val="00C30390"/>
    <w:rsid w:val="00C45785"/>
    <w:rsid w:val="00C457D4"/>
    <w:rsid w:val="00C547CF"/>
    <w:rsid w:val="00C55784"/>
    <w:rsid w:val="00C67A78"/>
    <w:rsid w:val="00C73522"/>
    <w:rsid w:val="00CA32FC"/>
    <w:rsid w:val="00CF51BF"/>
    <w:rsid w:val="00D159A8"/>
    <w:rsid w:val="00D25015"/>
    <w:rsid w:val="00D31FF1"/>
    <w:rsid w:val="00D72D65"/>
    <w:rsid w:val="00DE0AD2"/>
    <w:rsid w:val="00DE3DE8"/>
    <w:rsid w:val="00DF12CA"/>
    <w:rsid w:val="00E51EFA"/>
    <w:rsid w:val="00E64DD5"/>
    <w:rsid w:val="00E727D6"/>
    <w:rsid w:val="00E72F7A"/>
    <w:rsid w:val="00E77813"/>
    <w:rsid w:val="00E91A11"/>
    <w:rsid w:val="00E92968"/>
    <w:rsid w:val="00EC6CD9"/>
    <w:rsid w:val="00ED40F6"/>
    <w:rsid w:val="00EF08B6"/>
    <w:rsid w:val="00F03885"/>
    <w:rsid w:val="00F23004"/>
    <w:rsid w:val="00F3695C"/>
    <w:rsid w:val="00F44070"/>
    <w:rsid w:val="00F6437B"/>
    <w:rsid w:val="00F90791"/>
    <w:rsid w:val="00FB5F12"/>
    <w:rsid w:val="00FB69F3"/>
    <w:rsid w:val="00FC24FD"/>
    <w:rsid w:val="00FC73FA"/>
    <w:rsid w:val="00FE368F"/>
    <w:rsid w:val="01D2035E"/>
    <w:rsid w:val="03AAB5EA"/>
    <w:rsid w:val="07534466"/>
    <w:rsid w:val="0A19F76E"/>
    <w:rsid w:val="0AF49204"/>
    <w:rsid w:val="0BBDB555"/>
    <w:rsid w:val="0EDC2DBA"/>
    <w:rsid w:val="12C096AF"/>
    <w:rsid w:val="145C6710"/>
    <w:rsid w:val="1575D272"/>
    <w:rsid w:val="172B079E"/>
    <w:rsid w:val="1BBAB0C2"/>
    <w:rsid w:val="1C69A404"/>
    <w:rsid w:val="1D568123"/>
    <w:rsid w:val="263C2D9E"/>
    <w:rsid w:val="26BE562F"/>
    <w:rsid w:val="28B25C27"/>
    <w:rsid w:val="2C2015E6"/>
    <w:rsid w:val="2CAB6F22"/>
    <w:rsid w:val="2CD5D256"/>
    <w:rsid w:val="2D85CD4A"/>
    <w:rsid w:val="2EC96814"/>
    <w:rsid w:val="30653875"/>
    <w:rsid w:val="31A94379"/>
    <w:rsid w:val="3492C739"/>
    <w:rsid w:val="34CFA964"/>
    <w:rsid w:val="362C6C8B"/>
    <w:rsid w:val="36BB519C"/>
    <w:rsid w:val="37B13F9E"/>
    <w:rsid w:val="3A4B27F5"/>
    <w:rsid w:val="3B3EEAE8"/>
    <w:rsid w:val="40125C0B"/>
    <w:rsid w:val="40ECF6A1"/>
    <w:rsid w:val="43358F35"/>
    <w:rsid w:val="4338C1F6"/>
    <w:rsid w:val="48B8FB4C"/>
    <w:rsid w:val="49B93E51"/>
    <w:rsid w:val="4E738717"/>
    <w:rsid w:val="500F5778"/>
    <w:rsid w:val="50287FD5"/>
    <w:rsid w:val="534EE5C0"/>
    <w:rsid w:val="571A2658"/>
    <w:rsid w:val="58CF1F16"/>
    <w:rsid w:val="59BE2744"/>
    <w:rsid w:val="5A53F229"/>
    <w:rsid w:val="5B1AEA6B"/>
    <w:rsid w:val="5E96532C"/>
    <w:rsid w:val="639B2287"/>
    <w:rsid w:val="640096E6"/>
    <w:rsid w:val="6434202D"/>
    <w:rsid w:val="653CB464"/>
    <w:rsid w:val="66CE2FC2"/>
    <w:rsid w:val="677744E2"/>
    <w:rsid w:val="6917DAA0"/>
    <w:rsid w:val="6B701B6F"/>
    <w:rsid w:val="6C0DD3DA"/>
    <w:rsid w:val="6D3E78F8"/>
    <w:rsid w:val="6ED25BD3"/>
    <w:rsid w:val="706E2C34"/>
    <w:rsid w:val="7104FECB"/>
    <w:rsid w:val="743C9F8D"/>
    <w:rsid w:val="7A85FC34"/>
    <w:rsid w:val="7AABE111"/>
    <w:rsid w:val="7E9837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793EA"/>
  <w15:chartTrackingRefBased/>
  <w15:docId w15:val="{5631C19B-2A1F-4C6E-A649-A716C11BE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08B6"/>
    <w:rPr>
      <w:color w:val="0563C1" w:themeColor="hyperlink"/>
      <w:u w:val="single"/>
    </w:rPr>
  </w:style>
  <w:style w:type="character" w:styleId="UnresolvedMention">
    <w:name w:val="Unresolved Mention"/>
    <w:basedOn w:val="DefaultParagraphFont"/>
    <w:uiPriority w:val="99"/>
    <w:semiHidden/>
    <w:unhideWhenUsed/>
    <w:rsid w:val="00EF08B6"/>
    <w:rPr>
      <w:color w:val="605E5C"/>
      <w:shd w:val="clear" w:color="auto" w:fill="E1DFDD"/>
    </w:rPr>
  </w:style>
  <w:style w:type="character" w:styleId="CommentReference">
    <w:name w:val="annotation reference"/>
    <w:basedOn w:val="DefaultParagraphFont"/>
    <w:uiPriority w:val="99"/>
    <w:semiHidden/>
    <w:unhideWhenUsed/>
    <w:rsid w:val="006D224B"/>
    <w:rPr>
      <w:sz w:val="16"/>
      <w:szCs w:val="16"/>
    </w:rPr>
  </w:style>
  <w:style w:type="paragraph" w:styleId="CommentText">
    <w:name w:val="annotation text"/>
    <w:basedOn w:val="Normal"/>
    <w:link w:val="CommentTextChar"/>
    <w:uiPriority w:val="99"/>
    <w:unhideWhenUsed/>
    <w:rsid w:val="006D224B"/>
    <w:pPr>
      <w:spacing w:line="240" w:lineRule="auto"/>
    </w:pPr>
    <w:rPr>
      <w:sz w:val="20"/>
      <w:szCs w:val="20"/>
    </w:rPr>
  </w:style>
  <w:style w:type="character" w:customStyle="1" w:styleId="CommentTextChar">
    <w:name w:val="Comment Text Char"/>
    <w:basedOn w:val="DefaultParagraphFont"/>
    <w:link w:val="CommentText"/>
    <w:uiPriority w:val="99"/>
    <w:rsid w:val="006D224B"/>
    <w:rPr>
      <w:sz w:val="20"/>
      <w:szCs w:val="20"/>
    </w:rPr>
  </w:style>
  <w:style w:type="paragraph" w:styleId="CommentSubject">
    <w:name w:val="annotation subject"/>
    <w:basedOn w:val="CommentText"/>
    <w:next w:val="CommentText"/>
    <w:link w:val="CommentSubjectChar"/>
    <w:uiPriority w:val="99"/>
    <w:semiHidden/>
    <w:unhideWhenUsed/>
    <w:rsid w:val="006D224B"/>
    <w:rPr>
      <w:b/>
      <w:bCs/>
    </w:rPr>
  </w:style>
  <w:style w:type="character" w:customStyle="1" w:styleId="CommentSubjectChar">
    <w:name w:val="Comment Subject Char"/>
    <w:basedOn w:val="CommentTextChar"/>
    <w:link w:val="CommentSubject"/>
    <w:uiPriority w:val="99"/>
    <w:semiHidden/>
    <w:rsid w:val="006D224B"/>
    <w:rPr>
      <w:b/>
      <w:bCs/>
      <w:sz w:val="20"/>
      <w:szCs w:val="20"/>
    </w:rPr>
  </w:style>
  <w:style w:type="paragraph" w:styleId="Revision">
    <w:name w:val="Revision"/>
    <w:hidden/>
    <w:uiPriority w:val="99"/>
    <w:semiHidden/>
    <w:rsid w:val="007619D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about:blan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0D3823-EAA8-48C9-A062-349AB8767B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9650F20-982B-4386-BE44-D8471CE23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3B5F38-CDE0-4F5A-BBA3-B21E2A8800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2</Pages>
  <Words>695</Words>
  <Characters>3964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Harrow</dc:creator>
  <cp:keywords/>
  <dc:description/>
  <cp:lastModifiedBy>Kezia Harrow</cp:lastModifiedBy>
  <cp:revision>38</cp:revision>
  <dcterms:created xsi:type="dcterms:W3CDTF">2022-03-25T14:11:00Z</dcterms:created>
  <dcterms:modified xsi:type="dcterms:W3CDTF">2022-03-25T16:08:00Z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