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A5446" w14:textId="0BC47309" w:rsidR="005D67C8" w:rsidRPr="00497506" w:rsidRDefault="005D67C8" w:rsidP="00497506">
      <w:pPr>
        <w:spacing w:line="480" w:lineRule="auto"/>
        <w:rPr>
          <w:rFonts w:ascii="Arial" w:hAnsi="Arial" w:cs="Arial"/>
          <w:b/>
          <w:bCs/>
          <w:sz w:val="24"/>
          <w:szCs w:val="24"/>
          <w:u w:val="single"/>
        </w:rPr>
      </w:pPr>
      <w:r w:rsidRPr="00497506">
        <w:rPr>
          <w:rFonts w:ascii="Arial" w:hAnsi="Arial" w:cs="Arial"/>
          <w:b/>
          <w:bCs/>
          <w:sz w:val="24"/>
          <w:szCs w:val="24"/>
          <w:u w:val="single"/>
        </w:rPr>
        <w:t>Conwy Youth Engagement and Belonging (CYEB).</w:t>
      </w:r>
    </w:p>
    <w:p w14:paraId="1A1C1590" w14:textId="77777777" w:rsidR="00497506" w:rsidRDefault="00682E6E" w:rsidP="00682E6E">
      <w:pPr>
        <w:spacing w:line="480" w:lineRule="auto"/>
        <w:rPr>
          <w:rFonts w:ascii="Arial" w:hAnsi="Arial" w:cs="Arial"/>
          <w:sz w:val="24"/>
          <w:szCs w:val="24"/>
        </w:rPr>
      </w:pPr>
      <w:r w:rsidRPr="006C7B87">
        <w:rPr>
          <w:rFonts w:ascii="Arial" w:hAnsi="Arial" w:cs="Arial"/>
          <w:b/>
          <w:bCs/>
          <w:sz w:val="24"/>
          <w:szCs w:val="24"/>
        </w:rPr>
        <w:t>Profile</w:t>
      </w:r>
    </w:p>
    <w:p w14:paraId="575982B7" w14:textId="551ECFF0" w:rsidR="00682E6E" w:rsidRPr="006C7B87" w:rsidRDefault="00682E6E" w:rsidP="00682E6E">
      <w:pPr>
        <w:spacing w:line="480" w:lineRule="auto"/>
        <w:rPr>
          <w:rFonts w:ascii="Arial" w:hAnsi="Arial" w:cs="Arial"/>
          <w:sz w:val="24"/>
          <w:szCs w:val="24"/>
        </w:rPr>
      </w:pPr>
      <w:r w:rsidRPr="006C7B87">
        <w:rPr>
          <w:rFonts w:ascii="Arial" w:hAnsi="Arial" w:cs="Arial"/>
          <w:sz w:val="24"/>
          <w:szCs w:val="24"/>
        </w:rPr>
        <w:t>Conwy Youth Engagement and Belonging (CYEB) is a statutory, open</w:t>
      </w:r>
      <w:r w:rsidRPr="006C7B87">
        <w:rPr>
          <w:rFonts w:ascii="Arial" w:hAnsi="Arial" w:cs="Arial"/>
          <w:sz w:val="24"/>
          <w:szCs w:val="24"/>
        </w:rPr>
        <w:noBreakHyphen/>
        <w:t>access youth work service delivered by Conwy County Borough Council, supporting young people aged 11–25 across the county</w:t>
      </w:r>
      <w:r w:rsidR="00E4661A" w:rsidRPr="006C7B87">
        <w:rPr>
          <w:rFonts w:ascii="Arial" w:hAnsi="Arial" w:cs="Arial"/>
          <w:sz w:val="24"/>
          <w:szCs w:val="24"/>
        </w:rPr>
        <w:t xml:space="preserve"> of Conwy</w:t>
      </w:r>
      <w:r w:rsidRPr="006C7B87">
        <w:rPr>
          <w:rFonts w:ascii="Arial" w:hAnsi="Arial" w:cs="Arial"/>
          <w:sz w:val="24"/>
          <w:szCs w:val="24"/>
        </w:rPr>
        <w:t>. The service plays a central role in promoting young people’s personal, social, emotional, and educational development, enabling them to transition confidently into adulthood and participate actively in their communities. CYEB operates in line with the Welsh Government’s definition of youth work as “a distinct educational practice rooted in voluntary participation, personal development, and social inclusion” (Welsh Government, 2024).</w:t>
      </w:r>
    </w:p>
    <w:p w14:paraId="1FF88591" w14:textId="77777777" w:rsidR="00682E6E" w:rsidRPr="006C7B87" w:rsidRDefault="00682E6E" w:rsidP="00E4661A">
      <w:pPr>
        <w:spacing w:line="480" w:lineRule="auto"/>
        <w:rPr>
          <w:rFonts w:ascii="Arial" w:hAnsi="Arial" w:cs="Arial"/>
          <w:sz w:val="24"/>
          <w:szCs w:val="24"/>
        </w:rPr>
      </w:pPr>
      <w:r w:rsidRPr="006C7B87">
        <w:rPr>
          <w:rFonts w:ascii="Arial" w:hAnsi="Arial" w:cs="Arial"/>
          <w:b/>
          <w:bCs/>
          <w:sz w:val="24"/>
          <w:szCs w:val="24"/>
        </w:rPr>
        <w:t>Purpose and Vision</w:t>
      </w:r>
    </w:p>
    <w:p w14:paraId="1C28D269" w14:textId="77777777" w:rsidR="00682E6E" w:rsidRPr="006C7B87" w:rsidRDefault="00682E6E" w:rsidP="00E4661A">
      <w:pPr>
        <w:spacing w:line="480" w:lineRule="auto"/>
        <w:rPr>
          <w:rFonts w:ascii="Arial" w:hAnsi="Arial" w:cs="Arial"/>
          <w:sz w:val="24"/>
          <w:szCs w:val="24"/>
        </w:rPr>
      </w:pPr>
      <w:r w:rsidRPr="006C7B87">
        <w:rPr>
          <w:rFonts w:ascii="Arial" w:hAnsi="Arial" w:cs="Arial"/>
          <w:sz w:val="24"/>
          <w:szCs w:val="24"/>
        </w:rPr>
        <w:t>CYEB’s purpose is grounded in the core values of Welsh youth work policy, particularly the emphasis on rights</w:t>
      </w:r>
      <w:r w:rsidRPr="006C7B87">
        <w:rPr>
          <w:rFonts w:ascii="Arial" w:hAnsi="Arial" w:cs="Arial"/>
          <w:sz w:val="24"/>
          <w:szCs w:val="24"/>
        </w:rPr>
        <w:noBreakHyphen/>
        <w:t>based practice, participation, and empowerment. The service is committed to:</w:t>
      </w:r>
    </w:p>
    <w:p w14:paraId="651CCB9A" w14:textId="77777777" w:rsidR="00682E6E" w:rsidRPr="006C7B87" w:rsidRDefault="00682E6E" w:rsidP="00E4661A">
      <w:pPr>
        <w:numPr>
          <w:ilvl w:val="0"/>
          <w:numId w:val="15"/>
        </w:numPr>
        <w:spacing w:line="480" w:lineRule="auto"/>
        <w:rPr>
          <w:rFonts w:ascii="Arial" w:hAnsi="Arial" w:cs="Arial"/>
          <w:sz w:val="24"/>
          <w:szCs w:val="24"/>
        </w:rPr>
      </w:pPr>
      <w:r w:rsidRPr="006C7B87">
        <w:rPr>
          <w:rFonts w:ascii="Arial" w:hAnsi="Arial" w:cs="Arial"/>
          <w:sz w:val="24"/>
          <w:szCs w:val="24"/>
        </w:rPr>
        <w:t>Providing safe, inclusive, youth</w:t>
      </w:r>
      <w:r w:rsidRPr="006C7B87">
        <w:rPr>
          <w:rFonts w:ascii="Arial" w:hAnsi="Arial" w:cs="Arial"/>
          <w:sz w:val="24"/>
          <w:szCs w:val="24"/>
        </w:rPr>
        <w:noBreakHyphen/>
        <w:t>friendly spaces</w:t>
      </w:r>
    </w:p>
    <w:p w14:paraId="1CBBBB66" w14:textId="77777777" w:rsidR="00682E6E" w:rsidRPr="006C7B87" w:rsidRDefault="00682E6E" w:rsidP="00E4661A">
      <w:pPr>
        <w:numPr>
          <w:ilvl w:val="0"/>
          <w:numId w:val="15"/>
        </w:numPr>
        <w:spacing w:line="480" w:lineRule="auto"/>
        <w:rPr>
          <w:rFonts w:ascii="Arial" w:hAnsi="Arial" w:cs="Arial"/>
          <w:sz w:val="24"/>
          <w:szCs w:val="24"/>
        </w:rPr>
      </w:pPr>
      <w:r w:rsidRPr="006C7B87">
        <w:rPr>
          <w:rFonts w:ascii="Arial" w:hAnsi="Arial" w:cs="Arial"/>
          <w:sz w:val="24"/>
          <w:szCs w:val="24"/>
        </w:rPr>
        <w:t>Supporting young people’s wellbeing, resilience, and sense of belonging</w:t>
      </w:r>
    </w:p>
    <w:p w14:paraId="6910F378" w14:textId="77777777" w:rsidR="00682E6E" w:rsidRPr="006C7B87" w:rsidRDefault="00682E6E" w:rsidP="00E4661A">
      <w:pPr>
        <w:numPr>
          <w:ilvl w:val="0"/>
          <w:numId w:val="15"/>
        </w:numPr>
        <w:spacing w:line="480" w:lineRule="auto"/>
        <w:rPr>
          <w:rFonts w:ascii="Arial" w:hAnsi="Arial" w:cs="Arial"/>
          <w:sz w:val="24"/>
          <w:szCs w:val="24"/>
        </w:rPr>
      </w:pPr>
      <w:r w:rsidRPr="006C7B87">
        <w:rPr>
          <w:rFonts w:ascii="Arial" w:hAnsi="Arial" w:cs="Arial"/>
          <w:sz w:val="24"/>
          <w:szCs w:val="24"/>
        </w:rPr>
        <w:t>Encouraging youth voice, participation, and active citizenship</w:t>
      </w:r>
    </w:p>
    <w:p w14:paraId="4A59445F" w14:textId="77777777" w:rsidR="00682E6E" w:rsidRPr="006C7B87" w:rsidRDefault="00682E6E" w:rsidP="00E4661A">
      <w:pPr>
        <w:numPr>
          <w:ilvl w:val="0"/>
          <w:numId w:val="15"/>
        </w:numPr>
        <w:spacing w:line="480" w:lineRule="auto"/>
        <w:rPr>
          <w:rFonts w:ascii="Arial" w:hAnsi="Arial" w:cs="Arial"/>
          <w:sz w:val="24"/>
          <w:szCs w:val="24"/>
        </w:rPr>
      </w:pPr>
      <w:r w:rsidRPr="006C7B87">
        <w:rPr>
          <w:rFonts w:ascii="Arial" w:hAnsi="Arial" w:cs="Arial"/>
          <w:sz w:val="24"/>
          <w:szCs w:val="24"/>
        </w:rPr>
        <w:t>Offering positive activities that promote personal and social development</w:t>
      </w:r>
    </w:p>
    <w:p w14:paraId="5DA0BB10" w14:textId="77777777" w:rsidR="00682E6E" w:rsidRPr="006C7B87" w:rsidRDefault="00682E6E" w:rsidP="00E4661A">
      <w:pPr>
        <w:spacing w:line="480" w:lineRule="auto"/>
        <w:rPr>
          <w:rFonts w:ascii="Arial" w:hAnsi="Arial" w:cs="Arial"/>
          <w:sz w:val="24"/>
          <w:szCs w:val="24"/>
        </w:rPr>
      </w:pPr>
      <w:r w:rsidRPr="006C7B87">
        <w:rPr>
          <w:rFonts w:ascii="Arial" w:hAnsi="Arial" w:cs="Arial"/>
          <w:sz w:val="24"/>
          <w:szCs w:val="24"/>
        </w:rPr>
        <w:t>These commitments reflect the Welsh Government’s strategic direction for youth work, which prioritises equitable access, meaningful engagement, and community</w:t>
      </w:r>
      <w:r w:rsidRPr="006C7B87">
        <w:rPr>
          <w:rFonts w:ascii="Arial" w:hAnsi="Arial" w:cs="Arial"/>
          <w:sz w:val="24"/>
          <w:szCs w:val="24"/>
        </w:rPr>
        <w:noBreakHyphen/>
        <w:t>based learning opportunities (Welsh Government, 2024).</w:t>
      </w:r>
    </w:p>
    <w:p w14:paraId="3C6BD401" w14:textId="77777777" w:rsidR="006C7B87" w:rsidRDefault="006C7B87" w:rsidP="00E4661A">
      <w:pPr>
        <w:spacing w:line="480" w:lineRule="auto"/>
        <w:rPr>
          <w:rFonts w:ascii="Arial" w:hAnsi="Arial" w:cs="Arial"/>
          <w:b/>
          <w:bCs/>
          <w:u w:val="single"/>
        </w:rPr>
      </w:pPr>
    </w:p>
    <w:p w14:paraId="7A354ABF" w14:textId="3E404019" w:rsidR="00682E6E" w:rsidRPr="006C7B87" w:rsidRDefault="00682E6E" w:rsidP="00E4661A">
      <w:pPr>
        <w:spacing w:line="480" w:lineRule="auto"/>
        <w:rPr>
          <w:rFonts w:ascii="Arial" w:hAnsi="Arial" w:cs="Arial"/>
          <w:sz w:val="24"/>
          <w:szCs w:val="24"/>
          <w:u w:val="single"/>
        </w:rPr>
      </w:pPr>
      <w:r w:rsidRPr="006C7B87">
        <w:rPr>
          <w:rFonts w:ascii="Arial" w:hAnsi="Arial" w:cs="Arial"/>
          <w:b/>
          <w:bCs/>
          <w:sz w:val="24"/>
          <w:szCs w:val="24"/>
          <w:u w:val="single"/>
        </w:rPr>
        <w:t>Service Delivery and Key Provisions</w:t>
      </w:r>
    </w:p>
    <w:p w14:paraId="69817DD7" w14:textId="77777777" w:rsidR="00682E6E" w:rsidRPr="006C7B87" w:rsidRDefault="00682E6E" w:rsidP="00E4661A">
      <w:pPr>
        <w:spacing w:line="480" w:lineRule="auto"/>
        <w:rPr>
          <w:rFonts w:ascii="Arial" w:hAnsi="Arial" w:cs="Arial"/>
          <w:sz w:val="24"/>
          <w:szCs w:val="24"/>
        </w:rPr>
      </w:pPr>
      <w:r w:rsidRPr="006C7B87">
        <w:rPr>
          <w:rFonts w:ascii="Arial" w:hAnsi="Arial" w:cs="Arial"/>
          <w:sz w:val="24"/>
          <w:szCs w:val="24"/>
        </w:rPr>
        <w:t>CYEB offers a broad range of voluntary, developmental opportunities designed to meet the diverse needs of young people across Conwy.</w:t>
      </w:r>
    </w:p>
    <w:p w14:paraId="27C59612" w14:textId="4DC7FD28" w:rsidR="00682E6E" w:rsidRPr="006C7B87" w:rsidRDefault="00682E6E" w:rsidP="00E4661A">
      <w:pPr>
        <w:spacing w:line="480" w:lineRule="auto"/>
        <w:rPr>
          <w:rFonts w:ascii="Arial" w:hAnsi="Arial" w:cs="Arial"/>
          <w:sz w:val="24"/>
          <w:szCs w:val="24"/>
        </w:rPr>
      </w:pPr>
      <w:r w:rsidRPr="006C7B87">
        <w:rPr>
          <w:rFonts w:ascii="Arial" w:hAnsi="Arial" w:cs="Arial"/>
          <w:b/>
          <w:bCs/>
          <w:sz w:val="24"/>
          <w:szCs w:val="24"/>
        </w:rPr>
        <w:t>Youth Clubs and Open</w:t>
      </w:r>
      <w:r w:rsidRPr="006C7B87">
        <w:rPr>
          <w:rFonts w:ascii="Arial" w:hAnsi="Arial" w:cs="Arial"/>
          <w:b/>
          <w:bCs/>
          <w:sz w:val="24"/>
          <w:szCs w:val="24"/>
        </w:rPr>
        <w:noBreakHyphen/>
        <w:t>Access Provision</w:t>
      </w:r>
    </w:p>
    <w:p w14:paraId="621AF8C5" w14:textId="77777777" w:rsidR="00682E6E" w:rsidRPr="006C7B87" w:rsidRDefault="00682E6E" w:rsidP="00E4661A">
      <w:pPr>
        <w:spacing w:line="480" w:lineRule="auto"/>
        <w:rPr>
          <w:rFonts w:ascii="Arial" w:hAnsi="Arial" w:cs="Arial"/>
          <w:sz w:val="24"/>
          <w:szCs w:val="24"/>
        </w:rPr>
      </w:pPr>
      <w:r w:rsidRPr="006C7B87">
        <w:rPr>
          <w:rFonts w:ascii="Arial" w:hAnsi="Arial" w:cs="Arial"/>
          <w:sz w:val="24"/>
          <w:szCs w:val="24"/>
        </w:rPr>
        <w:t>The service operates over 20 youth clubs and activity sessions, providing warm, safe spaces where young people can access food, social opportunities, and informal educational activities. These settings promote voluntary participation, a cornerstone of youth work practice in Wales.</w:t>
      </w:r>
    </w:p>
    <w:p w14:paraId="3FC67B4D" w14:textId="48347ED6" w:rsidR="00682E6E" w:rsidRPr="006C7B87" w:rsidRDefault="00682E6E" w:rsidP="00E4661A">
      <w:pPr>
        <w:spacing w:line="480" w:lineRule="auto"/>
        <w:rPr>
          <w:rFonts w:ascii="Arial" w:hAnsi="Arial" w:cs="Arial"/>
          <w:sz w:val="24"/>
          <w:szCs w:val="24"/>
        </w:rPr>
      </w:pPr>
      <w:r w:rsidRPr="006C7B87">
        <w:rPr>
          <w:rFonts w:ascii="Arial" w:hAnsi="Arial" w:cs="Arial"/>
          <w:b/>
          <w:bCs/>
          <w:sz w:val="24"/>
          <w:szCs w:val="24"/>
        </w:rPr>
        <w:t>Targeted Provisions</w:t>
      </w:r>
    </w:p>
    <w:p w14:paraId="67BEEF22" w14:textId="0AC3479B" w:rsidR="00635F86" w:rsidRPr="00635F86" w:rsidRDefault="00635F86" w:rsidP="00635F86">
      <w:pPr>
        <w:spacing w:line="480" w:lineRule="auto"/>
        <w:rPr>
          <w:rFonts w:ascii="Arial" w:hAnsi="Arial" w:cs="Arial"/>
          <w:sz w:val="24"/>
          <w:szCs w:val="24"/>
        </w:rPr>
      </w:pPr>
      <w:r w:rsidRPr="00635F86">
        <w:rPr>
          <w:rFonts w:ascii="Arial" w:hAnsi="Arial" w:cs="Arial"/>
          <w:sz w:val="24"/>
          <w:szCs w:val="24"/>
        </w:rPr>
        <w:t xml:space="preserve">CYEB delivers a range of targeted interventions designed to meet the specific and often complex needs of young people across Conwy. These provisions extend beyond youth club delivery and reflect the organisation’s commitment to early intervention, holistic support, and inclusive practice, as emphasised within the </w:t>
      </w:r>
      <w:r w:rsidRPr="00635F86">
        <w:rPr>
          <w:rFonts w:ascii="Arial" w:hAnsi="Arial" w:cs="Arial"/>
          <w:i/>
          <w:iCs/>
          <w:sz w:val="24"/>
          <w:szCs w:val="24"/>
        </w:rPr>
        <w:t>Youth Engagement and Progression Framework</w:t>
      </w:r>
      <w:r w:rsidRPr="00635F86">
        <w:rPr>
          <w:rFonts w:ascii="Arial" w:hAnsi="Arial" w:cs="Arial"/>
          <w:sz w:val="24"/>
          <w:szCs w:val="24"/>
        </w:rPr>
        <w:t xml:space="preserve"> (Welsh Government, 2013) and the </w:t>
      </w:r>
      <w:r w:rsidRPr="00635F86">
        <w:rPr>
          <w:rFonts w:ascii="Arial" w:hAnsi="Arial" w:cs="Arial"/>
          <w:i/>
          <w:iCs/>
          <w:sz w:val="24"/>
          <w:szCs w:val="24"/>
        </w:rPr>
        <w:t>Youth Work Strategy for Wales</w:t>
      </w:r>
      <w:r w:rsidRPr="00635F86">
        <w:rPr>
          <w:rFonts w:ascii="Arial" w:hAnsi="Arial" w:cs="Arial"/>
          <w:sz w:val="24"/>
          <w:szCs w:val="24"/>
        </w:rPr>
        <w:t xml:space="preserve"> (Welsh Government, 2019). The targeted programmes address a variety of social, emotional, educational, and cultural needs, ensuring that young people who may require additional support are able to access tailored, meaningful opportunities.</w:t>
      </w:r>
    </w:p>
    <w:p w14:paraId="22E8E51D" w14:textId="77777777" w:rsidR="00635F86" w:rsidRPr="00635F86" w:rsidRDefault="00635F86" w:rsidP="00635F86">
      <w:pPr>
        <w:spacing w:line="480" w:lineRule="auto"/>
        <w:rPr>
          <w:rFonts w:ascii="Arial" w:hAnsi="Arial" w:cs="Arial"/>
          <w:sz w:val="24"/>
          <w:szCs w:val="24"/>
        </w:rPr>
      </w:pPr>
      <w:r w:rsidRPr="00635F86">
        <w:rPr>
          <w:rFonts w:ascii="Arial" w:hAnsi="Arial" w:cs="Arial"/>
          <w:b/>
          <w:bCs/>
          <w:sz w:val="24"/>
          <w:szCs w:val="24"/>
        </w:rPr>
        <w:t>Homelessness Prevention</w:t>
      </w:r>
    </w:p>
    <w:p w14:paraId="5BAA4361" w14:textId="77777777" w:rsidR="00635F86" w:rsidRPr="00635F86" w:rsidRDefault="00635F86" w:rsidP="00635F86">
      <w:pPr>
        <w:spacing w:line="480" w:lineRule="auto"/>
        <w:rPr>
          <w:rFonts w:ascii="Arial" w:hAnsi="Arial" w:cs="Arial"/>
          <w:sz w:val="24"/>
          <w:szCs w:val="24"/>
        </w:rPr>
      </w:pPr>
      <w:r w:rsidRPr="00635F86">
        <w:rPr>
          <w:rFonts w:ascii="Arial" w:hAnsi="Arial" w:cs="Arial"/>
          <w:sz w:val="24"/>
          <w:szCs w:val="24"/>
        </w:rPr>
        <w:t>CYEB plays a key role in preventing youth homelessness through early identification, one</w:t>
      </w:r>
      <w:r w:rsidRPr="00635F86">
        <w:rPr>
          <w:rFonts w:ascii="Arial" w:hAnsi="Arial" w:cs="Arial"/>
          <w:sz w:val="24"/>
          <w:szCs w:val="24"/>
        </w:rPr>
        <w:noBreakHyphen/>
        <w:t>to</w:t>
      </w:r>
      <w:r w:rsidRPr="00635F86">
        <w:rPr>
          <w:rFonts w:ascii="Arial" w:hAnsi="Arial" w:cs="Arial"/>
          <w:sz w:val="24"/>
          <w:szCs w:val="24"/>
        </w:rPr>
        <w:noBreakHyphen/>
        <w:t xml:space="preserve">one support, and referral pathways such as the Oak Tree project. This work aligns with statutory duties under the </w:t>
      </w:r>
      <w:r w:rsidRPr="00635F86">
        <w:rPr>
          <w:rFonts w:ascii="Arial" w:hAnsi="Arial" w:cs="Arial"/>
          <w:i/>
          <w:iCs/>
          <w:sz w:val="24"/>
          <w:szCs w:val="24"/>
        </w:rPr>
        <w:t>Housing (Wales) Act 2014</w:t>
      </w:r>
      <w:r w:rsidRPr="00635F86">
        <w:rPr>
          <w:rFonts w:ascii="Arial" w:hAnsi="Arial" w:cs="Arial"/>
          <w:sz w:val="24"/>
          <w:szCs w:val="24"/>
        </w:rPr>
        <w:t>, which places a responsibility on local authorities to intervene before young people reach crisis point. By offering practical guidance, advocacy, and emotional support, CYEB helps young people develop stability and resilience, reflecting the relationship</w:t>
      </w:r>
      <w:r w:rsidRPr="00635F86">
        <w:rPr>
          <w:rFonts w:ascii="Arial" w:hAnsi="Arial" w:cs="Arial"/>
          <w:sz w:val="24"/>
          <w:szCs w:val="24"/>
        </w:rPr>
        <w:noBreakHyphen/>
        <w:t>based approaches highlighted by Ruch, Turney and Ward (2010).</w:t>
      </w:r>
    </w:p>
    <w:p w14:paraId="2DE7C2C5" w14:textId="77777777" w:rsidR="00635F86" w:rsidRPr="00635F86" w:rsidRDefault="00635F86" w:rsidP="00635F86">
      <w:pPr>
        <w:spacing w:line="480" w:lineRule="auto"/>
        <w:rPr>
          <w:rFonts w:ascii="Arial" w:hAnsi="Arial" w:cs="Arial"/>
          <w:sz w:val="24"/>
          <w:szCs w:val="24"/>
        </w:rPr>
      </w:pPr>
      <w:r w:rsidRPr="00635F86">
        <w:rPr>
          <w:rFonts w:ascii="Arial" w:hAnsi="Arial" w:cs="Arial"/>
          <w:b/>
          <w:bCs/>
          <w:sz w:val="24"/>
          <w:szCs w:val="24"/>
        </w:rPr>
        <w:t>Body Image and Health</w:t>
      </w:r>
    </w:p>
    <w:p w14:paraId="2F27D3F0" w14:textId="7902B1DF" w:rsidR="00635F86" w:rsidRPr="00635F86" w:rsidRDefault="00635F86" w:rsidP="00635F86">
      <w:pPr>
        <w:spacing w:line="480" w:lineRule="auto"/>
        <w:rPr>
          <w:rFonts w:ascii="Arial" w:hAnsi="Arial" w:cs="Arial"/>
          <w:sz w:val="24"/>
          <w:szCs w:val="24"/>
        </w:rPr>
      </w:pPr>
      <w:r w:rsidRPr="00635F86">
        <w:rPr>
          <w:rFonts w:ascii="Arial" w:hAnsi="Arial" w:cs="Arial"/>
          <w:sz w:val="24"/>
          <w:szCs w:val="24"/>
        </w:rPr>
        <w:t>Targeted sessions focusing on body image, self</w:t>
      </w:r>
      <w:r w:rsidRPr="00635F86">
        <w:rPr>
          <w:rFonts w:ascii="Arial" w:hAnsi="Arial" w:cs="Arial"/>
          <w:sz w:val="24"/>
          <w:szCs w:val="24"/>
        </w:rPr>
        <w:noBreakHyphen/>
        <w:t xml:space="preserve">esteem, and wellbeing respond to the increasing pressures young people face in relation to </w:t>
      </w:r>
      <w:r w:rsidR="00BB0E2B">
        <w:rPr>
          <w:rFonts w:ascii="Arial" w:hAnsi="Arial" w:cs="Arial"/>
          <w:sz w:val="24"/>
          <w:szCs w:val="24"/>
        </w:rPr>
        <w:t>adolescence</w:t>
      </w:r>
      <w:r w:rsidRPr="00635F86">
        <w:rPr>
          <w:rFonts w:ascii="Arial" w:hAnsi="Arial" w:cs="Arial"/>
          <w:sz w:val="24"/>
          <w:szCs w:val="24"/>
        </w:rPr>
        <w:t>, and social comparison. These interventions often use informal education methods</w:t>
      </w:r>
      <w:r w:rsidR="00BB0E2B">
        <w:rPr>
          <w:rFonts w:ascii="Arial" w:hAnsi="Arial" w:cs="Arial"/>
          <w:sz w:val="24"/>
          <w:szCs w:val="24"/>
        </w:rPr>
        <w:t xml:space="preserve">, </w:t>
      </w:r>
      <w:r w:rsidRPr="00635F86">
        <w:rPr>
          <w:rFonts w:ascii="Arial" w:hAnsi="Arial" w:cs="Arial"/>
          <w:sz w:val="24"/>
          <w:szCs w:val="24"/>
        </w:rPr>
        <w:t>such as facilitated discussions, creative activities, and peer</w:t>
      </w:r>
      <w:r w:rsidR="00BB0E2B">
        <w:rPr>
          <w:rFonts w:ascii="Arial" w:hAnsi="Arial" w:cs="Arial"/>
          <w:sz w:val="24"/>
          <w:szCs w:val="24"/>
        </w:rPr>
        <w:t xml:space="preserve"> to peer</w:t>
      </w:r>
      <w:r w:rsidRPr="00635F86">
        <w:rPr>
          <w:rFonts w:ascii="Arial" w:hAnsi="Arial" w:cs="Arial"/>
          <w:sz w:val="24"/>
          <w:szCs w:val="24"/>
        </w:rPr>
        <w:t xml:space="preserve"> learnin</w:t>
      </w:r>
      <w:r w:rsidR="00BB0E2B">
        <w:rPr>
          <w:rFonts w:ascii="Arial" w:hAnsi="Arial" w:cs="Arial"/>
          <w:sz w:val="24"/>
          <w:szCs w:val="24"/>
        </w:rPr>
        <w:t xml:space="preserve">g this </w:t>
      </w:r>
      <w:proofErr w:type="spellStart"/>
      <w:r w:rsidRPr="00635F86">
        <w:rPr>
          <w:rFonts w:ascii="Arial" w:hAnsi="Arial" w:cs="Arial"/>
          <w:sz w:val="24"/>
          <w:szCs w:val="24"/>
        </w:rPr>
        <w:t>encourage</w:t>
      </w:r>
      <w:r w:rsidR="00BB0E2B">
        <w:rPr>
          <w:rFonts w:ascii="Arial" w:hAnsi="Arial" w:cs="Arial"/>
          <w:sz w:val="24"/>
          <w:szCs w:val="24"/>
        </w:rPr>
        <w:t>’s</w:t>
      </w:r>
      <w:r w:rsidRPr="00635F86">
        <w:rPr>
          <w:rFonts w:ascii="Arial" w:hAnsi="Arial" w:cs="Arial"/>
          <w:sz w:val="24"/>
          <w:szCs w:val="24"/>
        </w:rPr>
        <w:t>critical</w:t>
      </w:r>
      <w:proofErr w:type="spellEnd"/>
      <w:r w:rsidRPr="00635F86">
        <w:rPr>
          <w:rFonts w:ascii="Arial" w:hAnsi="Arial" w:cs="Arial"/>
          <w:sz w:val="24"/>
          <w:szCs w:val="24"/>
        </w:rPr>
        <w:t xml:space="preserve"> thinking and self</w:t>
      </w:r>
      <w:r w:rsidRPr="00635F86">
        <w:rPr>
          <w:rFonts w:ascii="Arial" w:hAnsi="Arial" w:cs="Arial"/>
          <w:sz w:val="24"/>
          <w:szCs w:val="24"/>
        </w:rPr>
        <w:noBreakHyphen/>
        <w:t>reflection. This approach aligns with Kolb’s (1984) experiential learning cycle and supports the Welsh Government’s (2024) emphasis on promoting emotional wellbeing within youth work settings.</w:t>
      </w:r>
    </w:p>
    <w:p w14:paraId="25FA65E5" w14:textId="77777777" w:rsidR="00635F86" w:rsidRPr="00635F86" w:rsidRDefault="00635F86" w:rsidP="00635F86">
      <w:pPr>
        <w:spacing w:line="480" w:lineRule="auto"/>
        <w:rPr>
          <w:rFonts w:ascii="Arial" w:hAnsi="Arial" w:cs="Arial"/>
          <w:sz w:val="24"/>
          <w:szCs w:val="24"/>
        </w:rPr>
      </w:pPr>
      <w:r w:rsidRPr="00635F86">
        <w:rPr>
          <w:rFonts w:ascii="Arial" w:hAnsi="Arial" w:cs="Arial"/>
          <w:b/>
          <w:bCs/>
          <w:sz w:val="24"/>
          <w:szCs w:val="24"/>
        </w:rPr>
        <w:t>Welsh Language and Cultural Engagement</w:t>
      </w:r>
    </w:p>
    <w:p w14:paraId="1223D584" w14:textId="776EB0F1" w:rsidR="00635F86" w:rsidRPr="00635F86" w:rsidRDefault="00635F86" w:rsidP="00635F86">
      <w:pPr>
        <w:spacing w:line="480" w:lineRule="auto"/>
        <w:rPr>
          <w:rFonts w:ascii="Arial" w:hAnsi="Arial" w:cs="Arial"/>
          <w:sz w:val="24"/>
          <w:szCs w:val="24"/>
        </w:rPr>
      </w:pPr>
      <w:r w:rsidRPr="00635F86">
        <w:rPr>
          <w:rFonts w:ascii="Arial" w:hAnsi="Arial" w:cs="Arial"/>
          <w:sz w:val="24"/>
          <w:szCs w:val="24"/>
        </w:rPr>
        <w:t xml:space="preserve">CYEB also delivers programmes that promote Welsh language use and cultural identity, supporting national priorities around bilingualism and cultural participation. These sessions provide young people with opportunities to engage with Welsh heritage, develop language confidence, and strengthen their sense of belonging. </w:t>
      </w:r>
    </w:p>
    <w:p w14:paraId="03C2DBD5" w14:textId="77777777" w:rsidR="00635F86" w:rsidRPr="00635F86" w:rsidRDefault="00635F86" w:rsidP="00635F86">
      <w:pPr>
        <w:spacing w:line="480" w:lineRule="auto"/>
        <w:rPr>
          <w:rFonts w:ascii="Arial" w:hAnsi="Arial" w:cs="Arial"/>
          <w:sz w:val="24"/>
          <w:szCs w:val="24"/>
        </w:rPr>
      </w:pPr>
      <w:r w:rsidRPr="00635F86">
        <w:rPr>
          <w:rFonts w:ascii="Arial" w:hAnsi="Arial" w:cs="Arial"/>
          <w:b/>
          <w:bCs/>
          <w:sz w:val="24"/>
          <w:szCs w:val="24"/>
        </w:rPr>
        <w:t>Family Support</w:t>
      </w:r>
    </w:p>
    <w:p w14:paraId="65783AAA" w14:textId="250D0E3C" w:rsidR="00635F86" w:rsidRPr="00635F86" w:rsidRDefault="00635F86" w:rsidP="00635F86">
      <w:pPr>
        <w:spacing w:line="480" w:lineRule="auto"/>
        <w:rPr>
          <w:rFonts w:ascii="Arial" w:hAnsi="Arial" w:cs="Arial"/>
          <w:sz w:val="24"/>
          <w:szCs w:val="24"/>
        </w:rPr>
      </w:pPr>
      <w:r w:rsidRPr="00635F86">
        <w:rPr>
          <w:rFonts w:ascii="Arial" w:hAnsi="Arial" w:cs="Arial"/>
          <w:sz w:val="24"/>
          <w:szCs w:val="24"/>
        </w:rPr>
        <w:t>Some young people require support that extends beyond the individual, and CYEB’s family</w:t>
      </w:r>
      <w:r w:rsidRPr="00635F86">
        <w:rPr>
          <w:rFonts w:ascii="Arial" w:hAnsi="Arial" w:cs="Arial"/>
          <w:sz w:val="24"/>
          <w:szCs w:val="24"/>
        </w:rPr>
        <w:noBreakHyphen/>
        <w:t>focused interventions aim to strengthen relationships, improve communication, and address challenges within the home environment. This holistic approach is consistent with ecological perspectives such as Bronfenbrenner’s (1979) model, which emphasises the interconnectedness of family, community, and wider systems in shaping young people’s experiences. By working collaboratively with families, CYEB helps create more stable and supportive environments for young people.</w:t>
      </w:r>
      <w:r w:rsidR="0073377E">
        <w:rPr>
          <w:rFonts w:ascii="Arial" w:hAnsi="Arial" w:cs="Arial"/>
          <w:sz w:val="24"/>
          <w:szCs w:val="24"/>
        </w:rPr>
        <w:t xml:space="preserve"> This includes family mediation to which workers can </w:t>
      </w:r>
      <w:proofErr w:type="gramStart"/>
      <w:r w:rsidR="0073377E">
        <w:rPr>
          <w:rFonts w:ascii="Arial" w:hAnsi="Arial" w:cs="Arial"/>
          <w:sz w:val="24"/>
          <w:szCs w:val="24"/>
        </w:rPr>
        <w:t>works</w:t>
      </w:r>
      <w:proofErr w:type="gramEnd"/>
      <w:r w:rsidR="0073377E">
        <w:rPr>
          <w:rFonts w:ascii="Arial" w:hAnsi="Arial" w:cs="Arial"/>
          <w:sz w:val="24"/>
          <w:szCs w:val="24"/>
        </w:rPr>
        <w:t xml:space="preserve"> families to resolve conflict with the home setting </w:t>
      </w:r>
    </w:p>
    <w:p w14:paraId="506F861D" w14:textId="77777777" w:rsidR="00635F86" w:rsidRPr="00635F86" w:rsidRDefault="00635F86" w:rsidP="00635F86">
      <w:pPr>
        <w:spacing w:line="480" w:lineRule="auto"/>
        <w:rPr>
          <w:rFonts w:ascii="Arial" w:hAnsi="Arial" w:cs="Arial"/>
          <w:sz w:val="24"/>
          <w:szCs w:val="24"/>
        </w:rPr>
      </w:pPr>
      <w:r w:rsidRPr="00635F86">
        <w:rPr>
          <w:rFonts w:ascii="Arial" w:hAnsi="Arial" w:cs="Arial"/>
          <w:b/>
          <w:bCs/>
          <w:sz w:val="24"/>
          <w:szCs w:val="24"/>
        </w:rPr>
        <w:t>TRAC (Supporting Young People at Risk of Disengagement from Education)</w:t>
      </w:r>
    </w:p>
    <w:p w14:paraId="6178F820" w14:textId="62197C10" w:rsidR="00635F86" w:rsidRPr="00635F86" w:rsidRDefault="00635F86" w:rsidP="00635F86">
      <w:pPr>
        <w:spacing w:line="480" w:lineRule="auto"/>
        <w:rPr>
          <w:rFonts w:ascii="Arial" w:hAnsi="Arial" w:cs="Arial"/>
          <w:sz w:val="24"/>
          <w:szCs w:val="24"/>
        </w:rPr>
      </w:pPr>
      <w:r w:rsidRPr="00635F86">
        <w:rPr>
          <w:rFonts w:ascii="Arial" w:hAnsi="Arial" w:cs="Arial"/>
          <w:sz w:val="24"/>
          <w:szCs w:val="24"/>
        </w:rPr>
        <w:t>CYEB contributes to the TRAC programme, which supports young people who are at risk of disengaging from education, training, or employment</w:t>
      </w:r>
      <w:r w:rsidR="0073377E">
        <w:rPr>
          <w:rFonts w:ascii="Arial" w:hAnsi="Arial" w:cs="Arial"/>
          <w:sz w:val="24"/>
          <w:szCs w:val="24"/>
        </w:rPr>
        <w:t xml:space="preserve"> </w:t>
      </w:r>
      <w:r w:rsidR="00A1013B">
        <w:rPr>
          <w:rFonts w:ascii="Arial" w:hAnsi="Arial" w:cs="Arial"/>
          <w:sz w:val="24"/>
          <w:szCs w:val="24"/>
        </w:rPr>
        <w:t>(becoming</w:t>
      </w:r>
      <w:r w:rsidR="0073377E">
        <w:rPr>
          <w:rFonts w:ascii="Arial" w:hAnsi="Arial" w:cs="Arial"/>
          <w:sz w:val="24"/>
          <w:szCs w:val="24"/>
        </w:rPr>
        <w:t xml:space="preserve"> NEET)</w:t>
      </w:r>
      <w:r w:rsidRPr="00635F86">
        <w:rPr>
          <w:rFonts w:ascii="Arial" w:hAnsi="Arial" w:cs="Arial"/>
          <w:sz w:val="24"/>
          <w:szCs w:val="24"/>
        </w:rPr>
        <w:t xml:space="preserve">. Through </w:t>
      </w:r>
      <w:r w:rsidR="0073377E">
        <w:rPr>
          <w:rFonts w:ascii="Arial" w:hAnsi="Arial" w:cs="Arial"/>
          <w:sz w:val="24"/>
          <w:szCs w:val="24"/>
        </w:rPr>
        <w:t xml:space="preserve">early intervention and </w:t>
      </w:r>
      <w:r w:rsidRPr="00635F86">
        <w:rPr>
          <w:rFonts w:ascii="Arial" w:hAnsi="Arial" w:cs="Arial"/>
          <w:sz w:val="24"/>
          <w:szCs w:val="24"/>
        </w:rPr>
        <w:t>mentoring</w:t>
      </w:r>
      <w:r w:rsidR="0073377E">
        <w:rPr>
          <w:rFonts w:ascii="Arial" w:hAnsi="Arial" w:cs="Arial"/>
          <w:sz w:val="24"/>
          <w:szCs w:val="24"/>
        </w:rPr>
        <w:t xml:space="preserve"> within a school setting. Y</w:t>
      </w:r>
      <w:r w:rsidRPr="00635F86">
        <w:rPr>
          <w:rFonts w:ascii="Arial" w:hAnsi="Arial" w:cs="Arial"/>
          <w:sz w:val="24"/>
          <w:szCs w:val="24"/>
        </w:rPr>
        <w:t xml:space="preserve">outh workers </w:t>
      </w:r>
      <w:r w:rsidR="0073377E">
        <w:rPr>
          <w:rFonts w:ascii="Arial" w:hAnsi="Arial" w:cs="Arial"/>
          <w:sz w:val="24"/>
          <w:szCs w:val="24"/>
        </w:rPr>
        <w:t>support</w:t>
      </w:r>
      <w:r w:rsidRPr="00635F86">
        <w:rPr>
          <w:rFonts w:ascii="Arial" w:hAnsi="Arial" w:cs="Arial"/>
          <w:sz w:val="24"/>
          <w:szCs w:val="24"/>
        </w:rPr>
        <w:t xml:space="preserve"> young people overcome barriers to learning and re</w:t>
      </w:r>
      <w:r w:rsidRPr="00635F86">
        <w:rPr>
          <w:rFonts w:ascii="Arial" w:hAnsi="Arial" w:cs="Arial"/>
          <w:sz w:val="24"/>
          <w:szCs w:val="24"/>
        </w:rPr>
        <w:noBreakHyphen/>
        <w:t xml:space="preserve">engage with positive pathways. This aligns closely with the preventative aims of the </w:t>
      </w:r>
      <w:r w:rsidRPr="00635F86">
        <w:rPr>
          <w:rFonts w:ascii="Arial" w:hAnsi="Arial" w:cs="Arial"/>
          <w:i/>
          <w:iCs/>
          <w:sz w:val="24"/>
          <w:szCs w:val="24"/>
        </w:rPr>
        <w:t>Youth Engagement and Progression Framework</w:t>
      </w:r>
      <w:r w:rsidRPr="00635F86">
        <w:rPr>
          <w:rFonts w:ascii="Arial" w:hAnsi="Arial" w:cs="Arial"/>
          <w:sz w:val="24"/>
          <w:szCs w:val="24"/>
        </w:rPr>
        <w:t xml:space="preserve"> (Welsh Government, 2013) and demonstrates the value of youth work in promoting educational inclusion and long</w:t>
      </w:r>
      <w:r w:rsidRPr="00635F86">
        <w:rPr>
          <w:rFonts w:ascii="Arial" w:hAnsi="Arial" w:cs="Arial"/>
          <w:sz w:val="24"/>
          <w:szCs w:val="24"/>
        </w:rPr>
        <w:noBreakHyphen/>
        <w:t>term progression.</w:t>
      </w:r>
    </w:p>
    <w:p w14:paraId="0CA52A31" w14:textId="77777777" w:rsidR="00682E6E" w:rsidRPr="006C7B87" w:rsidRDefault="00682E6E" w:rsidP="00E4661A">
      <w:pPr>
        <w:jc w:val="both"/>
        <w:rPr>
          <w:rFonts w:ascii="Arial" w:hAnsi="Arial" w:cs="Arial"/>
          <w:sz w:val="24"/>
          <w:szCs w:val="24"/>
          <w:u w:val="single"/>
        </w:rPr>
      </w:pPr>
      <w:r w:rsidRPr="006C7B87">
        <w:rPr>
          <w:rFonts w:ascii="Arial" w:hAnsi="Arial" w:cs="Arial"/>
          <w:b/>
          <w:bCs/>
          <w:sz w:val="24"/>
          <w:szCs w:val="24"/>
          <w:u w:val="single"/>
        </w:rPr>
        <w:t>Community Mapping</w:t>
      </w:r>
    </w:p>
    <w:p w14:paraId="37505512" w14:textId="3E70B3D4" w:rsidR="00682E6E" w:rsidRPr="006C7B87" w:rsidRDefault="00682E6E" w:rsidP="00E4661A">
      <w:pPr>
        <w:spacing w:line="480" w:lineRule="auto"/>
        <w:rPr>
          <w:rFonts w:ascii="Arial" w:hAnsi="Arial" w:cs="Arial"/>
          <w:sz w:val="24"/>
          <w:szCs w:val="24"/>
        </w:rPr>
      </w:pPr>
      <w:r w:rsidRPr="006C7B87">
        <w:rPr>
          <w:rFonts w:ascii="Arial" w:hAnsi="Arial" w:cs="Arial"/>
          <w:sz w:val="24"/>
          <w:szCs w:val="24"/>
        </w:rPr>
        <w:t>Within the community, there are a range of support services, of which CYEB works in partnership with, such as the Urdd, Young Carers, Young Farmers, and internal support services including Social Services and the Family Centres. This ensures that young people can be signposted to relevant support services so that their needs are met.</w:t>
      </w:r>
    </w:p>
    <w:p w14:paraId="1FDC6104" w14:textId="435FFE09" w:rsidR="00682E6E" w:rsidRPr="006C7B87" w:rsidRDefault="006C7B87" w:rsidP="00682E6E">
      <w:pPr>
        <w:rPr>
          <w:rFonts w:ascii="Arial" w:hAnsi="Arial" w:cs="Arial"/>
          <w:sz w:val="24"/>
          <w:szCs w:val="24"/>
        </w:rPr>
      </w:pPr>
      <w:r w:rsidRPr="006C7B87">
        <w:rPr>
          <w:rFonts w:ascii="Arial" w:hAnsi="Arial" w:cs="Arial"/>
          <w:b/>
          <w:bCs/>
          <w:sz w:val="24"/>
          <w:szCs w:val="24"/>
          <w:u w:val="single"/>
        </w:rPr>
        <w:lastRenderedPageBreak/>
        <w:t>Key Services and Stakeholders</w:t>
      </w:r>
      <w:r w:rsidRPr="006C7B87">
        <w:rPr>
          <w:rFonts w:ascii="Arial" w:hAnsi="Arial" w:cs="Arial"/>
          <w:sz w:val="24"/>
          <w:szCs w:val="24"/>
        </w:rPr>
        <w:t>.</w:t>
      </w:r>
    </w:p>
    <w:p w14:paraId="6482A93F" w14:textId="77777777" w:rsidR="00682E6E" w:rsidRPr="006C7B87" w:rsidRDefault="00682E6E" w:rsidP="00E4661A">
      <w:pPr>
        <w:spacing w:line="480" w:lineRule="auto"/>
        <w:rPr>
          <w:rFonts w:ascii="Arial" w:hAnsi="Arial" w:cs="Arial"/>
          <w:sz w:val="24"/>
          <w:szCs w:val="24"/>
        </w:rPr>
      </w:pPr>
      <w:r w:rsidRPr="006C7B87">
        <w:rPr>
          <w:rFonts w:ascii="Arial" w:hAnsi="Arial" w:cs="Arial"/>
          <w:b/>
          <w:bCs/>
          <w:sz w:val="24"/>
          <w:szCs w:val="24"/>
        </w:rPr>
        <w:t>Mental Health</w:t>
      </w:r>
    </w:p>
    <w:p w14:paraId="03A3CB14" w14:textId="77777777" w:rsidR="00682E6E" w:rsidRPr="006C7B87" w:rsidRDefault="00682E6E" w:rsidP="00E4661A">
      <w:pPr>
        <w:numPr>
          <w:ilvl w:val="0"/>
          <w:numId w:val="17"/>
        </w:numPr>
        <w:spacing w:line="480" w:lineRule="auto"/>
        <w:rPr>
          <w:rFonts w:ascii="Arial" w:hAnsi="Arial" w:cs="Arial"/>
          <w:sz w:val="24"/>
          <w:szCs w:val="24"/>
        </w:rPr>
      </w:pPr>
      <w:r w:rsidRPr="006C7B87">
        <w:rPr>
          <w:rFonts w:ascii="Arial" w:hAnsi="Arial" w:cs="Arial"/>
          <w:sz w:val="24"/>
          <w:szCs w:val="24"/>
        </w:rPr>
        <w:t>CAMHS – NHS mental health support for young people</w:t>
      </w:r>
    </w:p>
    <w:p w14:paraId="3DB2750A" w14:textId="77777777" w:rsidR="00682E6E" w:rsidRPr="006C7B87" w:rsidRDefault="00682E6E" w:rsidP="00E4661A">
      <w:pPr>
        <w:numPr>
          <w:ilvl w:val="0"/>
          <w:numId w:val="17"/>
        </w:numPr>
        <w:spacing w:line="480" w:lineRule="auto"/>
        <w:rPr>
          <w:rFonts w:ascii="Arial" w:hAnsi="Arial" w:cs="Arial"/>
          <w:sz w:val="24"/>
          <w:szCs w:val="24"/>
        </w:rPr>
      </w:pPr>
      <w:r w:rsidRPr="006C7B87">
        <w:rPr>
          <w:rFonts w:ascii="Arial" w:hAnsi="Arial" w:cs="Arial"/>
          <w:sz w:val="24"/>
          <w:szCs w:val="24"/>
        </w:rPr>
        <w:t>Mind – a mental health charity offering support for lower</w:t>
      </w:r>
      <w:r w:rsidRPr="006C7B87">
        <w:rPr>
          <w:rFonts w:ascii="Arial" w:hAnsi="Arial" w:cs="Arial"/>
          <w:sz w:val="24"/>
          <w:szCs w:val="24"/>
        </w:rPr>
        <w:noBreakHyphen/>
        <w:t>level mental health needs</w:t>
      </w:r>
    </w:p>
    <w:p w14:paraId="0240D202" w14:textId="77777777" w:rsidR="00682E6E" w:rsidRPr="006C7B87" w:rsidRDefault="00682E6E" w:rsidP="00E4661A">
      <w:pPr>
        <w:numPr>
          <w:ilvl w:val="0"/>
          <w:numId w:val="17"/>
        </w:numPr>
        <w:spacing w:line="480" w:lineRule="auto"/>
        <w:rPr>
          <w:rFonts w:ascii="Arial" w:hAnsi="Arial" w:cs="Arial"/>
          <w:sz w:val="24"/>
          <w:szCs w:val="24"/>
        </w:rPr>
      </w:pPr>
      <w:r w:rsidRPr="006C7B87">
        <w:rPr>
          <w:rFonts w:ascii="Arial" w:hAnsi="Arial" w:cs="Arial"/>
          <w:sz w:val="24"/>
          <w:szCs w:val="24"/>
        </w:rPr>
        <w:t>Conwy Mental Wellness Team – local authority early</w:t>
      </w:r>
      <w:r w:rsidRPr="006C7B87">
        <w:rPr>
          <w:rFonts w:ascii="Arial" w:hAnsi="Arial" w:cs="Arial"/>
          <w:sz w:val="24"/>
          <w:szCs w:val="24"/>
        </w:rPr>
        <w:noBreakHyphen/>
        <w:t>intervention and wellbeing support</w:t>
      </w:r>
    </w:p>
    <w:p w14:paraId="0BC5543F" w14:textId="77777777" w:rsidR="00682E6E" w:rsidRPr="006C7B87" w:rsidRDefault="00682E6E" w:rsidP="00E4661A">
      <w:pPr>
        <w:spacing w:line="480" w:lineRule="auto"/>
        <w:rPr>
          <w:rFonts w:ascii="Arial" w:hAnsi="Arial" w:cs="Arial"/>
          <w:sz w:val="24"/>
          <w:szCs w:val="24"/>
        </w:rPr>
      </w:pPr>
      <w:r w:rsidRPr="006C7B87">
        <w:rPr>
          <w:rFonts w:ascii="Arial" w:hAnsi="Arial" w:cs="Arial"/>
          <w:b/>
          <w:bCs/>
          <w:sz w:val="24"/>
          <w:szCs w:val="24"/>
        </w:rPr>
        <w:t>Employability, Training and Education</w:t>
      </w:r>
    </w:p>
    <w:p w14:paraId="2C3DAD3D" w14:textId="77777777" w:rsidR="00682E6E" w:rsidRPr="006C7B87" w:rsidRDefault="00682E6E" w:rsidP="00E4661A">
      <w:pPr>
        <w:numPr>
          <w:ilvl w:val="0"/>
          <w:numId w:val="18"/>
        </w:numPr>
        <w:spacing w:line="480" w:lineRule="auto"/>
        <w:rPr>
          <w:rFonts w:ascii="Arial" w:hAnsi="Arial" w:cs="Arial"/>
          <w:sz w:val="24"/>
          <w:szCs w:val="24"/>
        </w:rPr>
      </w:pPr>
      <w:r w:rsidRPr="006C7B87">
        <w:rPr>
          <w:rFonts w:ascii="Arial" w:hAnsi="Arial" w:cs="Arial"/>
          <w:sz w:val="24"/>
          <w:szCs w:val="24"/>
        </w:rPr>
        <w:t>Communities for Work – employment, education, and training support for NEET young people</w:t>
      </w:r>
    </w:p>
    <w:p w14:paraId="552BB80B" w14:textId="77777777" w:rsidR="00682E6E" w:rsidRPr="006C7B87" w:rsidRDefault="00682E6E" w:rsidP="00E4661A">
      <w:pPr>
        <w:numPr>
          <w:ilvl w:val="0"/>
          <w:numId w:val="18"/>
        </w:numPr>
        <w:spacing w:line="480" w:lineRule="auto"/>
        <w:rPr>
          <w:rFonts w:ascii="Arial" w:hAnsi="Arial" w:cs="Arial"/>
          <w:sz w:val="24"/>
          <w:szCs w:val="24"/>
        </w:rPr>
      </w:pPr>
      <w:r w:rsidRPr="006C7B87">
        <w:rPr>
          <w:rFonts w:ascii="Arial" w:hAnsi="Arial" w:cs="Arial"/>
          <w:sz w:val="24"/>
          <w:szCs w:val="24"/>
        </w:rPr>
        <w:t>Careers Wales – information, advice, and guidance on education, training, and employment</w:t>
      </w:r>
    </w:p>
    <w:p w14:paraId="0940661D" w14:textId="77777777" w:rsidR="00682E6E" w:rsidRPr="006C7B87" w:rsidRDefault="00682E6E" w:rsidP="00E4661A">
      <w:pPr>
        <w:numPr>
          <w:ilvl w:val="0"/>
          <w:numId w:val="18"/>
        </w:numPr>
        <w:spacing w:line="480" w:lineRule="auto"/>
        <w:rPr>
          <w:rFonts w:ascii="Arial" w:hAnsi="Arial" w:cs="Arial"/>
          <w:sz w:val="24"/>
          <w:szCs w:val="24"/>
        </w:rPr>
      </w:pPr>
      <w:r w:rsidRPr="006C7B87">
        <w:rPr>
          <w:rFonts w:ascii="Arial" w:hAnsi="Arial" w:cs="Arial"/>
          <w:sz w:val="24"/>
          <w:szCs w:val="24"/>
        </w:rPr>
        <w:t>Grŵp Llandrillo Menai – local FE college offering a wide range of vocational courses</w:t>
      </w:r>
    </w:p>
    <w:p w14:paraId="069A15BE" w14:textId="77777777" w:rsidR="00682E6E" w:rsidRPr="006C7B87" w:rsidRDefault="00682E6E" w:rsidP="00E4661A">
      <w:pPr>
        <w:numPr>
          <w:ilvl w:val="0"/>
          <w:numId w:val="18"/>
        </w:numPr>
        <w:spacing w:line="480" w:lineRule="auto"/>
        <w:rPr>
          <w:rFonts w:ascii="Arial" w:hAnsi="Arial" w:cs="Arial"/>
          <w:sz w:val="24"/>
          <w:szCs w:val="24"/>
        </w:rPr>
      </w:pPr>
      <w:r w:rsidRPr="006C7B87">
        <w:rPr>
          <w:rFonts w:ascii="Arial" w:hAnsi="Arial" w:cs="Arial"/>
          <w:sz w:val="24"/>
          <w:szCs w:val="24"/>
        </w:rPr>
        <w:t>Aspire Training – accredited centre offering vocational qualifications</w:t>
      </w:r>
    </w:p>
    <w:p w14:paraId="6040DE22" w14:textId="77777777" w:rsidR="00682E6E" w:rsidRPr="00682E6E" w:rsidRDefault="00682E6E" w:rsidP="00E4661A">
      <w:pPr>
        <w:numPr>
          <w:ilvl w:val="0"/>
          <w:numId w:val="18"/>
        </w:numPr>
        <w:spacing w:line="480" w:lineRule="auto"/>
        <w:rPr>
          <w:rFonts w:ascii="Arial" w:hAnsi="Arial" w:cs="Arial"/>
        </w:rPr>
      </w:pPr>
      <w:r w:rsidRPr="006C7B87">
        <w:rPr>
          <w:rFonts w:ascii="Arial" w:hAnsi="Arial" w:cs="Arial"/>
          <w:sz w:val="24"/>
          <w:szCs w:val="24"/>
        </w:rPr>
        <w:t>COPA – confidence</w:t>
      </w:r>
      <w:r w:rsidRPr="006C7B87">
        <w:rPr>
          <w:rFonts w:ascii="Arial" w:hAnsi="Arial" w:cs="Arial"/>
          <w:sz w:val="24"/>
          <w:szCs w:val="24"/>
        </w:rPr>
        <w:noBreakHyphen/>
        <w:t>building and community</w:t>
      </w:r>
      <w:r w:rsidRPr="006C7B87">
        <w:rPr>
          <w:rFonts w:ascii="Arial" w:hAnsi="Arial" w:cs="Arial"/>
          <w:sz w:val="24"/>
          <w:szCs w:val="24"/>
        </w:rPr>
        <w:noBreakHyphen/>
        <w:t>based</w:t>
      </w:r>
      <w:r w:rsidRPr="00682E6E">
        <w:rPr>
          <w:rFonts w:ascii="Arial" w:hAnsi="Arial" w:cs="Arial"/>
        </w:rPr>
        <w:t xml:space="preserve"> opportunities for young people</w:t>
      </w:r>
    </w:p>
    <w:p w14:paraId="7E138778" w14:textId="77777777" w:rsidR="006C7B87" w:rsidRDefault="006C7B87" w:rsidP="00682E6E">
      <w:pPr>
        <w:rPr>
          <w:rFonts w:ascii="Arial" w:hAnsi="Arial" w:cs="Arial"/>
          <w:b/>
          <w:bCs/>
          <w:sz w:val="24"/>
          <w:szCs w:val="24"/>
        </w:rPr>
      </w:pPr>
    </w:p>
    <w:p w14:paraId="33969C76" w14:textId="193FDF66" w:rsidR="00682E6E" w:rsidRPr="006C7B87" w:rsidRDefault="00682E6E" w:rsidP="00682E6E">
      <w:pPr>
        <w:rPr>
          <w:rFonts w:ascii="Arial" w:hAnsi="Arial" w:cs="Arial"/>
          <w:sz w:val="24"/>
          <w:szCs w:val="24"/>
        </w:rPr>
      </w:pPr>
      <w:r w:rsidRPr="006C7B87">
        <w:rPr>
          <w:rFonts w:ascii="Arial" w:hAnsi="Arial" w:cs="Arial"/>
          <w:b/>
          <w:bCs/>
          <w:sz w:val="24"/>
          <w:szCs w:val="24"/>
        </w:rPr>
        <w:t>The Role of a Trainee Youth Worker</w:t>
      </w:r>
    </w:p>
    <w:p w14:paraId="33FD3A1A" w14:textId="77777777" w:rsidR="00682E6E" w:rsidRPr="006C7B87" w:rsidRDefault="00682E6E" w:rsidP="00E4661A">
      <w:pPr>
        <w:spacing w:line="480" w:lineRule="auto"/>
        <w:rPr>
          <w:rFonts w:ascii="Arial" w:hAnsi="Arial" w:cs="Arial"/>
          <w:sz w:val="24"/>
          <w:szCs w:val="24"/>
        </w:rPr>
      </w:pPr>
      <w:r w:rsidRPr="006C7B87">
        <w:rPr>
          <w:rFonts w:ascii="Arial" w:hAnsi="Arial" w:cs="Arial"/>
          <w:sz w:val="24"/>
          <w:szCs w:val="24"/>
        </w:rPr>
        <w:t>A trainee youth worker at CYEB works directly with young people under the supervision of a lead provision worker, contributing to the planning and delivery of developmental activities. This includes preparing session plans, completing risk assessments, and carrying out evaluations to ensure that each session is purposeful, safe, and responsive to young people’s needs.</w:t>
      </w:r>
    </w:p>
    <w:p w14:paraId="14AACC1E" w14:textId="77777777" w:rsidR="00682E6E" w:rsidRPr="006C7B87" w:rsidRDefault="00682E6E" w:rsidP="00E4661A">
      <w:pPr>
        <w:spacing w:line="480" w:lineRule="auto"/>
        <w:rPr>
          <w:rFonts w:ascii="Arial" w:hAnsi="Arial" w:cs="Arial"/>
          <w:sz w:val="24"/>
          <w:szCs w:val="24"/>
        </w:rPr>
      </w:pPr>
      <w:r w:rsidRPr="006C7B87">
        <w:rPr>
          <w:rFonts w:ascii="Arial" w:hAnsi="Arial" w:cs="Arial"/>
          <w:sz w:val="24"/>
          <w:szCs w:val="24"/>
        </w:rPr>
        <w:t xml:space="preserve">In line with the </w:t>
      </w:r>
      <w:r w:rsidRPr="006C7B87">
        <w:rPr>
          <w:rFonts w:ascii="Arial" w:hAnsi="Arial" w:cs="Arial"/>
          <w:i/>
          <w:iCs/>
          <w:sz w:val="24"/>
          <w:szCs w:val="24"/>
        </w:rPr>
        <w:t>Youth Work Strategy for Wales</w:t>
      </w:r>
      <w:r w:rsidRPr="006C7B87">
        <w:rPr>
          <w:rFonts w:ascii="Arial" w:hAnsi="Arial" w:cs="Arial"/>
          <w:sz w:val="24"/>
          <w:szCs w:val="24"/>
        </w:rPr>
        <w:t xml:space="preserve"> (Welsh Government, 2019), the trainee youth worker is expected to apply relevant youth work theories to their planning and practice, ensuring that sessions reflect the five pillars of youth work in Wales: educative, expressive, participative, inclusive, and empowering (Education Training Standards Wales, 2019).</w:t>
      </w:r>
    </w:p>
    <w:p w14:paraId="2C0E4656" w14:textId="2372F12B" w:rsidR="00E437CC" w:rsidRDefault="00682E6E" w:rsidP="006C7B87">
      <w:pPr>
        <w:spacing w:line="480" w:lineRule="auto"/>
        <w:rPr>
          <w:rFonts w:ascii="Arial" w:hAnsi="Arial" w:cs="Arial"/>
          <w:b/>
          <w:bCs/>
        </w:rPr>
      </w:pPr>
      <w:r w:rsidRPr="006C7B87">
        <w:rPr>
          <w:rFonts w:ascii="Arial" w:hAnsi="Arial" w:cs="Arial"/>
          <w:sz w:val="24"/>
          <w:szCs w:val="24"/>
        </w:rPr>
        <w:t xml:space="preserve">To maintain professional standards, a trainee youth worker must also adhere to organisational and national policies, including GDPR requirements for data handling and confidentiality, as well as safeguarding responsibilities outlined in </w:t>
      </w:r>
      <w:r w:rsidRPr="006C7B87">
        <w:rPr>
          <w:rFonts w:ascii="Arial" w:hAnsi="Arial" w:cs="Arial"/>
          <w:i/>
          <w:iCs/>
          <w:sz w:val="24"/>
          <w:szCs w:val="24"/>
        </w:rPr>
        <w:t>Keeping Learners Safe</w:t>
      </w:r>
      <w:r w:rsidRPr="006C7B87">
        <w:rPr>
          <w:rFonts w:ascii="Arial" w:hAnsi="Arial" w:cs="Arial"/>
          <w:sz w:val="24"/>
          <w:szCs w:val="24"/>
        </w:rPr>
        <w:t xml:space="preserve"> (Welsh Government, 2023). Following these frameworks ensures that practice is ethical, legally compliant, and aligned with the core values of youth work </w:t>
      </w:r>
    </w:p>
    <w:p w14:paraId="0EF04BD3" w14:textId="77777777" w:rsidR="006C7B87" w:rsidRDefault="006C7B87" w:rsidP="006C7B87">
      <w:pPr>
        <w:rPr>
          <w:rFonts w:ascii="Arial" w:hAnsi="Arial" w:cs="Arial"/>
          <w:b/>
          <w:bCs/>
          <w:sz w:val="24"/>
          <w:szCs w:val="24"/>
          <w:u w:val="single"/>
        </w:rPr>
      </w:pPr>
    </w:p>
    <w:p w14:paraId="1BD8BCA8" w14:textId="2BA916F8" w:rsidR="00FD4DF3" w:rsidRPr="00FD4DF3" w:rsidRDefault="00FD4DF3" w:rsidP="00A1013B">
      <w:pPr>
        <w:spacing w:line="480" w:lineRule="auto"/>
        <w:rPr>
          <w:rFonts w:ascii="Arial" w:hAnsi="Arial" w:cs="Arial"/>
          <w:sz w:val="24"/>
          <w:szCs w:val="24"/>
          <w:u w:val="single"/>
        </w:rPr>
      </w:pPr>
      <w:r w:rsidRPr="00FD4DF3">
        <w:rPr>
          <w:rFonts w:ascii="Arial" w:hAnsi="Arial" w:cs="Arial"/>
          <w:b/>
          <w:bCs/>
          <w:sz w:val="24"/>
          <w:szCs w:val="24"/>
          <w:u w:val="single"/>
        </w:rPr>
        <w:t>Placement Report</w:t>
      </w:r>
    </w:p>
    <w:p w14:paraId="64CA47EE"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During my placement with Conwy Youth Engagement and Belonging (CYEB), I observed a range of high</w:t>
      </w:r>
      <w:r w:rsidRPr="00FD4DF3">
        <w:rPr>
          <w:rFonts w:ascii="Arial" w:hAnsi="Arial" w:cs="Arial"/>
          <w:sz w:val="24"/>
          <w:szCs w:val="24"/>
        </w:rPr>
        <w:noBreakHyphen/>
        <w:t>quality youth work practices that took place that the core principles, values, and policy expectations of youth work in Wales. CYEB’s commitment to informal and no formal education, empowerment, voluntary participation, safeguarding and inclusion was clear across all provisions. These practices align closely with the Welsh Government’s strategic vision for youth work, which emphasises rights</w:t>
      </w:r>
      <w:r w:rsidRPr="00FD4DF3">
        <w:rPr>
          <w:rFonts w:ascii="Arial" w:hAnsi="Arial" w:cs="Arial"/>
          <w:sz w:val="24"/>
          <w:szCs w:val="24"/>
        </w:rPr>
        <w:noBreakHyphen/>
        <w:t>based, participatory, and developmental approaches to supporting young people (Welsh Government, 2019; 2024).</w:t>
      </w:r>
    </w:p>
    <w:p w14:paraId="3F365991" w14:textId="77777777" w:rsidR="00FD4DF3" w:rsidRPr="00FD4DF3" w:rsidRDefault="00FD4DF3" w:rsidP="00FD4DF3">
      <w:pPr>
        <w:spacing w:line="480" w:lineRule="auto"/>
        <w:rPr>
          <w:rFonts w:ascii="Arial" w:hAnsi="Arial" w:cs="Arial"/>
          <w:sz w:val="24"/>
          <w:szCs w:val="24"/>
        </w:rPr>
      </w:pPr>
      <w:r w:rsidRPr="00FD4DF3">
        <w:rPr>
          <w:rFonts w:ascii="Arial" w:hAnsi="Arial" w:cs="Arial"/>
          <w:b/>
          <w:bCs/>
          <w:sz w:val="24"/>
          <w:szCs w:val="24"/>
        </w:rPr>
        <w:t>Creating Safe and inclusive spaces for young people</w:t>
      </w:r>
    </w:p>
    <w:p w14:paraId="2316DCEE"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CYEB’s showed constantly inclusivity within their delivery both youth clubs and on targeted provisions. Youth workers created safe, welcoming, and friendly environments. Across all youth club sessions, staff promoted relationship</w:t>
      </w:r>
      <w:r w:rsidRPr="00FD4DF3">
        <w:rPr>
          <w:rFonts w:ascii="Arial" w:hAnsi="Arial" w:cs="Arial"/>
          <w:sz w:val="24"/>
          <w:szCs w:val="24"/>
        </w:rPr>
        <w:noBreakHyphen/>
        <w:t xml:space="preserve">building through informal conversation and shared activities. These interactions occurred naturally during games, creative activities, or even while preparing drinks. Such practice reflects Jeffs and Smith’s (2005) concept of </w:t>
      </w:r>
      <w:r w:rsidRPr="00FD4DF3">
        <w:rPr>
          <w:rFonts w:ascii="Arial" w:hAnsi="Arial" w:cs="Arial"/>
          <w:i/>
          <w:iCs/>
          <w:sz w:val="24"/>
          <w:szCs w:val="24"/>
        </w:rPr>
        <w:t>association</w:t>
      </w:r>
      <w:r w:rsidRPr="00FD4DF3">
        <w:rPr>
          <w:rFonts w:ascii="Arial" w:hAnsi="Arial" w:cs="Arial"/>
          <w:sz w:val="24"/>
          <w:szCs w:val="24"/>
        </w:rPr>
        <w:t>, which highlights the importance of voluntary, non</w:t>
      </w:r>
      <w:r w:rsidRPr="00FD4DF3">
        <w:rPr>
          <w:rFonts w:ascii="Arial" w:hAnsi="Arial" w:cs="Arial"/>
          <w:sz w:val="24"/>
          <w:szCs w:val="24"/>
        </w:rPr>
        <w:noBreakHyphen/>
        <w:t>coercive spaces where young people can form meaningful relationships.</w:t>
      </w:r>
    </w:p>
    <w:p w14:paraId="3F26545A"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These approaches align with the Welsh Government’s (2024) commitment to rights</w:t>
      </w:r>
      <w:r w:rsidRPr="00FD4DF3">
        <w:rPr>
          <w:rFonts w:ascii="Arial" w:hAnsi="Arial" w:cs="Arial"/>
          <w:sz w:val="24"/>
          <w:szCs w:val="24"/>
        </w:rPr>
        <w:noBreakHyphen/>
        <w:t xml:space="preserve">based and inclusive youth work, ensuring that young people feel valued and respected. A clear example of this was the development of the </w:t>
      </w:r>
      <w:r w:rsidRPr="00FD4DF3">
        <w:rPr>
          <w:rFonts w:ascii="Arial" w:hAnsi="Arial" w:cs="Arial"/>
          <w:i/>
          <w:iCs/>
          <w:sz w:val="24"/>
          <w:szCs w:val="24"/>
        </w:rPr>
        <w:t>Thrive</w:t>
      </w:r>
      <w:r w:rsidRPr="00FD4DF3">
        <w:rPr>
          <w:rFonts w:ascii="Arial" w:hAnsi="Arial" w:cs="Arial"/>
          <w:sz w:val="24"/>
          <w:szCs w:val="24"/>
        </w:rPr>
        <w:t xml:space="preserve"> youth clubs, invite</w:t>
      </w:r>
      <w:r w:rsidRPr="00FD4DF3">
        <w:rPr>
          <w:rFonts w:ascii="Arial" w:hAnsi="Arial" w:cs="Arial"/>
          <w:sz w:val="24"/>
          <w:szCs w:val="24"/>
        </w:rPr>
        <w:noBreakHyphen/>
        <w:t xml:space="preserve">only sessions designed for young people who may struggle in busy, traditional youth club environments and focuses highly on wellbeing. These clubs provide a quieter space with more structured sessions across the county, ensuring accessibility </w:t>
      </w:r>
      <w:r w:rsidRPr="00FD4DF3">
        <w:rPr>
          <w:rFonts w:ascii="Arial" w:hAnsi="Arial" w:cs="Arial"/>
          <w:sz w:val="24"/>
          <w:szCs w:val="24"/>
        </w:rPr>
        <w:lastRenderedPageBreak/>
        <w:t>and emotional safety. This reflects the inclusive and expressive cornerstones of youth work in Wales (ETS Wales, 2019).</w:t>
      </w:r>
    </w:p>
    <w:p w14:paraId="3C7EDBE2" w14:textId="77777777" w:rsidR="00FD4DF3" w:rsidRPr="00FD4DF3" w:rsidRDefault="00FD4DF3" w:rsidP="00FD4DF3">
      <w:pPr>
        <w:spacing w:line="480" w:lineRule="auto"/>
        <w:rPr>
          <w:rFonts w:ascii="Arial" w:hAnsi="Arial" w:cs="Arial"/>
          <w:sz w:val="24"/>
          <w:szCs w:val="24"/>
        </w:rPr>
      </w:pPr>
      <w:r w:rsidRPr="00FD4DF3">
        <w:rPr>
          <w:rFonts w:ascii="Arial" w:hAnsi="Arial" w:cs="Arial"/>
          <w:b/>
          <w:bCs/>
          <w:sz w:val="24"/>
          <w:szCs w:val="24"/>
        </w:rPr>
        <w:t>Voluntary Participation and Young People’s Autonomy</w:t>
      </w:r>
    </w:p>
    <w:p w14:paraId="69C6491C"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Voluntary participation is a cornerstone of youth work in Wales, and CYEB consistently stood by this principle. Young people were often free to choose whether to attend sessions, participate in activities, or engage with staff. During one session in a youth club, a group of young people declined to join a non</w:t>
      </w:r>
      <w:r w:rsidRPr="00FD4DF3">
        <w:rPr>
          <w:rFonts w:ascii="Arial" w:hAnsi="Arial" w:cs="Arial"/>
          <w:sz w:val="24"/>
          <w:szCs w:val="24"/>
        </w:rPr>
        <w:noBreakHyphen/>
        <w:t>traditional sports activity. Rather than insisting on participation, the youth worker respected their choice and offered alternative activities that aligned with their interests.</w:t>
      </w:r>
    </w:p>
    <w:p w14:paraId="76EFB978"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 xml:space="preserve">This approach reflects the Youth Work Strategy for Wales, which emphasises participative and empowering practice (Welsh Government, 2019). It also aligns with Freire’s (1970) concept of </w:t>
      </w:r>
      <w:r w:rsidRPr="00FD4DF3">
        <w:rPr>
          <w:rFonts w:ascii="Arial" w:hAnsi="Arial" w:cs="Arial"/>
          <w:i/>
          <w:iCs/>
          <w:sz w:val="24"/>
          <w:szCs w:val="24"/>
        </w:rPr>
        <w:t>dialogue</w:t>
      </w:r>
      <w:r w:rsidRPr="00FD4DF3">
        <w:rPr>
          <w:rFonts w:ascii="Arial" w:hAnsi="Arial" w:cs="Arial"/>
          <w:sz w:val="24"/>
          <w:szCs w:val="24"/>
        </w:rPr>
        <w:t xml:space="preserve">, where learning and engagement emerge through mutual respect rather than coercion. By supporting autonomy, CYEB enabled young people to develop confidence, </w:t>
      </w:r>
      <w:proofErr w:type="gramStart"/>
      <w:r w:rsidRPr="00FD4DF3">
        <w:rPr>
          <w:rFonts w:ascii="Arial" w:hAnsi="Arial" w:cs="Arial"/>
          <w:sz w:val="24"/>
          <w:szCs w:val="24"/>
        </w:rPr>
        <w:t>and  encouraged</w:t>
      </w:r>
      <w:proofErr w:type="gramEnd"/>
      <w:r w:rsidRPr="00FD4DF3">
        <w:rPr>
          <w:rFonts w:ascii="Arial" w:hAnsi="Arial" w:cs="Arial"/>
          <w:sz w:val="24"/>
          <w:szCs w:val="24"/>
        </w:rPr>
        <w:t xml:space="preserve"> intrinsic motivation.</w:t>
      </w:r>
    </w:p>
    <w:p w14:paraId="65AB2BEC" w14:textId="77777777" w:rsidR="00FD4DF3" w:rsidRPr="00FD4DF3" w:rsidRDefault="00FD4DF3" w:rsidP="00FD4DF3">
      <w:pPr>
        <w:spacing w:line="480" w:lineRule="auto"/>
        <w:rPr>
          <w:rFonts w:ascii="Arial" w:hAnsi="Arial" w:cs="Arial"/>
          <w:sz w:val="24"/>
          <w:szCs w:val="24"/>
        </w:rPr>
      </w:pPr>
      <w:r w:rsidRPr="00FD4DF3">
        <w:rPr>
          <w:rFonts w:ascii="Arial" w:hAnsi="Arial" w:cs="Arial"/>
          <w:b/>
          <w:bCs/>
          <w:sz w:val="24"/>
          <w:szCs w:val="24"/>
        </w:rPr>
        <w:t>Informal and Non</w:t>
      </w:r>
      <w:r w:rsidRPr="00FD4DF3">
        <w:rPr>
          <w:rFonts w:ascii="Arial" w:hAnsi="Arial" w:cs="Arial"/>
          <w:b/>
          <w:bCs/>
          <w:sz w:val="24"/>
          <w:szCs w:val="24"/>
        </w:rPr>
        <w:noBreakHyphen/>
        <w:t>Formal Education in Practice</w:t>
      </w:r>
    </w:p>
    <w:p w14:paraId="72C0FC56"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CYEB’s sessions frequently incorporated informal and non</w:t>
      </w:r>
      <w:r w:rsidRPr="00FD4DF3">
        <w:rPr>
          <w:rFonts w:ascii="Arial" w:hAnsi="Arial" w:cs="Arial"/>
          <w:sz w:val="24"/>
          <w:szCs w:val="24"/>
        </w:rPr>
        <w:noBreakHyphen/>
        <w:t>formal learning opportunities, demonstrating the educative cornerstone of youth work. For example, during a targeted session on body image, youth workers facilitated discussions about masculinity. Something which is a very relevant subject particularly with young people. Rather than delivering a formal lesson, they used open questions, peer discussion, and reflective activities. This approach aligns with Kolb’s (1984) experiential learning cycle, where learning occurs through experience, reflection, conceptualisation, and experimentation.</w:t>
      </w:r>
    </w:p>
    <w:p w14:paraId="709D55E4"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lastRenderedPageBreak/>
        <w:t>Another example involved a budgeting activity initiated after young people expressed interest in learning how to manage money. The activity supported the development of practical life skills while maintaining a relaxed, youth</w:t>
      </w:r>
      <w:r w:rsidRPr="00FD4DF3">
        <w:rPr>
          <w:rFonts w:ascii="Arial" w:hAnsi="Arial" w:cs="Arial"/>
          <w:sz w:val="24"/>
          <w:szCs w:val="24"/>
        </w:rPr>
        <w:noBreakHyphen/>
        <w:t>centred environment. Such informal educational practices reflect the Welsh Government’s (2024) emphasis on community</w:t>
      </w:r>
      <w:r w:rsidRPr="00FD4DF3">
        <w:rPr>
          <w:rFonts w:ascii="Arial" w:hAnsi="Arial" w:cs="Arial"/>
          <w:sz w:val="24"/>
          <w:szCs w:val="24"/>
        </w:rPr>
        <w:noBreakHyphen/>
        <w:t>based learning and the development of transferable skills.</w:t>
      </w:r>
    </w:p>
    <w:p w14:paraId="5EF50656" w14:textId="77777777" w:rsidR="00FD4DF3" w:rsidRPr="00FD4DF3" w:rsidRDefault="00FD4DF3" w:rsidP="00FD4DF3">
      <w:pPr>
        <w:spacing w:line="480" w:lineRule="auto"/>
        <w:rPr>
          <w:rFonts w:ascii="Arial" w:hAnsi="Arial" w:cs="Arial"/>
          <w:sz w:val="24"/>
          <w:szCs w:val="24"/>
        </w:rPr>
      </w:pPr>
      <w:r w:rsidRPr="00FD4DF3">
        <w:rPr>
          <w:rFonts w:ascii="Arial" w:hAnsi="Arial" w:cs="Arial"/>
          <w:b/>
          <w:bCs/>
          <w:sz w:val="24"/>
          <w:szCs w:val="24"/>
        </w:rPr>
        <w:t>Empowerment and Youth Voice</w:t>
      </w:r>
    </w:p>
    <w:p w14:paraId="7900EA7B"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CYEB demonstrates a strong commitment to youth voice and empowerment. During my placement, I observed a youth council meeting where young people were invited by the local health board to share their views on the design of a new health</w:t>
      </w:r>
      <w:r w:rsidRPr="00FD4DF3">
        <w:rPr>
          <w:rFonts w:ascii="Arial" w:hAnsi="Arial" w:cs="Arial"/>
          <w:sz w:val="24"/>
          <w:szCs w:val="24"/>
        </w:rPr>
        <w:noBreakHyphen/>
        <w:t>related app. CYEB staff encouraged young people to express their opinions confidently and ensured that their contributions were taken seriously.</w:t>
      </w:r>
    </w:p>
    <w:p w14:paraId="33305756"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 xml:space="preserve">This practice aligns with Hart’s (1992) </w:t>
      </w:r>
      <w:r w:rsidRPr="00FD4DF3">
        <w:rPr>
          <w:rFonts w:ascii="Arial" w:hAnsi="Arial" w:cs="Arial"/>
          <w:i/>
          <w:iCs/>
          <w:sz w:val="24"/>
          <w:szCs w:val="24"/>
        </w:rPr>
        <w:t>Ladder of Participation</w:t>
      </w:r>
      <w:r w:rsidRPr="00FD4DF3">
        <w:rPr>
          <w:rFonts w:ascii="Arial" w:hAnsi="Arial" w:cs="Arial"/>
          <w:sz w:val="24"/>
          <w:szCs w:val="24"/>
        </w:rPr>
        <w:t>, particularly the higher rungs where young people share decision</w:t>
      </w:r>
      <w:r w:rsidRPr="00FD4DF3">
        <w:rPr>
          <w:rFonts w:ascii="Arial" w:hAnsi="Arial" w:cs="Arial"/>
          <w:sz w:val="24"/>
          <w:szCs w:val="24"/>
        </w:rPr>
        <w:noBreakHyphen/>
        <w:t>making power with adults. It also reflects Article 12 of the United Nations Convention on the Rights of the Child (UNCRC), which underpins Welsh youth work policy and emphasises young people’s right to be heard in decisions affecting them (Welsh Government, 2024). By facilitating meaningful participation, CYEB supports the participative and empowering cornerstones of youth work.</w:t>
      </w:r>
    </w:p>
    <w:p w14:paraId="6DBA7CF9" w14:textId="77777777" w:rsidR="00A1013B" w:rsidRDefault="00A1013B" w:rsidP="00FD4DF3">
      <w:pPr>
        <w:spacing w:line="480" w:lineRule="auto"/>
        <w:rPr>
          <w:rFonts w:ascii="Arial" w:hAnsi="Arial" w:cs="Arial"/>
          <w:b/>
          <w:bCs/>
          <w:sz w:val="24"/>
          <w:szCs w:val="24"/>
        </w:rPr>
      </w:pPr>
    </w:p>
    <w:p w14:paraId="60935263" w14:textId="5E9AA50B" w:rsidR="00FD4DF3" w:rsidRPr="00FD4DF3" w:rsidRDefault="00FD4DF3" w:rsidP="00FD4DF3">
      <w:pPr>
        <w:spacing w:line="480" w:lineRule="auto"/>
        <w:rPr>
          <w:rFonts w:ascii="Arial" w:hAnsi="Arial" w:cs="Arial"/>
          <w:sz w:val="24"/>
          <w:szCs w:val="24"/>
        </w:rPr>
      </w:pPr>
      <w:r w:rsidRPr="00FD4DF3">
        <w:rPr>
          <w:rFonts w:ascii="Arial" w:hAnsi="Arial" w:cs="Arial"/>
          <w:b/>
          <w:bCs/>
          <w:sz w:val="24"/>
          <w:szCs w:val="24"/>
        </w:rPr>
        <w:t>Partnership Working</w:t>
      </w:r>
    </w:p>
    <w:p w14:paraId="0ECC7922"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CYEB’s strong partnership working with organisations such as CAMHS, Careers Wales, and the Urdd demonstrates effective multi</w:t>
      </w:r>
      <w:r w:rsidRPr="00FD4DF3">
        <w:rPr>
          <w:rFonts w:ascii="Arial" w:hAnsi="Arial" w:cs="Arial"/>
          <w:sz w:val="24"/>
          <w:szCs w:val="24"/>
        </w:rPr>
        <w:noBreakHyphen/>
        <w:t xml:space="preserve">agency collaboration. For example, during a home visit, a youth worker identified that a young person who was not in education, employment, or training (NEET) would benefit from employability </w:t>
      </w:r>
      <w:r w:rsidRPr="00FD4DF3">
        <w:rPr>
          <w:rFonts w:ascii="Arial" w:hAnsi="Arial" w:cs="Arial"/>
          <w:sz w:val="24"/>
          <w:szCs w:val="24"/>
        </w:rPr>
        <w:lastRenderedPageBreak/>
        <w:t>support. The worker referred the young person directly to Careers Wales, ensuring timely and appropriate intervention.</w:t>
      </w:r>
    </w:p>
    <w:p w14:paraId="554FC6AC"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This approach aligns with the Youth Engagement and Progression Framework, which emphasises early identification and coordinated support for young people at risk of disengagement (Welsh Government, 2013). It also reflects wider Welsh policy expectations for integrated, multi</w:t>
      </w:r>
      <w:r w:rsidRPr="00FD4DF3">
        <w:rPr>
          <w:rFonts w:ascii="Arial" w:hAnsi="Arial" w:cs="Arial"/>
          <w:sz w:val="24"/>
          <w:szCs w:val="24"/>
        </w:rPr>
        <w:noBreakHyphen/>
        <w:t>agency working to meet young people’s holistic needs (Welsh Government, 2019).</w:t>
      </w:r>
    </w:p>
    <w:p w14:paraId="70858C99" w14:textId="77777777" w:rsidR="00FD4DF3" w:rsidRPr="00FD4DF3" w:rsidRDefault="00FD4DF3" w:rsidP="00FD4DF3">
      <w:pPr>
        <w:spacing w:line="480" w:lineRule="auto"/>
        <w:rPr>
          <w:rFonts w:ascii="Arial" w:hAnsi="Arial" w:cs="Arial"/>
          <w:sz w:val="24"/>
          <w:szCs w:val="24"/>
        </w:rPr>
      </w:pPr>
      <w:r w:rsidRPr="00FD4DF3">
        <w:rPr>
          <w:rFonts w:ascii="Arial" w:hAnsi="Arial" w:cs="Arial"/>
          <w:b/>
          <w:bCs/>
          <w:sz w:val="24"/>
          <w:szCs w:val="24"/>
        </w:rPr>
        <w:t>Safeguarding and Ethical Practice</w:t>
      </w:r>
    </w:p>
    <w:p w14:paraId="4E6FBACC" w14:textId="606B86BC"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 xml:space="preserve">Safeguarding </w:t>
      </w:r>
      <w:r w:rsidRPr="00FD4DF3">
        <w:rPr>
          <w:rFonts w:ascii="Arial" w:hAnsi="Arial" w:cs="Arial"/>
          <w:sz w:val="24"/>
          <w:szCs w:val="24"/>
        </w:rPr>
        <w:t>is embedded</w:t>
      </w:r>
      <w:r w:rsidRPr="00FD4DF3">
        <w:rPr>
          <w:rFonts w:ascii="Arial" w:hAnsi="Arial" w:cs="Arial"/>
          <w:sz w:val="24"/>
          <w:szCs w:val="24"/>
        </w:rPr>
        <w:t xml:space="preserve"> in everyday practice throughout my placement. Staff consistently followed procedures outlined in </w:t>
      </w:r>
      <w:r w:rsidRPr="00FD4DF3">
        <w:rPr>
          <w:rFonts w:ascii="Arial" w:hAnsi="Arial" w:cs="Arial"/>
          <w:i/>
          <w:iCs/>
          <w:sz w:val="24"/>
          <w:szCs w:val="24"/>
        </w:rPr>
        <w:t>Keeping Learners Safe</w:t>
      </w:r>
      <w:r w:rsidRPr="00FD4DF3">
        <w:rPr>
          <w:rFonts w:ascii="Arial" w:hAnsi="Arial" w:cs="Arial"/>
          <w:sz w:val="24"/>
          <w:szCs w:val="24"/>
        </w:rPr>
        <w:t xml:space="preserve"> (Welsh Government, 2023), including maintaining professional boundaries, recording safeguarding concerns, and ensuring confidentiality while recognising its limits.</w:t>
      </w:r>
    </w:p>
    <w:p w14:paraId="2F5E0FA2"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 xml:space="preserve">For example, when a young person disclosed that they were experiencing difficulties at home and could no longer remain there, the youth worker responded sensitively and referred them directly to CYEB’s Homelessness Prevention project, </w:t>
      </w:r>
      <w:r w:rsidRPr="00FD4DF3">
        <w:rPr>
          <w:rFonts w:ascii="Arial" w:hAnsi="Arial" w:cs="Arial"/>
          <w:i/>
          <w:iCs/>
          <w:sz w:val="24"/>
          <w:szCs w:val="24"/>
        </w:rPr>
        <w:t>The Oak Tree</w:t>
      </w:r>
      <w:r w:rsidRPr="00FD4DF3">
        <w:rPr>
          <w:rFonts w:ascii="Arial" w:hAnsi="Arial" w:cs="Arial"/>
          <w:sz w:val="24"/>
          <w:szCs w:val="24"/>
        </w:rPr>
        <w:t xml:space="preserve">. This intervention prevented the young person from becoming homeless and aligned with the </w:t>
      </w:r>
      <w:r w:rsidRPr="00FD4DF3">
        <w:rPr>
          <w:rFonts w:ascii="Arial" w:hAnsi="Arial" w:cs="Arial"/>
          <w:i/>
          <w:iCs/>
          <w:sz w:val="24"/>
          <w:szCs w:val="24"/>
        </w:rPr>
        <w:t>Housing (Wales) Act 2014</w:t>
      </w:r>
      <w:r w:rsidRPr="00FD4DF3">
        <w:rPr>
          <w:rFonts w:ascii="Arial" w:hAnsi="Arial" w:cs="Arial"/>
          <w:sz w:val="24"/>
          <w:szCs w:val="24"/>
        </w:rPr>
        <w:t>, which places a legal duty on local authorities to prevent youth homelessness.</w:t>
      </w:r>
    </w:p>
    <w:p w14:paraId="0DF57FB7" w14:textId="77777777" w:rsidR="00A365F2" w:rsidRDefault="00A365F2" w:rsidP="00FD4DF3">
      <w:pPr>
        <w:spacing w:line="480" w:lineRule="auto"/>
        <w:rPr>
          <w:rFonts w:ascii="Arial" w:hAnsi="Arial" w:cs="Arial"/>
          <w:b/>
          <w:bCs/>
          <w:sz w:val="24"/>
          <w:szCs w:val="24"/>
        </w:rPr>
      </w:pPr>
    </w:p>
    <w:p w14:paraId="468A866E" w14:textId="30537D2A" w:rsidR="00FD4DF3" w:rsidRPr="00FD4DF3" w:rsidRDefault="00FD4DF3" w:rsidP="00FD4DF3">
      <w:pPr>
        <w:spacing w:line="480" w:lineRule="auto"/>
        <w:rPr>
          <w:rFonts w:ascii="Arial" w:hAnsi="Arial" w:cs="Arial"/>
          <w:sz w:val="24"/>
          <w:szCs w:val="24"/>
        </w:rPr>
      </w:pPr>
      <w:r w:rsidRPr="00FD4DF3">
        <w:rPr>
          <w:rFonts w:ascii="Arial" w:hAnsi="Arial" w:cs="Arial"/>
          <w:b/>
          <w:bCs/>
          <w:sz w:val="24"/>
          <w:szCs w:val="24"/>
        </w:rPr>
        <w:t>Reflective Practice and Professional Development</w:t>
      </w:r>
    </w:p>
    <w:p w14:paraId="4B53F5DD"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t xml:space="preserve">Reflective practice is central to effective youth work, and CYEB actively promotes this through supervision, debriefs, and team discussions. After each session, staff reflected on successes, challenges, and areas for improvement. This aligns with Schön’s (1983) concept of the </w:t>
      </w:r>
      <w:r w:rsidRPr="00FD4DF3">
        <w:rPr>
          <w:rFonts w:ascii="Arial" w:hAnsi="Arial" w:cs="Arial"/>
          <w:i/>
          <w:iCs/>
          <w:sz w:val="24"/>
          <w:szCs w:val="24"/>
        </w:rPr>
        <w:t>reflective practitioner</w:t>
      </w:r>
      <w:r w:rsidRPr="00FD4DF3">
        <w:rPr>
          <w:rFonts w:ascii="Arial" w:hAnsi="Arial" w:cs="Arial"/>
          <w:sz w:val="24"/>
          <w:szCs w:val="24"/>
        </w:rPr>
        <w:t>, which emphasises learning through reflection</w:t>
      </w:r>
      <w:r w:rsidRPr="00FD4DF3">
        <w:rPr>
          <w:rFonts w:ascii="Arial" w:hAnsi="Arial" w:cs="Arial"/>
          <w:sz w:val="24"/>
          <w:szCs w:val="24"/>
        </w:rPr>
        <w:noBreakHyphen/>
        <w:t>in</w:t>
      </w:r>
      <w:r w:rsidRPr="00FD4DF3">
        <w:rPr>
          <w:rFonts w:ascii="Arial" w:hAnsi="Arial" w:cs="Arial"/>
          <w:sz w:val="24"/>
          <w:szCs w:val="24"/>
        </w:rPr>
        <w:noBreakHyphen/>
        <w:t>action and reflection</w:t>
      </w:r>
      <w:r w:rsidRPr="00FD4DF3">
        <w:rPr>
          <w:rFonts w:ascii="Arial" w:hAnsi="Arial" w:cs="Arial"/>
          <w:sz w:val="24"/>
          <w:szCs w:val="24"/>
        </w:rPr>
        <w:noBreakHyphen/>
        <w:t>on</w:t>
      </w:r>
      <w:r w:rsidRPr="00FD4DF3">
        <w:rPr>
          <w:rFonts w:ascii="Arial" w:hAnsi="Arial" w:cs="Arial"/>
          <w:sz w:val="24"/>
          <w:szCs w:val="24"/>
        </w:rPr>
        <w:noBreakHyphen/>
        <w:t>action.</w:t>
      </w:r>
    </w:p>
    <w:p w14:paraId="6F0BF932" w14:textId="77777777" w:rsidR="00FD4DF3" w:rsidRPr="00FD4DF3" w:rsidRDefault="00FD4DF3" w:rsidP="00FD4DF3">
      <w:pPr>
        <w:spacing w:line="480" w:lineRule="auto"/>
        <w:rPr>
          <w:rFonts w:ascii="Arial" w:hAnsi="Arial" w:cs="Arial"/>
          <w:sz w:val="24"/>
          <w:szCs w:val="24"/>
        </w:rPr>
      </w:pPr>
      <w:r w:rsidRPr="00FD4DF3">
        <w:rPr>
          <w:rFonts w:ascii="Arial" w:hAnsi="Arial" w:cs="Arial"/>
          <w:sz w:val="24"/>
          <w:szCs w:val="24"/>
        </w:rPr>
        <w:lastRenderedPageBreak/>
        <w:t>As a trainee youth worker, I benefited significantly from this reflective culture. Engaging in supervision and reflective journaling helped me link theory to practice, develop greater self</w:t>
      </w:r>
      <w:r w:rsidRPr="00FD4DF3">
        <w:rPr>
          <w:rFonts w:ascii="Arial" w:hAnsi="Arial" w:cs="Arial"/>
          <w:sz w:val="24"/>
          <w:szCs w:val="24"/>
        </w:rPr>
        <w:noBreakHyphen/>
        <w:t>awareness, and build confidence in my role. This aligns with national expectations for youth work training and professional development in Wales (ETS Wales, 2019).</w:t>
      </w:r>
    </w:p>
    <w:p w14:paraId="4CE14A13" w14:textId="77777777" w:rsidR="00FD4DF3" w:rsidRPr="00FD4DF3" w:rsidRDefault="00FD4DF3" w:rsidP="00FD4DF3">
      <w:pPr>
        <w:spacing w:line="480" w:lineRule="auto"/>
        <w:rPr>
          <w:rFonts w:ascii="Arial" w:hAnsi="Arial" w:cs="Arial"/>
          <w:b/>
          <w:bCs/>
          <w:sz w:val="24"/>
          <w:szCs w:val="24"/>
          <w:u w:val="single"/>
        </w:rPr>
      </w:pPr>
    </w:p>
    <w:p w14:paraId="2916427C" w14:textId="77777777" w:rsidR="00FD4DF3" w:rsidRDefault="00FD4DF3" w:rsidP="006C7B87">
      <w:pPr>
        <w:rPr>
          <w:rFonts w:ascii="Arial" w:hAnsi="Arial" w:cs="Arial"/>
          <w:b/>
          <w:bCs/>
          <w:sz w:val="24"/>
          <w:szCs w:val="24"/>
          <w:u w:val="single"/>
        </w:rPr>
      </w:pPr>
    </w:p>
    <w:p w14:paraId="0BD48429" w14:textId="77777777" w:rsidR="00FD4DF3" w:rsidRDefault="00FD4DF3" w:rsidP="006C7B87">
      <w:pPr>
        <w:rPr>
          <w:rFonts w:ascii="Arial" w:hAnsi="Arial" w:cs="Arial"/>
          <w:b/>
          <w:bCs/>
          <w:sz w:val="24"/>
          <w:szCs w:val="24"/>
          <w:u w:val="single"/>
        </w:rPr>
      </w:pPr>
    </w:p>
    <w:p w14:paraId="6B9A846B" w14:textId="77777777" w:rsidR="00FD4DF3" w:rsidRDefault="00FD4DF3" w:rsidP="006C7B87">
      <w:pPr>
        <w:rPr>
          <w:rFonts w:ascii="Arial" w:hAnsi="Arial" w:cs="Arial"/>
          <w:b/>
          <w:bCs/>
          <w:sz w:val="24"/>
          <w:szCs w:val="24"/>
          <w:u w:val="single"/>
        </w:rPr>
      </w:pPr>
    </w:p>
    <w:p w14:paraId="4D8FAC7B" w14:textId="77777777" w:rsidR="00FD4DF3" w:rsidRDefault="00FD4DF3" w:rsidP="006C7B87">
      <w:pPr>
        <w:rPr>
          <w:rFonts w:ascii="Arial" w:hAnsi="Arial" w:cs="Arial"/>
          <w:b/>
          <w:bCs/>
          <w:sz w:val="24"/>
          <w:szCs w:val="24"/>
          <w:u w:val="single"/>
        </w:rPr>
      </w:pPr>
    </w:p>
    <w:p w14:paraId="75749421" w14:textId="77777777" w:rsidR="005B4B39" w:rsidRPr="009E0E01" w:rsidRDefault="005B4B39" w:rsidP="004261ED">
      <w:pPr>
        <w:spacing w:line="480" w:lineRule="auto"/>
        <w:rPr>
          <w:rFonts w:cs="Arial"/>
        </w:rPr>
      </w:pPr>
    </w:p>
    <w:p w14:paraId="1C330627" w14:textId="77777777" w:rsidR="00E437CC" w:rsidRDefault="00E437CC" w:rsidP="00B940B6">
      <w:pPr>
        <w:spacing w:line="480" w:lineRule="auto"/>
        <w:rPr>
          <w:rFonts w:ascii="Arial" w:hAnsi="Arial" w:cs="Arial"/>
          <w:b/>
          <w:bCs/>
        </w:rPr>
      </w:pPr>
    </w:p>
    <w:p w14:paraId="23CAE33A" w14:textId="77777777" w:rsidR="00D5033A" w:rsidRDefault="00D5033A" w:rsidP="00B940B6">
      <w:pPr>
        <w:spacing w:line="480" w:lineRule="auto"/>
        <w:rPr>
          <w:rFonts w:ascii="Arial" w:hAnsi="Arial" w:cs="Arial"/>
          <w:b/>
          <w:bCs/>
        </w:rPr>
      </w:pPr>
    </w:p>
    <w:p w14:paraId="782EEC01" w14:textId="77777777" w:rsidR="00D24841" w:rsidRDefault="00D24841" w:rsidP="00B940B6">
      <w:pPr>
        <w:spacing w:line="480" w:lineRule="auto"/>
        <w:rPr>
          <w:rFonts w:ascii="Arial" w:hAnsi="Arial" w:cs="Arial"/>
          <w:b/>
          <w:bCs/>
        </w:rPr>
      </w:pPr>
    </w:p>
    <w:p w14:paraId="78CE78C4" w14:textId="77777777" w:rsidR="00D24841" w:rsidRDefault="00D24841" w:rsidP="00B940B6">
      <w:pPr>
        <w:spacing w:line="480" w:lineRule="auto"/>
        <w:rPr>
          <w:rFonts w:ascii="Arial" w:hAnsi="Arial" w:cs="Arial"/>
          <w:b/>
          <w:bCs/>
        </w:rPr>
      </w:pPr>
    </w:p>
    <w:p w14:paraId="12A2D5E0" w14:textId="77777777" w:rsidR="00D24841" w:rsidRDefault="00D24841" w:rsidP="00B940B6">
      <w:pPr>
        <w:spacing w:line="480" w:lineRule="auto"/>
        <w:rPr>
          <w:rFonts w:ascii="Arial" w:hAnsi="Arial" w:cs="Arial"/>
          <w:b/>
          <w:bCs/>
        </w:rPr>
      </w:pPr>
    </w:p>
    <w:p w14:paraId="618545CE" w14:textId="77777777" w:rsidR="00D5033A" w:rsidRDefault="00D5033A" w:rsidP="00B940B6">
      <w:pPr>
        <w:spacing w:line="480" w:lineRule="auto"/>
        <w:rPr>
          <w:rFonts w:ascii="Arial" w:hAnsi="Arial" w:cs="Arial"/>
          <w:b/>
          <w:bCs/>
        </w:rPr>
      </w:pPr>
    </w:p>
    <w:p w14:paraId="4C5B220B" w14:textId="1E313F96" w:rsidR="006C7B87" w:rsidRPr="006C7B87" w:rsidRDefault="006C7B87" w:rsidP="006C7B87">
      <w:pPr>
        <w:rPr>
          <w:rFonts w:ascii="Arial" w:hAnsi="Arial" w:cs="Arial"/>
          <w:b/>
          <w:bCs/>
          <w:sz w:val="24"/>
          <w:szCs w:val="24"/>
          <w:u w:val="single"/>
        </w:rPr>
      </w:pPr>
      <w:r w:rsidRPr="006C7B87">
        <w:rPr>
          <w:rFonts w:ascii="Arial" w:hAnsi="Arial" w:cs="Arial"/>
          <w:b/>
          <w:bCs/>
          <w:sz w:val="24"/>
          <w:szCs w:val="24"/>
          <w:u w:val="single"/>
        </w:rPr>
        <w:t xml:space="preserve">Reflective Account of My Time on Placement at CYEB </w:t>
      </w:r>
    </w:p>
    <w:p w14:paraId="5F35E72C" w14:textId="77777777" w:rsidR="006C7B87" w:rsidRPr="006C7B87" w:rsidRDefault="006C7B87" w:rsidP="006C7B87">
      <w:pPr>
        <w:spacing w:line="480" w:lineRule="auto"/>
        <w:rPr>
          <w:rFonts w:ascii="Arial" w:hAnsi="Arial" w:cs="Arial"/>
          <w:sz w:val="24"/>
          <w:szCs w:val="24"/>
        </w:rPr>
      </w:pPr>
      <w:r w:rsidRPr="006C7B87">
        <w:rPr>
          <w:rFonts w:ascii="Arial" w:hAnsi="Arial" w:cs="Arial"/>
          <w:sz w:val="24"/>
          <w:szCs w:val="24"/>
        </w:rPr>
        <w:t xml:space="preserve">My placement with Conwy Youth Engagement and Belonging (CYEB) provided a rich and varied learning experience that significantly shaped my understanding of statutory and preventative youth work in Wales. Throughout my time with the service, I had the opportunity to engage directly with young people in a range of settings, </w:t>
      </w:r>
      <w:r w:rsidRPr="006C7B87">
        <w:rPr>
          <w:rFonts w:ascii="Arial" w:hAnsi="Arial" w:cs="Arial"/>
          <w:sz w:val="24"/>
          <w:szCs w:val="24"/>
        </w:rPr>
        <w:lastRenderedPageBreak/>
        <w:t>including open</w:t>
      </w:r>
      <w:r w:rsidRPr="006C7B87">
        <w:rPr>
          <w:rFonts w:ascii="Cambria Math" w:hAnsi="Cambria Math" w:cs="Cambria Math"/>
          <w:sz w:val="24"/>
          <w:szCs w:val="24"/>
        </w:rPr>
        <w:t>‑</w:t>
      </w:r>
      <w:r w:rsidRPr="006C7B87">
        <w:rPr>
          <w:rFonts w:ascii="Arial" w:hAnsi="Arial" w:cs="Arial"/>
          <w:sz w:val="24"/>
          <w:szCs w:val="24"/>
        </w:rPr>
        <w:t>access youth clubs, structured one</w:t>
      </w:r>
      <w:r w:rsidRPr="006C7B87">
        <w:rPr>
          <w:rFonts w:ascii="Cambria Math" w:hAnsi="Cambria Math" w:cs="Cambria Math"/>
          <w:sz w:val="24"/>
          <w:szCs w:val="24"/>
        </w:rPr>
        <w:t>‑</w:t>
      </w:r>
      <w:r w:rsidRPr="006C7B87">
        <w:rPr>
          <w:rFonts w:ascii="Arial" w:hAnsi="Arial" w:cs="Arial"/>
          <w:sz w:val="24"/>
          <w:szCs w:val="24"/>
        </w:rPr>
        <w:t>to</w:t>
      </w:r>
      <w:r w:rsidRPr="006C7B87">
        <w:rPr>
          <w:rFonts w:ascii="Cambria Math" w:hAnsi="Cambria Math" w:cs="Cambria Math"/>
          <w:sz w:val="24"/>
          <w:szCs w:val="24"/>
        </w:rPr>
        <w:t>‑</w:t>
      </w:r>
      <w:r w:rsidRPr="006C7B87">
        <w:rPr>
          <w:rFonts w:ascii="Arial" w:hAnsi="Arial" w:cs="Arial"/>
          <w:sz w:val="24"/>
          <w:szCs w:val="24"/>
        </w:rPr>
        <w:t>one sessions, home visits, and remote support. These experiences allowed me to develop a deeper appreciation of the complexities of youth work practice, particularly within a trauma</w:t>
      </w:r>
      <w:r w:rsidRPr="006C7B87">
        <w:rPr>
          <w:rFonts w:ascii="Cambria Math" w:hAnsi="Cambria Math" w:cs="Cambria Math"/>
          <w:sz w:val="24"/>
          <w:szCs w:val="24"/>
        </w:rPr>
        <w:t>‑</w:t>
      </w:r>
      <w:r w:rsidRPr="006C7B87">
        <w:rPr>
          <w:rFonts w:ascii="Arial" w:hAnsi="Arial" w:cs="Arial"/>
          <w:sz w:val="24"/>
          <w:szCs w:val="24"/>
        </w:rPr>
        <w:t>informed and rights</w:t>
      </w:r>
      <w:r w:rsidRPr="006C7B87">
        <w:rPr>
          <w:rFonts w:ascii="Cambria Math" w:hAnsi="Cambria Math" w:cs="Cambria Math"/>
          <w:sz w:val="24"/>
          <w:szCs w:val="24"/>
        </w:rPr>
        <w:t>‑</w:t>
      </w:r>
      <w:r w:rsidRPr="006C7B87">
        <w:rPr>
          <w:rFonts w:ascii="Arial" w:hAnsi="Arial" w:cs="Arial"/>
          <w:sz w:val="24"/>
          <w:szCs w:val="24"/>
        </w:rPr>
        <w:t>based framework. CYEB’s ethos emphasises that young people are active participants in their own development, and this principle influenced the way I approached every interaction, encouraging me to act as a facilitator rather than a director of their learning and growth.</w:t>
      </w:r>
    </w:p>
    <w:p w14:paraId="31F27866" w14:textId="77777777" w:rsidR="006C7B87" w:rsidRPr="006C7B87" w:rsidRDefault="006C7B87" w:rsidP="006C7B87">
      <w:pPr>
        <w:spacing w:line="480" w:lineRule="auto"/>
        <w:rPr>
          <w:rFonts w:ascii="Arial" w:hAnsi="Arial" w:cs="Arial"/>
          <w:sz w:val="24"/>
          <w:szCs w:val="24"/>
        </w:rPr>
      </w:pPr>
      <w:r w:rsidRPr="006C7B87">
        <w:rPr>
          <w:rFonts w:ascii="Arial" w:hAnsi="Arial" w:cs="Arial"/>
          <w:sz w:val="24"/>
          <w:szCs w:val="24"/>
        </w:rPr>
        <w:t>One of the most significant aspects of my placement was the opportunity to apply reflective practice to real</w:t>
      </w:r>
      <w:r w:rsidRPr="006C7B87">
        <w:rPr>
          <w:rFonts w:ascii="Cambria Math" w:hAnsi="Cambria Math" w:cs="Cambria Math"/>
          <w:sz w:val="24"/>
          <w:szCs w:val="24"/>
        </w:rPr>
        <w:t>‑</w:t>
      </w:r>
      <w:r w:rsidRPr="006C7B87">
        <w:rPr>
          <w:rFonts w:ascii="Arial" w:hAnsi="Arial" w:cs="Arial"/>
          <w:sz w:val="24"/>
          <w:szCs w:val="24"/>
        </w:rPr>
        <w:t>world situations. Reflection became a crucial tool in helping me understand not only what happened during particular incidents, but also why I responded in certain ways and how I could improve in future. Schön’s (1991) concepts of reflection</w:t>
      </w:r>
      <w:r w:rsidRPr="006C7B87">
        <w:rPr>
          <w:rFonts w:ascii="Cambria Math" w:hAnsi="Cambria Math" w:cs="Cambria Math"/>
          <w:sz w:val="24"/>
          <w:szCs w:val="24"/>
        </w:rPr>
        <w:t>‑</w:t>
      </w:r>
      <w:r w:rsidRPr="006C7B87">
        <w:rPr>
          <w:rFonts w:ascii="Arial" w:hAnsi="Arial" w:cs="Arial"/>
          <w:sz w:val="24"/>
          <w:szCs w:val="24"/>
        </w:rPr>
        <w:t>in</w:t>
      </w:r>
      <w:r w:rsidRPr="006C7B87">
        <w:rPr>
          <w:rFonts w:ascii="Cambria Math" w:hAnsi="Cambria Math" w:cs="Cambria Math"/>
          <w:sz w:val="24"/>
          <w:szCs w:val="24"/>
        </w:rPr>
        <w:t>‑</w:t>
      </w:r>
      <w:r w:rsidRPr="006C7B87">
        <w:rPr>
          <w:rFonts w:ascii="Arial" w:hAnsi="Arial" w:cs="Arial"/>
          <w:sz w:val="24"/>
          <w:szCs w:val="24"/>
        </w:rPr>
        <w:t>action and reflection</w:t>
      </w:r>
      <w:r w:rsidRPr="006C7B87">
        <w:rPr>
          <w:rFonts w:ascii="Cambria Math" w:hAnsi="Cambria Math" w:cs="Cambria Math"/>
          <w:sz w:val="24"/>
          <w:szCs w:val="24"/>
        </w:rPr>
        <w:t>‑</w:t>
      </w:r>
      <w:r w:rsidRPr="006C7B87">
        <w:rPr>
          <w:rFonts w:ascii="Arial" w:hAnsi="Arial" w:cs="Arial"/>
          <w:sz w:val="24"/>
          <w:szCs w:val="24"/>
        </w:rPr>
        <w:t>on</w:t>
      </w:r>
      <w:r w:rsidRPr="006C7B87">
        <w:rPr>
          <w:rFonts w:ascii="Cambria Math" w:hAnsi="Cambria Math" w:cs="Cambria Math"/>
          <w:sz w:val="24"/>
          <w:szCs w:val="24"/>
        </w:rPr>
        <w:t>‑</w:t>
      </w:r>
      <w:r w:rsidRPr="006C7B87">
        <w:rPr>
          <w:rFonts w:ascii="Arial" w:hAnsi="Arial" w:cs="Arial"/>
          <w:sz w:val="24"/>
          <w:szCs w:val="24"/>
        </w:rPr>
        <w:t>action were particularly relevant. For example, during a medical incident in a youth club, I had to make quick decisions to safeguard the young person involved. In that moment, reflection</w:t>
      </w:r>
      <w:r w:rsidRPr="006C7B87">
        <w:rPr>
          <w:rFonts w:ascii="Cambria Math" w:hAnsi="Cambria Math" w:cs="Cambria Math"/>
          <w:sz w:val="24"/>
          <w:szCs w:val="24"/>
        </w:rPr>
        <w:t>‑</w:t>
      </w:r>
      <w:r w:rsidRPr="006C7B87">
        <w:rPr>
          <w:rFonts w:ascii="Arial" w:hAnsi="Arial" w:cs="Arial"/>
          <w:sz w:val="24"/>
          <w:szCs w:val="24"/>
        </w:rPr>
        <w:t>in</w:t>
      </w:r>
      <w:r w:rsidRPr="006C7B87">
        <w:rPr>
          <w:rFonts w:ascii="Cambria Math" w:hAnsi="Cambria Math" w:cs="Cambria Math"/>
          <w:sz w:val="24"/>
          <w:szCs w:val="24"/>
        </w:rPr>
        <w:t>‑</w:t>
      </w:r>
      <w:r w:rsidRPr="006C7B87">
        <w:rPr>
          <w:rFonts w:ascii="Arial" w:hAnsi="Arial" w:cs="Arial"/>
          <w:sz w:val="24"/>
          <w:szCs w:val="24"/>
        </w:rPr>
        <w:t>action guided my immediate response, helping me remain calm and focused despite the pressure of the situation. Later, reflection</w:t>
      </w:r>
      <w:r w:rsidRPr="006C7B87">
        <w:rPr>
          <w:rFonts w:ascii="Cambria Math" w:hAnsi="Cambria Math" w:cs="Cambria Math"/>
          <w:sz w:val="24"/>
          <w:szCs w:val="24"/>
        </w:rPr>
        <w:t>‑</w:t>
      </w:r>
      <w:r w:rsidRPr="006C7B87">
        <w:rPr>
          <w:rFonts w:ascii="Arial" w:hAnsi="Arial" w:cs="Arial"/>
          <w:sz w:val="24"/>
          <w:szCs w:val="24"/>
        </w:rPr>
        <w:t>on</w:t>
      </w:r>
      <w:r w:rsidRPr="006C7B87">
        <w:rPr>
          <w:rFonts w:ascii="Cambria Math" w:hAnsi="Cambria Math" w:cs="Cambria Math"/>
          <w:sz w:val="24"/>
          <w:szCs w:val="24"/>
        </w:rPr>
        <w:t>‑</w:t>
      </w:r>
      <w:r w:rsidRPr="006C7B87">
        <w:rPr>
          <w:rFonts w:ascii="Arial" w:hAnsi="Arial" w:cs="Arial"/>
          <w:sz w:val="24"/>
          <w:szCs w:val="24"/>
        </w:rPr>
        <w:t>action allowed me to evaluate the incident more critically, identifying gaps in communication with the care home and recognising the importance of clearer protocols when working with external agencies.</w:t>
      </w:r>
    </w:p>
    <w:p w14:paraId="3E01ACBC" w14:textId="77777777" w:rsidR="006C7B87" w:rsidRPr="006C7B87" w:rsidRDefault="006C7B87" w:rsidP="006C7B87">
      <w:pPr>
        <w:spacing w:line="480" w:lineRule="auto"/>
        <w:rPr>
          <w:rFonts w:ascii="Arial" w:hAnsi="Arial" w:cs="Arial"/>
          <w:sz w:val="24"/>
          <w:szCs w:val="24"/>
        </w:rPr>
      </w:pPr>
      <w:r w:rsidRPr="006C7B87">
        <w:rPr>
          <w:rFonts w:ascii="Arial" w:hAnsi="Arial" w:cs="Arial"/>
          <w:sz w:val="24"/>
          <w:szCs w:val="24"/>
        </w:rPr>
        <w:t>Another experience that contributed to my reflective development was a mountain</w:t>
      </w:r>
      <w:r w:rsidRPr="006C7B87">
        <w:rPr>
          <w:rFonts w:ascii="Cambria Math" w:hAnsi="Cambria Math" w:cs="Cambria Math"/>
          <w:sz w:val="24"/>
          <w:szCs w:val="24"/>
        </w:rPr>
        <w:t>‑</w:t>
      </w:r>
      <w:r w:rsidRPr="006C7B87">
        <w:rPr>
          <w:rFonts w:ascii="Arial" w:hAnsi="Arial" w:cs="Arial"/>
          <w:sz w:val="24"/>
          <w:szCs w:val="24"/>
        </w:rPr>
        <w:t xml:space="preserve">biking session with a young person. Initially, I agreed to participate without fully considering my own competence or the potential risks involved. During the activity, I became aware that the young person was more skilled than I was, and I found myself learning from him as he taught me techniques and encouraged me to challenge myself. Kolb’s (1984) experiential learning cycle was clearly evident here: the young person engaged in active experimentation and concrete experience, while </w:t>
      </w:r>
      <w:r w:rsidRPr="006C7B87">
        <w:rPr>
          <w:rFonts w:ascii="Arial" w:hAnsi="Arial" w:cs="Arial"/>
          <w:sz w:val="24"/>
          <w:szCs w:val="24"/>
        </w:rPr>
        <w:lastRenderedPageBreak/>
        <w:t>I moved through reflective observation and abstract conceptualisation as I considered how my lack of preparation had influenced the session. This experience highlighted the importance of critically assessing my abilities before engaging in activities, particularly when responsible for the safety and wellbeing of young people.</w:t>
      </w:r>
    </w:p>
    <w:p w14:paraId="614C6D4E" w14:textId="77777777" w:rsidR="006C7B87" w:rsidRPr="006C7B87" w:rsidRDefault="006C7B87" w:rsidP="006C7B87">
      <w:pPr>
        <w:spacing w:line="480" w:lineRule="auto"/>
        <w:rPr>
          <w:rFonts w:ascii="Arial" w:hAnsi="Arial" w:cs="Arial"/>
          <w:sz w:val="24"/>
          <w:szCs w:val="24"/>
        </w:rPr>
      </w:pPr>
      <w:r w:rsidRPr="006C7B87">
        <w:rPr>
          <w:rFonts w:ascii="Arial" w:hAnsi="Arial" w:cs="Arial"/>
          <w:sz w:val="24"/>
          <w:szCs w:val="24"/>
        </w:rPr>
        <w:t>Working in open</w:t>
      </w:r>
      <w:r w:rsidRPr="006C7B87">
        <w:rPr>
          <w:rFonts w:ascii="Cambria Math" w:hAnsi="Cambria Math" w:cs="Cambria Math"/>
          <w:sz w:val="24"/>
          <w:szCs w:val="24"/>
        </w:rPr>
        <w:t>‑</w:t>
      </w:r>
      <w:r w:rsidRPr="006C7B87">
        <w:rPr>
          <w:rFonts w:ascii="Arial" w:hAnsi="Arial" w:cs="Arial"/>
          <w:sz w:val="24"/>
          <w:szCs w:val="24"/>
        </w:rPr>
        <w:t>access youth clubs also provided valuable insights into informal education, a central component of youth work practice. Jeffs and Smith (2010) describe informal education as a process rooted in conversation, relationship</w:t>
      </w:r>
      <w:r w:rsidRPr="006C7B87">
        <w:rPr>
          <w:rFonts w:ascii="Cambria Math" w:hAnsi="Cambria Math" w:cs="Cambria Math"/>
          <w:sz w:val="24"/>
          <w:szCs w:val="24"/>
        </w:rPr>
        <w:t>‑</w:t>
      </w:r>
      <w:r w:rsidRPr="006C7B87">
        <w:rPr>
          <w:rFonts w:ascii="Arial" w:hAnsi="Arial" w:cs="Arial"/>
          <w:sz w:val="24"/>
          <w:szCs w:val="24"/>
        </w:rPr>
        <w:t>building, and everyday interactions. I observed this frequently, particularly when supporting groups of boys who often tested boundaries. Their behaviour, while sometimes challenging, created opportunities to reinforce expectations, model respectful communication, and build trust. These moments demonstrated how informal education can be woven into seemingly ordinary interactions, helping young people develop social skills, emotional awareness, and a sense of belonging.</w:t>
      </w:r>
    </w:p>
    <w:p w14:paraId="4C0A2E57" w14:textId="77777777" w:rsidR="006C7B87" w:rsidRPr="006C7B87" w:rsidRDefault="006C7B87" w:rsidP="006C7B87">
      <w:pPr>
        <w:spacing w:line="480" w:lineRule="auto"/>
        <w:rPr>
          <w:rFonts w:ascii="Arial" w:hAnsi="Arial" w:cs="Arial"/>
          <w:sz w:val="24"/>
          <w:szCs w:val="24"/>
        </w:rPr>
      </w:pPr>
      <w:r w:rsidRPr="006C7B87">
        <w:rPr>
          <w:rFonts w:ascii="Arial" w:hAnsi="Arial" w:cs="Arial"/>
          <w:sz w:val="24"/>
          <w:szCs w:val="24"/>
        </w:rPr>
        <w:t>My placement also deepened my understanding of the importance of professional boundaries. As I built relationships with young people, I became increasingly aware of the need to balance empathy with professionalism. There were moments when I felt emotionally invested in a young person’s situation, particularly when supporting a distressed care leaver or conducting a home visit where safety concerns were present. These experiences taught me that while compassion is essential in youth work, it must be accompanied by clear boundaries to ensure ethical and safe practice. Thompson and Thompson (2018) emphasise that critically reflective practitioners must be aware of their own emotional responses and how these influence their decision</w:t>
      </w:r>
      <w:r w:rsidRPr="006C7B87">
        <w:rPr>
          <w:rFonts w:ascii="Cambria Math" w:hAnsi="Cambria Math" w:cs="Cambria Math"/>
          <w:sz w:val="24"/>
          <w:szCs w:val="24"/>
        </w:rPr>
        <w:t>‑</w:t>
      </w:r>
      <w:r w:rsidRPr="006C7B87">
        <w:rPr>
          <w:rFonts w:ascii="Arial" w:hAnsi="Arial" w:cs="Arial"/>
          <w:sz w:val="24"/>
          <w:szCs w:val="24"/>
        </w:rPr>
        <w:t xml:space="preserve">making. This became a key learning point for me, helping me </w:t>
      </w:r>
      <w:r w:rsidRPr="006C7B87">
        <w:rPr>
          <w:rFonts w:ascii="Arial" w:hAnsi="Arial" w:cs="Arial"/>
          <w:sz w:val="24"/>
          <w:szCs w:val="24"/>
        </w:rPr>
        <w:lastRenderedPageBreak/>
        <w:t>recognise when to step back and avoid allowing my emotions to override my professional judgement.</w:t>
      </w:r>
    </w:p>
    <w:p w14:paraId="3DA093C0" w14:textId="26843C81" w:rsidR="006C7B87" w:rsidRPr="006C7B87" w:rsidRDefault="006C7B87" w:rsidP="006C7B87">
      <w:pPr>
        <w:spacing w:line="480" w:lineRule="auto"/>
        <w:rPr>
          <w:rFonts w:ascii="Arial" w:hAnsi="Arial" w:cs="Arial"/>
          <w:sz w:val="24"/>
          <w:szCs w:val="24"/>
        </w:rPr>
      </w:pPr>
      <w:r w:rsidRPr="006C7B87">
        <w:rPr>
          <w:rFonts w:ascii="Arial" w:hAnsi="Arial" w:cs="Arial"/>
          <w:sz w:val="24"/>
          <w:szCs w:val="24"/>
        </w:rPr>
        <w:t>Inter</w:t>
      </w:r>
      <w:r w:rsidRPr="006C7B87">
        <w:rPr>
          <w:rFonts w:ascii="Cambria Math" w:hAnsi="Cambria Math" w:cs="Cambria Math"/>
          <w:sz w:val="24"/>
          <w:szCs w:val="24"/>
        </w:rPr>
        <w:t>‑</w:t>
      </w:r>
      <w:r w:rsidRPr="006C7B87">
        <w:rPr>
          <w:rFonts w:ascii="Arial" w:hAnsi="Arial" w:cs="Arial"/>
          <w:sz w:val="24"/>
          <w:szCs w:val="24"/>
        </w:rPr>
        <w:t xml:space="preserve">agency working was another significant aspect of my placement. CYEB collaborates closely with schools, social services, family centres, and community organisations, and I saw </w:t>
      </w:r>
      <w:r w:rsidR="00615CB5" w:rsidRPr="006C7B87">
        <w:rPr>
          <w:rFonts w:ascii="Arial" w:hAnsi="Arial" w:cs="Arial"/>
          <w:sz w:val="24"/>
          <w:szCs w:val="24"/>
        </w:rPr>
        <w:t>first</w:t>
      </w:r>
      <w:r w:rsidR="00615CB5">
        <w:rPr>
          <w:rFonts w:ascii="Arial" w:hAnsi="Arial" w:cs="Arial"/>
          <w:sz w:val="24"/>
          <w:szCs w:val="24"/>
        </w:rPr>
        <w:t>h</w:t>
      </w:r>
      <w:r w:rsidR="00615CB5" w:rsidRPr="006C7B87">
        <w:rPr>
          <w:rFonts w:ascii="Arial" w:hAnsi="Arial" w:cs="Arial"/>
          <w:sz w:val="24"/>
          <w:szCs w:val="24"/>
        </w:rPr>
        <w:t>and</w:t>
      </w:r>
      <w:r w:rsidRPr="006C7B87">
        <w:rPr>
          <w:rFonts w:ascii="Arial" w:hAnsi="Arial" w:cs="Arial"/>
          <w:sz w:val="24"/>
          <w:szCs w:val="24"/>
        </w:rPr>
        <w:t xml:space="preserve"> how effective communication between agencies can enhance support for young people. However, I also encountered situations where communication was inconsistent or unclear, which sometimes created challenges in ensuring continuity of care. Reflecting on these experiences reinforced the importance of clear, timely, and coordinated communication, particularly when working with vulnerable young people whose needs span multiple services.</w:t>
      </w:r>
    </w:p>
    <w:p w14:paraId="545105EA" w14:textId="77777777" w:rsidR="006C7B87" w:rsidRPr="006C7B87" w:rsidRDefault="006C7B87" w:rsidP="006C7B87">
      <w:pPr>
        <w:spacing w:line="480" w:lineRule="auto"/>
        <w:rPr>
          <w:rFonts w:ascii="Arial" w:hAnsi="Arial" w:cs="Arial"/>
          <w:sz w:val="24"/>
          <w:szCs w:val="24"/>
        </w:rPr>
      </w:pPr>
      <w:r w:rsidRPr="006C7B87">
        <w:rPr>
          <w:rFonts w:ascii="Arial" w:hAnsi="Arial" w:cs="Arial"/>
          <w:sz w:val="24"/>
          <w:szCs w:val="24"/>
        </w:rPr>
        <w:t>Throughout my placement, I also gained a deeper understanding of trauma</w:t>
      </w:r>
      <w:r w:rsidRPr="006C7B87">
        <w:rPr>
          <w:rFonts w:ascii="Cambria Math" w:hAnsi="Cambria Math" w:cs="Cambria Math"/>
          <w:sz w:val="24"/>
          <w:szCs w:val="24"/>
        </w:rPr>
        <w:t>‑</w:t>
      </w:r>
      <w:r w:rsidRPr="006C7B87">
        <w:rPr>
          <w:rFonts w:ascii="Arial" w:hAnsi="Arial" w:cs="Arial"/>
          <w:sz w:val="24"/>
          <w:szCs w:val="24"/>
        </w:rPr>
        <w:t>informed practice. Many of the young people I worked with had experienced adverse childhood experiences, and CYEB’s trauma</w:t>
      </w:r>
      <w:r w:rsidRPr="006C7B87">
        <w:rPr>
          <w:rFonts w:ascii="Cambria Math" w:hAnsi="Cambria Math" w:cs="Cambria Math"/>
          <w:sz w:val="24"/>
          <w:szCs w:val="24"/>
        </w:rPr>
        <w:t>‑</w:t>
      </w:r>
      <w:r w:rsidRPr="006C7B87">
        <w:rPr>
          <w:rFonts w:ascii="Arial" w:hAnsi="Arial" w:cs="Arial"/>
          <w:sz w:val="24"/>
          <w:szCs w:val="24"/>
        </w:rPr>
        <w:t>informed approach emphasised safety, trust, empowerment, and collaboration. Bath’s (2008) three pillars of trauma</w:t>
      </w:r>
      <w:r w:rsidRPr="006C7B87">
        <w:rPr>
          <w:rFonts w:ascii="Cambria Math" w:hAnsi="Cambria Math" w:cs="Cambria Math"/>
          <w:sz w:val="24"/>
          <w:szCs w:val="24"/>
        </w:rPr>
        <w:t>‑</w:t>
      </w:r>
      <w:r w:rsidRPr="006C7B87">
        <w:rPr>
          <w:rFonts w:ascii="Arial" w:hAnsi="Arial" w:cs="Arial"/>
          <w:sz w:val="24"/>
          <w:szCs w:val="24"/>
        </w:rPr>
        <w:t>informed care—safety, connections, and emotional regulation—were evident in the way staff interacted with young people, created supportive environments, and responded to distress. Observing and applying these principles helped me develop greater sensitivity to the underlying factors influencing behaviour and reinforced the importance of responding with patience, consistency, and empathy.</w:t>
      </w:r>
    </w:p>
    <w:p w14:paraId="435CC1B1" w14:textId="77777777" w:rsidR="006C7B87" w:rsidRPr="006C7B87" w:rsidRDefault="006C7B87" w:rsidP="006C7B87">
      <w:pPr>
        <w:spacing w:line="480" w:lineRule="auto"/>
        <w:rPr>
          <w:rFonts w:ascii="Arial" w:hAnsi="Arial" w:cs="Arial"/>
          <w:sz w:val="24"/>
          <w:szCs w:val="24"/>
        </w:rPr>
      </w:pPr>
      <w:r w:rsidRPr="006C7B87">
        <w:rPr>
          <w:rFonts w:ascii="Arial" w:hAnsi="Arial" w:cs="Arial"/>
          <w:sz w:val="24"/>
          <w:szCs w:val="24"/>
        </w:rPr>
        <w:t xml:space="preserve">Overall, my placement at CYEB has been instrumental in shaping my development as a youth worker. I have gained practical experience, theoretical insight, and a stronger sense of professional identity. I now recognise the importance of reflective practice not as an optional extra, but as an essential component of ethical and effective youth work. I have learned to value the balance between empathy and </w:t>
      </w:r>
      <w:r w:rsidRPr="006C7B87">
        <w:rPr>
          <w:rFonts w:ascii="Arial" w:hAnsi="Arial" w:cs="Arial"/>
          <w:sz w:val="24"/>
          <w:szCs w:val="24"/>
        </w:rPr>
        <w:lastRenderedPageBreak/>
        <w:t>boundaries, the significance of inter</w:t>
      </w:r>
      <w:r w:rsidRPr="006C7B87">
        <w:rPr>
          <w:rFonts w:ascii="Cambria Math" w:hAnsi="Cambria Math" w:cs="Cambria Math"/>
          <w:sz w:val="24"/>
          <w:szCs w:val="24"/>
        </w:rPr>
        <w:t>‑</w:t>
      </w:r>
      <w:r w:rsidRPr="006C7B87">
        <w:rPr>
          <w:rFonts w:ascii="Arial" w:hAnsi="Arial" w:cs="Arial"/>
          <w:sz w:val="24"/>
          <w:szCs w:val="24"/>
        </w:rPr>
        <w:t>agency collaboration, and the power of informal education in supporting young people’s growth.</w:t>
      </w:r>
    </w:p>
    <w:p w14:paraId="345AE92C" w14:textId="77777777" w:rsidR="006C7B87" w:rsidRDefault="006C7B87" w:rsidP="006C7B87">
      <w:pPr>
        <w:spacing w:line="480" w:lineRule="auto"/>
        <w:rPr>
          <w:rFonts w:ascii="Arial" w:hAnsi="Arial" w:cs="Arial"/>
          <w:sz w:val="24"/>
          <w:szCs w:val="24"/>
        </w:rPr>
      </w:pPr>
      <w:r w:rsidRPr="006C7B87">
        <w:rPr>
          <w:rFonts w:ascii="Arial" w:hAnsi="Arial" w:cs="Arial"/>
          <w:sz w:val="24"/>
          <w:szCs w:val="24"/>
        </w:rPr>
        <w:t>Looking ahead, I aim to continue developing my skills in reflective practice, trauma</w:t>
      </w:r>
      <w:r w:rsidRPr="006C7B87">
        <w:rPr>
          <w:rFonts w:ascii="Cambria Math" w:hAnsi="Cambria Math" w:cs="Cambria Math"/>
          <w:sz w:val="24"/>
          <w:szCs w:val="24"/>
        </w:rPr>
        <w:t>‑</w:t>
      </w:r>
      <w:r w:rsidRPr="006C7B87">
        <w:rPr>
          <w:rFonts w:ascii="Arial" w:hAnsi="Arial" w:cs="Arial"/>
          <w:sz w:val="24"/>
          <w:szCs w:val="24"/>
        </w:rPr>
        <w:t>informed approaches, and communication across agencies. My experiences at CYEB have strengthened my commitment to youth support work and increased my confidence in working within statutory frameworks. Most importantly, they have reinforced my belief in the potential of youth work to empower young people, promote resilience, and create meaningful change in their lives.</w:t>
      </w:r>
    </w:p>
    <w:p w14:paraId="6A73E5D3" w14:textId="77777777" w:rsidR="00A365F2" w:rsidRDefault="00A365F2" w:rsidP="006C7B87">
      <w:pPr>
        <w:spacing w:line="480" w:lineRule="auto"/>
        <w:rPr>
          <w:rFonts w:ascii="Arial" w:hAnsi="Arial" w:cs="Arial"/>
          <w:b/>
          <w:bCs/>
          <w:sz w:val="24"/>
          <w:szCs w:val="24"/>
        </w:rPr>
      </w:pPr>
    </w:p>
    <w:p w14:paraId="1588A88B" w14:textId="77777777" w:rsidR="00A365F2" w:rsidRDefault="00A365F2" w:rsidP="006C7B87">
      <w:pPr>
        <w:spacing w:line="480" w:lineRule="auto"/>
        <w:rPr>
          <w:rFonts w:ascii="Arial" w:hAnsi="Arial" w:cs="Arial"/>
          <w:b/>
          <w:bCs/>
          <w:sz w:val="24"/>
          <w:szCs w:val="24"/>
        </w:rPr>
      </w:pPr>
    </w:p>
    <w:p w14:paraId="137663E0" w14:textId="77777777" w:rsidR="00A365F2" w:rsidRDefault="00A365F2" w:rsidP="006C7B87">
      <w:pPr>
        <w:spacing w:line="480" w:lineRule="auto"/>
        <w:rPr>
          <w:rFonts w:ascii="Arial" w:hAnsi="Arial" w:cs="Arial"/>
          <w:b/>
          <w:bCs/>
          <w:sz w:val="24"/>
          <w:szCs w:val="24"/>
        </w:rPr>
      </w:pPr>
    </w:p>
    <w:p w14:paraId="6677DC59" w14:textId="77777777" w:rsidR="00A365F2" w:rsidRDefault="00A365F2" w:rsidP="006C7B87">
      <w:pPr>
        <w:spacing w:line="480" w:lineRule="auto"/>
        <w:rPr>
          <w:rFonts w:ascii="Arial" w:hAnsi="Arial" w:cs="Arial"/>
          <w:b/>
          <w:bCs/>
          <w:sz w:val="24"/>
          <w:szCs w:val="24"/>
        </w:rPr>
      </w:pPr>
    </w:p>
    <w:p w14:paraId="6CCE4F30" w14:textId="77777777" w:rsidR="00A365F2" w:rsidRDefault="00A365F2" w:rsidP="006C7B87">
      <w:pPr>
        <w:spacing w:line="480" w:lineRule="auto"/>
        <w:rPr>
          <w:rFonts w:ascii="Arial" w:hAnsi="Arial" w:cs="Arial"/>
          <w:b/>
          <w:bCs/>
          <w:sz w:val="24"/>
          <w:szCs w:val="24"/>
        </w:rPr>
      </w:pPr>
    </w:p>
    <w:p w14:paraId="1DDCD2AD" w14:textId="77777777" w:rsidR="00A365F2" w:rsidRDefault="00A365F2" w:rsidP="006C7B87">
      <w:pPr>
        <w:spacing w:line="480" w:lineRule="auto"/>
        <w:rPr>
          <w:rFonts w:ascii="Arial" w:hAnsi="Arial" w:cs="Arial"/>
          <w:b/>
          <w:bCs/>
          <w:sz w:val="24"/>
          <w:szCs w:val="24"/>
        </w:rPr>
      </w:pPr>
    </w:p>
    <w:p w14:paraId="5C96D4F3" w14:textId="77777777" w:rsidR="00A365F2" w:rsidRDefault="00A365F2" w:rsidP="006C7B87">
      <w:pPr>
        <w:spacing w:line="480" w:lineRule="auto"/>
        <w:rPr>
          <w:rFonts w:ascii="Arial" w:hAnsi="Arial" w:cs="Arial"/>
          <w:b/>
          <w:bCs/>
          <w:sz w:val="24"/>
          <w:szCs w:val="24"/>
        </w:rPr>
      </w:pPr>
    </w:p>
    <w:p w14:paraId="08A5AE8B" w14:textId="77777777" w:rsidR="00A365F2" w:rsidRDefault="00A365F2" w:rsidP="006C7B87">
      <w:pPr>
        <w:spacing w:line="480" w:lineRule="auto"/>
        <w:rPr>
          <w:rFonts w:ascii="Arial" w:hAnsi="Arial" w:cs="Arial"/>
          <w:b/>
          <w:bCs/>
          <w:sz w:val="24"/>
          <w:szCs w:val="24"/>
        </w:rPr>
      </w:pPr>
    </w:p>
    <w:p w14:paraId="5E65E615" w14:textId="77777777" w:rsidR="00A365F2" w:rsidRDefault="00A365F2" w:rsidP="006C7B87">
      <w:pPr>
        <w:spacing w:line="480" w:lineRule="auto"/>
        <w:rPr>
          <w:rFonts w:ascii="Arial" w:hAnsi="Arial" w:cs="Arial"/>
          <w:b/>
          <w:bCs/>
          <w:sz w:val="24"/>
          <w:szCs w:val="24"/>
        </w:rPr>
      </w:pPr>
    </w:p>
    <w:p w14:paraId="3FAA29AA" w14:textId="5725C0E5" w:rsidR="00FD4DF3" w:rsidRPr="006749F4" w:rsidRDefault="00FD4DF3" w:rsidP="006C7B87">
      <w:pPr>
        <w:spacing w:line="480" w:lineRule="auto"/>
        <w:rPr>
          <w:rFonts w:ascii="Arial" w:hAnsi="Arial" w:cs="Arial"/>
          <w:b/>
          <w:bCs/>
          <w:sz w:val="24"/>
          <w:szCs w:val="24"/>
        </w:rPr>
      </w:pPr>
      <w:r w:rsidRPr="006749F4">
        <w:rPr>
          <w:rFonts w:ascii="Arial" w:hAnsi="Arial" w:cs="Arial"/>
          <w:b/>
          <w:bCs/>
          <w:sz w:val="24"/>
          <w:szCs w:val="24"/>
        </w:rPr>
        <w:t>Appendix</w:t>
      </w:r>
    </w:p>
    <w:p w14:paraId="5A1AA479" w14:textId="687C6304" w:rsidR="006749F4" w:rsidRPr="006749F4" w:rsidRDefault="00514944" w:rsidP="006749F4">
      <w:pPr>
        <w:pStyle w:val="ListParagraph"/>
        <w:numPr>
          <w:ilvl w:val="0"/>
          <w:numId w:val="21"/>
        </w:numPr>
        <w:spacing w:line="480" w:lineRule="auto"/>
        <w:rPr>
          <w:rFonts w:ascii="Arial" w:hAnsi="Arial" w:cs="Arial"/>
          <w:sz w:val="24"/>
          <w:szCs w:val="24"/>
        </w:rPr>
      </w:pPr>
      <w:r w:rsidRPr="006749F4">
        <w:rPr>
          <w:rFonts w:ascii="Arial" w:hAnsi="Arial" w:cs="Arial"/>
          <w:sz w:val="24"/>
          <w:szCs w:val="24"/>
        </w:rPr>
        <w:t>Appendix 1</w:t>
      </w:r>
      <w:r w:rsidR="00AF7907">
        <w:rPr>
          <w:rFonts w:ascii="Arial" w:hAnsi="Arial" w:cs="Arial"/>
          <w:sz w:val="24"/>
          <w:szCs w:val="24"/>
        </w:rPr>
        <w:t xml:space="preserve"> </w:t>
      </w:r>
      <w:r w:rsidR="00AF7907">
        <w:rPr>
          <w:rFonts w:ascii="Arial" w:hAnsi="Arial" w:cs="Arial"/>
          <w:sz w:val="24"/>
          <w:szCs w:val="24"/>
        </w:rPr>
        <w:t>Page 15</w:t>
      </w:r>
      <w:r w:rsidR="00AF7907">
        <w:rPr>
          <w:rFonts w:ascii="Arial" w:hAnsi="Arial" w:cs="Arial"/>
          <w:sz w:val="24"/>
          <w:szCs w:val="24"/>
        </w:rPr>
        <w:t xml:space="preserve"> -</w:t>
      </w:r>
      <w:r w:rsidRPr="006749F4">
        <w:rPr>
          <w:rFonts w:ascii="Arial" w:hAnsi="Arial" w:cs="Arial"/>
          <w:sz w:val="24"/>
          <w:szCs w:val="24"/>
        </w:rPr>
        <w:t xml:space="preserve"> Reflective </w:t>
      </w:r>
      <w:r w:rsidR="006749F4" w:rsidRPr="006749F4">
        <w:rPr>
          <w:rFonts w:ascii="Arial" w:hAnsi="Arial" w:cs="Arial"/>
          <w:sz w:val="24"/>
          <w:szCs w:val="24"/>
        </w:rPr>
        <w:t>Journal:</w:t>
      </w:r>
      <w:r w:rsidR="007C3C9E" w:rsidRPr="006749F4">
        <w:rPr>
          <w:rFonts w:ascii="Arial" w:hAnsi="Arial" w:cs="Arial"/>
          <w:sz w:val="24"/>
          <w:szCs w:val="24"/>
        </w:rPr>
        <w:t xml:space="preserve"> </w:t>
      </w:r>
      <w:r w:rsidR="007C3C9E" w:rsidRPr="006749F4">
        <w:rPr>
          <w:rFonts w:ascii="Arial" w:hAnsi="Arial" w:cs="Arial"/>
          <w:sz w:val="24"/>
          <w:szCs w:val="24"/>
        </w:rPr>
        <w:t>Responding to Crisis and Promoting Ethical Care</w:t>
      </w:r>
      <w:r w:rsidR="00AF7907">
        <w:rPr>
          <w:rFonts w:ascii="Arial" w:hAnsi="Arial" w:cs="Arial"/>
          <w:sz w:val="24"/>
          <w:szCs w:val="24"/>
        </w:rPr>
        <w:t xml:space="preserve"> </w:t>
      </w:r>
    </w:p>
    <w:p w14:paraId="2CD2C250" w14:textId="0C6CB260" w:rsidR="007C3C9E" w:rsidRPr="006749F4" w:rsidRDefault="006749F4" w:rsidP="006749F4">
      <w:pPr>
        <w:pStyle w:val="ListParagraph"/>
        <w:numPr>
          <w:ilvl w:val="0"/>
          <w:numId w:val="21"/>
        </w:numPr>
        <w:spacing w:line="480" w:lineRule="auto"/>
        <w:rPr>
          <w:rFonts w:ascii="Arial" w:hAnsi="Arial" w:cs="Arial"/>
          <w:sz w:val="24"/>
          <w:szCs w:val="24"/>
        </w:rPr>
      </w:pPr>
      <w:r w:rsidRPr="006749F4">
        <w:rPr>
          <w:rFonts w:ascii="Arial" w:hAnsi="Arial" w:cs="Arial"/>
          <w:sz w:val="24"/>
          <w:szCs w:val="24"/>
        </w:rPr>
        <w:t>Appendix</w:t>
      </w:r>
      <w:r w:rsidR="007C3C9E" w:rsidRPr="006749F4">
        <w:rPr>
          <w:rFonts w:ascii="Arial" w:hAnsi="Arial" w:cs="Arial"/>
          <w:sz w:val="24"/>
          <w:szCs w:val="24"/>
        </w:rPr>
        <w:t xml:space="preserve"> 2 </w:t>
      </w:r>
      <w:r w:rsidR="00AF7907">
        <w:rPr>
          <w:rFonts w:ascii="Arial" w:hAnsi="Arial" w:cs="Arial"/>
          <w:sz w:val="24"/>
          <w:szCs w:val="24"/>
        </w:rPr>
        <w:t>Page 18 -</w:t>
      </w:r>
      <w:r w:rsidR="007C3C9E" w:rsidRPr="006749F4">
        <w:rPr>
          <w:rFonts w:ascii="Arial" w:hAnsi="Arial" w:cs="Arial"/>
          <w:sz w:val="24"/>
          <w:szCs w:val="24"/>
        </w:rPr>
        <w:t xml:space="preserve">Reflective Journal: </w:t>
      </w:r>
      <w:r w:rsidR="007C3C9E" w:rsidRPr="006749F4">
        <w:rPr>
          <w:rFonts w:ascii="Arial" w:hAnsi="Arial" w:cs="Arial"/>
          <w:sz w:val="24"/>
          <w:szCs w:val="24"/>
        </w:rPr>
        <w:t>Supporting a Care Leaver Facing Future Homelessness</w:t>
      </w:r>
      <w:r w:rsidR="00AF7907">
        <w:rPr>
          <w:rFonts w:ascii="Arial" w:hAnsi="Arial" w:cs="Arial"/>
          <w:sz w:val="24"/>
          <w:szCs w:val="24"/>
        </w:rPr>
        <w:t xml:space="preserve"> Page</w:t>
      </w:r>
    </w:p>
    <w:p w14:paraId="598BA376" w14:textId="4DBB0826" w:rsidR="007C3C9E" w:rsidRPr="006749F4" w:rsidRDefault="007C3C9E" w:rsidP="006749F4">
      <w:pPr>
        <w:pStyle w:val="ListParagraph"/>
        <w:numPr>
          <w:ilvl w:val="0"/>
          <w:numId w:val="21"/>
        </w:numPr>
        <w:spacing w:line="480" w:lineRule="auto"/>
        <w:rPr>
          <w:rFonts w:ascii="Arial" w:hAnsi="Arial" w:cs="Arial"/>
          <w:sz w:val="24"/>
          <w:szCs w:val="24"/>
        </w:rPr>
      </w:pPr>
      <w:r w:rsidRPr="006749F4">
        <w:rPr>
          <w:rFonts w:ascii="Arial" w:hAnsi="Arial" w:cs="Arial"/>
          <w:sz w:val="24"/>
          <w:szCs w:val="24"/>
        </w:rPr>
        <w:t>Appendix 3</w:t>
      </w:r>
      <w:r w:rsidR="00AF7907">
        <w:rPr>
          <w:rFonts w:ascii="Arial" w:hAnsi="Arial" w:cs="Arial"/>
          <w:sz w:val="24"/>
          <w:szCs w:val="24"/>
        </w:rPr>
        <w:t xml:space="preserve"> Page 22</w:t>
      </w:r>
      <w:r w:rsidR="00953DD2">
        <w:rPr>
          <w:rFonts w:ascii="Arial" w:hAnsi="Arial" w:cs="Arial"/>
          <w:sz w:val="24"/>
          <w:szCs w:val="24"/>
        </w:rPr>
        <w:t xml:space="preserve"> -</w:t>
      </w:r>
      <w:r w:rsidR="006749F4" w:rsidRPr="006749F4">
        <w:rPr>
          <w:rFonts w:ascii="Arial" w:hAnsi="Arial" w:cs="Arial"/>
          <w:sz w:val="24"/>
          <w:szCs w:val="24"/>
        </w:rPr>
        <w:t>Reflective</w:t>
      </w:r>
      <w:r w:rsidRPr="006749F4">
        <w:rPr>
          <w:rFonts w:ascii="Arial" w:hAnsi="Arial" w:cs="Arial"/>
          <w:sz w:val="24"/>
          <w:szCs w:val="24"/>
        </w:rPr>
        <w:t xml:space="preserve"> Journal: Do all dogs bite?</w:t>
      </w:r>
    </w:p>
    <w:p w14:paraId="6B0963E2" w14:textId="47A72ED6" w:rsidR="007C3C9E" w:rsidRPr="006749F4" w:rsidRDefault="007C3C9E" w:rsidP="006749F4">
      <w:pPr>
        <w:pStyle w:val="ListParagraph"/>
        <w:numPr>
          <w:ilvl w:val="0"/>
          <w:numId w:val="21"/>
        </w:numPr>
        <w:spacing w:line="480" w:lineRule="auto"/>
        <w:rPr>
          <w:rFonts w:ascii="Arial" w:hAnsi="Arial" w:cs="Arial"/>
          <w:sz w:val="24"/>
          <w:szCs w:val="24"/>
        </w:rPr>
      </w:pPr>
      <w:r w:rsidRPr="006749F4">
        <w:rPr>
          <w:rFonts w:ascii="Arial" w:hAnsi="Arial" w:cs="Arial"/>
          <w:sz w:val="24"/>
          <w:szCs w:val="24"/>
        </w:rPr>
        <w:t xml:space="preserve">Appendix 4: </w:t>
      </w:r>
      <w:r w:rsidR="00AF7907">
        <w:rPr>
          <w:rFonts w:ascii="Arial" w:hAnsi="Arial" w:cs="Arial"/>
          <w:sz w:val="24"/>
          <w:szCs w:val="24"/>
        </w:rPr>
        <w:t>Page 26</w:t>
      </w:r>
      <w:r w:rsidR="00953DD2">
        <w:rPr>
          <w:rFonts w:ascii="Arial" w:hAnsi="Arial" w:cs="Arial"/>
          <w:sz w:val="24"/>
          <w:szCs w:val="24"/>
        </w:rPr>
        <w:t xml:space="preserve"> -</w:t>
      </w:r>
      <w:r w:rsidR="00AF7907">
        <w:rPr>
          <w:rFonts w:ascii="Arial" w:hAnsi="Arial" w:cs="Arial"/>
          <w:sz w:val="24"/>
          <w:szCs w:val="24"/>
        </w:rPr>
        <w:t xml:space="preserve"> </w:t>
      </w:r>
      <w:r w:rsidRPr="006749F4">
        <w:rPr>
          <w:rFonts w:ascii="Arial" w:hAnsi="Arial" w:cs="Arial"/>
          <w:sz w:val="24"/>
          <w:szCs w:val="24"/>
        </w:rPr>
        <w:t xml:space="preserve">Reflective Journal: </w:t>
      </w:r>
      <w:r w:rsidRPr="006749F4">
        <w:rPr>
          <w:rFonts w:ascii="Arial" w:hAnsi="Arial" w:cs="Arial"/>
          <w:sz w:val="24"/>
          <w:szCs w:val="24"/>
        </w:rPr>
        <w:t>Could have got out of hand?</w:t>
      </w:r>
    </w:p>
    <w:p w14:paraId="53B1F5A4" w14:textId="6BAFDB6E" w:rsidR="007C3C9E" w:rsidRDefault="006749F4" w:rsidP="006749F4">
      <w:pPr>
        <w:pStyle w:val="ListParagraph"/>
        <w:numPr>
          <w:ilvl w:val="0"/>
          <w:numId w:val="21"/>
        </w:numPr>
        <w:spacing w:line="480" w:lineRule="auto"/>
        <w:rPr>
          <w:rFonts w:ascii="Arial" w:hAnsi="Arial" w:cs="Arial"/>
          <w:sz w:val="24"/>
          <w:szCs w:val="24"/>
        </w:rPr>
      </w:pPr>
      <w:r w:rsidRPr="006749F4">
        <w:rPr>
          <w:rFonts w:ascii="Arial" w:hAnsi="Arial" w:cs="Arial"/>
          <w:sz w:val="24"/>
          <w:szCs w:val="24"/>
        </w:rPr>
        <w:t>Appendix</w:t>
      </w:r>
      <w:r w:rsidR="00953DD2">
        <w:rPr>
          <w:rFonts w:ascii="Arial" w:hAnsi="Arial" w:cs="Arial"/>
          <w:sz w:val="24"/>
          <w:szCs w:val="24"/>
        </w:rPr>
        <w:t xml:space="preserve"> 5: Page 29- </w:t>
      </w:r>
      <w:r w:rsidR="00953DD2" w:rsidRPr="006749F4">
        <w:rPr>
          <w:rFonts w:ascii="Arial" w:hAnsi="Arial" w:cs="Arial"/>
          <w:sz w:val="24"/>
          <w:szCs w:val="24"/>
        </w:rPr>
        <w:t>Reflective</w:t>
      </w:r>
      <w:r w:rsidR="007C3C9E" w:rsidRPr="006749F4">
        <w:rPr>
          <w:rFonts w:ascii="Arial" w:hAnsi="Arial" w:cs="Arial"/>
          <w:sz w:val="24"/>
          <w:szCs w:val="24"/>
        </w:rPr>
        <w:t xml:space="preserve"> Journal: Finding my balance</w:t>
      </w:r>
      <w:r w:rsidRPr="006749F4">
        <w:rPr>
          <w:rFonts w:ascii="Arial" w:hAnsi="Arial" w:cs="Arial"/>
          <w:sz w:val="24"/>
          <w:szCs w:val="24"/>
        </w:rPr>
        <w:t>.</w:t>
      </w:r>
    </w:p>
    <w:p w14:paraId="244F9A6D" w14:textId="77777777" w:rsidR="00953DD2" w:rsidRPr="006749F4" w:rsidRDefault="00953DD2" w:rsidP="00B8717E">
      <w:pPr>
        <w:pStyle w:val="ListParagraph"/>
        <w:spacing w:line="480" w:lineRule="auto"/>
        <w:rPr>
          <w:rFonts w:ascii="Arial" w:hAnsi="Arial" w:cs="Arial"/>
          <w:sz w:val="24"/>
          <w:szCs w:val="24"/>
        </w:rPr>
      </w:pPr>
    </w:p>
    <w:p w14:paraId="2C7FF11C" w14:textId="2C754FA1" w:rsidR="007C3C9E" w:rsidRDefault="007C3C9E" w:rsidP="006C7B87">
      <w:pPr>
        <w:spacing w:line="480" w:lineRule="auto"/>
        <w:rPr>
          <w:rFonts w:ascii="Arial" w:hAnsi="Arial" w:cs="Arial"/>
          <w:sz w:val="24"/>
          <w:szCs w:val="24"/>
        </w:rPr>
      </w:pPr>
    </w:p>
    <w:p w14:paraId="674E71D8" w14:textId="77777777" w:rsidR="006749F4" w:rsidRDefault="006749F4" w:rsidP="00FD4DF3">
      <w:pPr>
        <w:rPr>
          <w:rFonts w:ascii="Arial" w:hAnsi="Arial" w:cs="Arial"/>
          <w:b/>
          <w:bCs/>
          <w:sz w:val="24"/>
          <w:szCs w:val="24"/>
          <w:u w:val="single"/>
        </w:rPr>
      </w:pPr>
    </w:p>
    <w:p w14:paraId="0923F37B" w14:textId="77777777" w:rsidR="006749F4" w:rsidRDefault="006749F4" w:rsidP="00FD4DF3">
      <w:pPr>
        <w:rPr>
          <w:rFonts w:ascii="Arial" w:hAnsi="Arial" w:cs="Arial"/>
          <w:b/>
          <w:bCs/>
          <w:sz w:val="24"/>
          <w:szCs w:val="24"/>
          <w:u w:val="single"/>
        </w:rPr>
      </w:pPr>
    </w:p>
    <w:p w14:paraId="1C03198E" w14:textId="77777777" w:rsidR="006749F4" w:rsidRDefault="006749F4" w:rsidP="00FD4DF3">
      <w:pPr>
        <w:rPr>
          <w:rFonts w:ascii="Arial" w:hAnsi="Arial" w:cs="Arial"/>
          <w:b/>
          <w:bCs/>
          <w:sz w:val="24"/>
          <w:szCs w:val="24"/>
          <w:u w:val="single"/>
        </w:rPr>
      </w:pPr>
    </w:p>
    <w:p w14:paraId="74C8B6BA" w14:textId="77777777" w:rsidR="006749F4" w:rsidRDefault="006749F4" w:rsidP="00FD4DF3">
      <w:pPr>
        <w:rPr>
          <w:rFonts w:ascii="Arial" w:hAnsi="Arial" w:cs="Arial"/>
          <w:b/>
          <w:bCs/>
          <w:sz w:val="24"/>
          <w:szCs w:val="24"/>
          <w:u w:val="single"/>
        </w:rPr>
      </w:pPr>
    </w:p>
    <w:p w14:paraId="31242882" w14:textId="77777777" w:rsidR="006749F4" w:rsidRDefault="006749F4" w:rsidP="00FD4DF3">
      <w:pPr>
        <w:rPr>
          <w:rFonts w:ascii="Arial" w:hAnsi="Arial" w:cs="Arial"/>
          <w:b/>
          <w:bCs/>
          <w:sz w:val="24"/>
          <w:szCs w:val="24"/>
          <w:u w:val="single"/>
        </w:rPr>
      </w:pPr>
    </w:p>
    <w:p w14:paraId="5DD3EF53" w14:textId="77777777" w:rsidR="006749F4" w:rsidRDefault="006749F4" w:rsidP="00FD4DF3">
      <w:pPr>
        <w:rPr>
          <w:rFonts w:ascii="Arial" w:hAnsi="Arial" w:cs="Arial"/>
          <w:b/>
          <w:bCs/>
          <w:sz w:val="24"/>
          <w:szCs w:val="24"/>
          <w:u w:val="single"/>
        </w:rPr>
      </w:pPr>
    </w:p>
    <w:p w14:paraId="2B95C578" w14:textId="77777777" w:rsidR="006749F4" w:rsidRDefault="006749F4" w:rsidP="00FD4DF3">
      <w:pPr>
        <w:rPr>
          <w:rFonts w:ascii="Arial" w:hAnsi="Arial" w:cs="Arial"/>
          <w:b/>
          <w:bCs/>
          <w:sz w:val="24"/>
          <w:szCs w:val="24"/>
          <w:u w:val="single"/>
        </w:rPr>
      </w:pPr>
    </w:p>
    <w:p w14:paraId="4B514C07" w14:textId="77777777" w:rsidR="006749F4" w:rsidRDefault="006749F4" w:rsidP="00FD4DF3">
      <w:pPr>
        <w:rPr>
          <w:rFonts w:ascii="Arial" w:hAnsi="Arial" w:cs="Arial"/>
          <w:b/>
          <w:bCs/>
          <w:sz w:val="24"/>
          <w:szCs w:val="24"/>
          <w:u w:val="single"/>
        </w:rPr>
      </w:pPr>
    </w:p>
    <w:p w14:paraId="5AAA21DE" w14:textId="77777777" w:rsidR="006749F4" w:rsidRDefault="006749F4" w:rsidP="00FD4DF3">
      <w:pPr>
        <w:rPr>
          <w:rFonts w:ascii="Arial" w:hAnsi="Arial" w:cs="Arial"/>
          <w:b/>
          <w:bCs/>
          <w:sz w:val="24"/>
          <w:szCs w:val="24"/>
          <w:u w:val="single"/>
        </w:rPr>
      </w:pPr>
    </w:p>
    <w:p w14:paraId="3EF45D2C" w14:textId="77777777" w:rsidR="006749F4" w:rsidRDefault="006749F4" w:rsidP="00FD4DF3">
      <w:pPr>
        <w:rPr>
          <w:rFonts w:ascii="Arial" w:hAnsi="Arial" w:cs="Arial"/>
          <w:b/>
          <w:bCs/>
          <w:sz w:val="24"/>
          <w:szCs w:val="24"/>
          <w:u w:val="single"/>
        </w:rPr>
      </w:pPr>
    </w:p>
    <w:p w14:paraId="0F574D82" w14:textId="77777777" w:rsidR="006749F4" w:rsidRDefault="006749F4" w:rsidP="00FD4DF3">
      <w:pPr>
        <w:rPr>
          <w:rFonts w:ascii="Arial" w:hAnsi="Arial" w:cs="Arial"/>
          <w:b/>
          <w:bCs/>
          <w:sz w:val="24"/>
          <w:szCs w:val="24"/>
          <w:u w:val="single"/>
        </w:rPr>
      </w:pPr>
    </w:p>
    <w:p w14:paraId="2D4DAA5E" w14:textId="77777777" w:rsidR="006749F4" w:rsidRDefault="006749F4" w:rsidP="00FD4DF3">
      <w:pPr>
        <w:rPr>
          <w:rFonts w:ascii="Arial" w:hAnsi="Arial" w:cs="Arial"/>
          <w:b/>
          <w:bCs/>
          <w:sz w:val="24"/>
          <w:szCs w:val="24"/>
          <w:u w:val="single"/>
        </w:rPr>
      </w:pPr>
    </w:p>
    <w:p w14:paraId="311A7248" w14:textId="77777777" w:rsidR="006749F4" w:rsidRDefault="006749F4" w:rsidP="00FD4DF3">
      <w:pPr>
        <w:rPr>
          <w:rFonts w:ascii="Arial" w:hAnsi="Arial" w:cs="Arial"/>
          <w:b/>
          <w:bCs/>
          <w:sz w:val="24"/>
          <w:szCs w:val="24"/>
          <w:u w:val="single"/>
        </w:rPr>
      </w:pPr>
    </w:p>
    <w:p w14:paraId="172ADE56" w14:textId="77777777" w:rsidR="006749F4" w:rsidRDefault="006749F4" w:rsidP="00FD4DF3">
      <w:pPr>
        <w:rPr>
          <w:rFonts w:ascii="Arial" w:hAnsi="Arial" w:cs="Arial"/>
          <w:b/>
          <w:bCs/>
          <w:sz w:val="24"/>
          <w:szCs w:val="24"/>
          <w:u w:val="single"/>
        </w:rPr>
      </w:pPr>
    </w:p>
    <w:p w14:paraId="3B3FEE3F" w14:textId="77777777" w:rsidR="006749F4" w:rsidRDefault="006749F4" w:rsidP="00FD4DF3">
      <w:pPr>
        <w:rPr>
          <w:rFonts w:ascii="Arial" w:hAnsi="Arial" w:cs="Arial"/>
          <w:b/>
          <w:bCs/>
          <w:sz w:val="24"/>
          <w:szCs w:val="24"/>
          <w:u w:val="single"/>
        </w:rPr>
      </w:pPr>
    </w:p>
    <w:p w14:paraId="086530EE" w14:textId="77777777" w:rsidR="006749F4" w:rsidRDefault="006749F4" w:rsidP="00FD4DF3">
      <w:pPr>
        <w:rPr>
          <w:rFonts w:ascii="Arial" w:hAnsi="Arial" w:cs="Arial"/>
          <w:b/>
          <w:bCs/>
          <w:sz w:val="24"/>
          <w:szCs w:val="24"/>
          <w:u w:val="single"/>
        </w:rPr>
      </w:pPr>
    </w:p>
    <w:p w14:paraId="47368D8E" w14:textId="77777777" w:rsidR="006749F4" w:rsidRDefault="006749F4" w:rsidP="00FD4DF3">
      <w:pPr>
        <w:rPr>
          <w:rFonts w:ascii="Arial" w:hAnsi="Arial" w:cs="Arial"/>
          <w:b/>
          <w:bCs/>
          <w:sz w:val="24"/>
          <w:szCs w:val="24"/>
          <w:u w:val="single"/>
        </w:rPr>
      </w:pPr>
    </w:p>
    <w:p w14:paraId="6B0BF11F" w14:textId="77777777" w:rsidR="006749F4" w:rsidRDefault="006749F4" w:rsidP="00FD4DF3">
      <w:pPr>
        <w:rPr>
          <w:rFonts w:ascii="Arial" w:hAnsi="Arial" w:cs="Arial"/>
          <w:b/>
          <w:bCs/>
          <w:sz w:val="24"/>
          <w:szCs w:val="24"/>
          <w:u w:val="single"/>
        </w:rPr>
      </w:pPr>
    </w:p>
    <w:p w14:paraId="1A7F7E94" w14:textId="12E15F26" w:rsidR="00FD4DF3" w:rsidRPr="006C7B87" w:rsidRDefault="00FD4DF3" w:rsidP="00FD4DF3">
      <w:pPr>
        <w:rPr>
          <w:rFonts w:ascii="Arial" w:hAnsi="Arial" w:cs="Arial"/>
          <w:b/>
          <w:bCs/>
          <w:sz w:val="24"/>
          <w:szCs w:val="24"/>
          <w:u w:val="single"/>
        </w:rPr>
      </w:pPr>
      <w:r w:rsidRPr="006C7B87">
        <w:rPr>
          <w:rFonts w:ascii="Arial" w:hAnsi="Arial" w:cs="Arial"/>
          <w:b/>
          <w:bCs/>
          <w:sz w:val="24"/>
          <w:szCs w:val="24"/>
          <w:u w:val="single"/>
        </w:rPr>
        <w:t>Reflective Journal: Responding to Crisis and Promoting Ethical Care</w:t>
      </w:r>
    </w:p>
    <w:p w14:paraId="2827C60A" w14:textId="77777777" w:rsidR="00FD4DF3" w:rsidRPr="006C7B87" w:rsidRDefault="00FD4DF3" w:rsidP="00FD4DF3">
      <w:pPr>
        <w:spacing w:line="480" w:lineRule="auto"/>
        <w:rPr>
          <w:rFonts w:ascii="Arial" w:hAnsi="Arial" w:cs="Arial"/>
          <w:sz w:val="24"/>
          <w:szCs w:val="24"/>
        </w:rPr>
      </w:pPr>
      <w:r w:rsidRPr="006C7B87">
        <w:rPr>
          <w:rFonts w:ascii="Arial" w:hAnsi="Arial" w:cs="Arial"/>
          <w:b/>
          <w:bCs/>
          <w:sz w:val="24"/>
          <w:szCs w:val="24"/>
        </w:rPr>
        <w:t>Introduction</w:t>
      </w:r>
      <w:r w:rsidRPr="006C7B87">
        <w:rPr>
          <w:rFonts w:ascii="Arial" w:hAnsi="Arial" w:cs="Arial"/>
          <w:sz w:val="24"/>
          <w:szCs w:val="24"/>
        </w:rPr>
        <w:br/>
        <w:t xml:space="preserve">This reflection explores a critical incident during a youth club session involving a looked-after child (LAC) who experienced a medical episode. The situation required immediate action, emotional resilience, and inter-agency communication. The reflection is grounded in Donald Schön’s theory of reflective practice and incorporates youth work principles such as safeguarding, trauma-informed care, and anti-oppressive practice: ( Schön, 1991) </w:t>
      </w:r>
      <w:r w:rsidRPr="006C7B87">
        <w:rPr>
          <w:rFonts w:ascii="Arial" w:hAnsi="Arial" w:cs="Arial"/>
          <w:sz w:val="24"/>
          <w:szCs w:val="24"/>
        </w:rPr>
        <w:br/>
      </w:r>
      <w:r w:rsidRPr="006C7B87">
        <w:rPr>
          <w:rFonts w:ascii="Arial" w:hAnsi="Arial" w:cs="Arial"/>
          <w:b/>
          <w:bCs/>
          <w:sz w:val="24"/>
          <w:szCs w:val="24"/>
        </w:rPr>
        <w:t>Description of the Incident</w:t>
      </w:r>
      <w:r w:rsidRPr="006C7B87">
        <w:rPr>
          <w:rFonts w:ascii="Arial" w:hAnsi="Arial" w:cs="Arial"/>
          <w:sz w:val="24"/>
          <w:szCs w:val="24"/>
        </w:rPr>
        <w:br/>
        <w:t>During a busy evening session, a young person residing in a residential care home was dropped off at the youth club without staff accompaniment. She appeared nervous, which aligns with the challenges LAC young people often face in unfamiliar environments (Stein, 2006). I introduced myself and showed her around, and she relaxed upon recognising a peer. Shortly after, she appeared to faint, causing panic among other young people. The lead youth worker placed her in the recovery position while I called emergency services. This response reflects our duty of care and safeguarding responsibilities, which are central to youth work practice.</w:t>
      </w:r>
    </w:p>
    <w:p w14:paraId="18E5320C" w14:textId="77777777" w:rsidR="00FD4DF3" w:rsidRPr="006C7B87" w:rsidRDefault="00FD4DF3" w:rsidP="00FD4DF3">
      <w:pPr>
        <w:spacing w:line="480" w:lineRule="auto"/>
        <w:rPr>
          <w:rFonts w:ascii="Arial" w:hAnsi="Arial" w:cs="Arial"/>
          <w:sz w:val="24"/>
          <w:szCs w:val="24"/>
        </w:rPr>
      </w:pPr>
      <w:r w:rsidRPr="006C7B87">
        <w:rPr>
          <w:rFonts w:ascii="Arial" w:hAnsi="Arial" w:cs="Arial"/>
          <w:sz w:val="24"/>
          <w:szCs w:val="24"/>
        </w:rPr>
        <w:t>When asked by the operator if she was prone to fainting, I couldn’t confirm. A young person then suggested she might be “faking.” The operator advised us to monitor her and consider taking her to A&amp;E if she regained consciousness. Due to the presence of other young people, we asked them to wait in the kitchen to avoid overcrowding—demonstrating crisis management and prioritisation.</w:t>
      </w:r>
    </w:p>
    <w:p w14:paraId="2BBDA39E" w14:textId="77777777" w:rsidR="00FD4DF3" w:rsidRPr="006C7B87" w:rsidRDefault="00FD4DF3" w:rsidP="00FD4DF3">
      <w:pPr>
        <w:spacing w:line="480" w:lineRule="auto"/>
        <w:rPr>
          <w:rFonts w:ascii="Arial" w:hAnsi="Arial" w:cs="Arial"/>
          <w:sz w:val="24"/>
          <w:szCs w:val="24"/>
        </w:rPr>
      </w:pPr>
      <w:r w:rsidRPr="006C7B87">
        <w:rPr>
          <w:rFonts w:ascii="Arial" w:hAnsi="Arial" w:cs="Arial"/>
          <w:sz w:val="24"/>
          <w:szCs w:val="24"/>
        </w:rPr>
        <w:t xml:space="preserve">I contacted the care home, and staff arrived to collect her. However, they expressed frustration at our decision to call 999 and made comments suggesting the episode </w:t>
      </w:r>
      <w:r w:rsidRPr="006C7B87">
        <w:rPr>
          <w:rFonts w:ascii="Arial" w:hAnsi="Arial" w:cs="Arial"/>
          <w:sz w:val="24"/>
          <w:szCs w:val="24"/>
        </w:rPr>
        <w:lastRenderedPageBreak/>
        <w:t>was attention-seeking, particularly in relation to another young person present. This comment was overheard and caused distress to the peer in question.</w:t>
      </w:r>
    </w:p>
    <w:p w14:paraId="253AB326" w14:textId="77777777" w:rsidR="00FD4DF3" w:rsidRPr="006C7B87" w:rsidRDefault="00FD4DF3" w:rsidP="00FD4DF3">
      <w:pPr>
        <w:spacing w:line="480" w:lineRule="auto"/>
        <w:rPr>
          <w:rFonts w:ascii="Arial" w:hAnsi="Arial" w:cs="Arial"/>
          <w:sz w:val="24"/>
          <w:szCs w:val="24"/>
        </w:rPr>
      </w:pPr>
      <w:r w:rsidRPr="006C7B87">
        <w:rPr>
          <w:rFonts w:ascii="Arial" w:hAnsi="Arial" w:cs="Arial"/>
          <w:b/>
          <w:bCs/>
          <w:sz w:val="24"/>
          <w:szCs w:val="24"/>
        </w:rPr>
        <w:t>Reflection and Analysis</w:t>
      </w:r>
      <w:r w:rsidRPr="006C7B87">
        <w:rPr>
          <w:rFonts w:ascii="Arial" w:hAnsi="Arial" w:cs="Arial"/>
          <w:sz w:val="24"/>
          <w:szCs w:val="24"/>
        </w:rPr>
        <w:br/>
      </w:r>
      <w:r w:rsidRPr="006C7B87">
        <w:rPr>
          <w:rFonts w:ascii="Arial" w:hAnsi="Arial" w:cs="Arial"/>
          <w:i/>
          <w:iCs/>
          <w:sz w:val="24"/>
          <w:szCs w:val="24"/>
        </w:rPr>
        <w:t>Reflection-in-Action and Reflection-on-Action</w:t>
      </w:r>
      <w:r w:rsidRPr="006C7B87">
        <w:rPr>
          <w:rFonts w:ascii="Arial" w:hAnsi="Arial" w:cs="Arial"/>
          <w:sz w:val="24"/>
          <w:szCs w:val="24"/>
        </w:rPr>
        <w:br/>
        <w:t>Schön (1991) distinguishes between reflection-in-action thinking and responding during the event and reflection-on-action evaluating the experience afterward. In this case, reflection-in-action was evident in our rapid response to the medical emergency, prioritising safety and managing group dynamics. Reflection-on-action occurred later, as I processed my emotions and considered improvements to practice.</w:t>
      </w:r>
    </w:p>
    <w:p w14:paraId="57F78EF9" w14:textId="77777777" w:rsidR="00FD4DF3" w:rsidRPr="006C7B87" w:rsidRDefault="00FD4DF3" w:rsidP="00FD4DF3">
      <w:pPr>
        <w:spacing w:line="480" w:lineRule="auto"/>
        <w:rPr>
          <w:rFonts w:ascii="Arial" w:hAnsi="Arial" w:cs="Arial"/>
          <w:sz w:val="24"/>
          <w:szCs w:val="24"/>
        </w:rPr>
      </w:pPr>
      <w:r w:rsidRPr="006C7B87">
        <w:rPr>
          <w:rFonts w:ascii="Arial" w:hAnsi="Arial" w:cs="Arial"/>
          <w:i/>
          <w:iCs/>
          <w:sz w:val="24"/>
          <w:szCs w:val="24"/>
        </w:rPr>
        <w:t>Safeguarding and Duty of Care</w:t>
      </w:r>
      <w:r w:rsidRPr="006C7B87">
        <w:rPr>
          <w:rFonts w:ascii="Arial" w:hAnsi="Arial" w:cs="Arial"/>
          <w:sz w:val="24"/>
          <w:szCs w:val="24"/>
        </w:rPr>
        <w:br/>
        <w:t>Our decision to call emergency services aligns with safeguarding protocols and the legal duty of care youth workers hold. Despite doubts about the authenticity of the fainting, we were not medically trained to assess the situation and acted appropriately.</w:t>
      </w:r>
    </w:p>
    <w:p w14:paraId="4F34BBF3" w14:textId="77777777" w:rsidR="00FD4DF3" w:rsidRPr="006C7B87" w:rsidRDefault="00FD4DF3" w:rsidP="00FD4DF3">
      <w:pPr>
        <w:spacing w:line="480" w:lineRule="auto"/>
        <w:rPr>
          <w:rFonts w:ascii="Arial" w:hAnsi="Arial" w:cs="Arial"/>
          <w:sz w:val="24"/>
          <w:szCs w:val="24"/>
        </w:rPr>
      </w:pPr>
      <w:r w:rsidRPr="006C7B87">
        <w:rPr>
          <w:rFonts w:ascii="Arial" w:hAnsi="Arial" w:cs="Arial"/>
          <w:i/>
          <w:iCs/>
          <w:sz w:val="24"/>
          <w:szCs w:val="24"/>
        </w:rPr>
        <w:t>Trauma-Informed Practice</w:t>
      </w:r>
      <w:r w:rsidRPr="006C7B87">
        <w:rPr>
          <w:rFonts w:ascii="Arial" w:hAnsi="Arial" w:cs="Arial"/>
          <w:sz w:val="24"/>
          <w:szCs w:val="24"/>
        </w:rPr>
        <w:br/>
        <w:t>The young person’s behaviour may reflect underlying trauma, common among LAC youth (Bath, 2008; Perry, 2006). Her fainting could be a coping mechanism or a bid for attention. Trauma-informed practice encourages understanding behaviour through the lens of past experiences and emphasises safety, trust, and empowerment.</w:t>
      </w:r>
    </w:p>
    <w:p w14:paraId="351B3CC8" w14:textId="77777777" w:rsidR="00FD4DF3" w:rsidRPr="006C7B87" w:rsidRDefault="00FD4DF3" w:rsidP="00FD4DF3">
      <w:pPr>
        <w:spacing w:line="480" w:lineRule="auto"/>
        <w:rPr>
          <w:rFonts w:ascii="Arial" w:hAnsi="Arial" w:cs="Arial"/>
          <w:sz w:val="24"/>
          <w:szCs w:val="24"/>
        </w:rPr>
      </w:pPr>
      <w:r w:rsidRPr="006C7B87">
        <w:rPr>
          <w:rFonts w:ascii="Arial" w:hAnsi="Arial" w:cs="Arial"/>
          <w:i/>
          <w:iCs/>
          <w:sz w:val="24"/>
          <w:szCs w:val="24"/>
        </w:rPr>
        <w:t>Anti-Oppressive Practice</w:t>
      </w:r>
      <w:r w:rsidRPr="006C7B87">
        <w:rPr>
          <w:rFonts w:ascii="Arial" w:hAnsi="Arial" w:cs="Arial"/>
          <w:sz w:val="24"/>
          <w:szCs w:val="24"/>
        </w:rPr>
        <w:br/>
        <w:t xml:space="preserve">The care home staff’s comments about the young person and her peer were inappropriate and potentially harmful. Anti-oppressive practice calls for challenging </w:t>
      </w:r>
      <w:r w:rsidRPr="006C7B87">
        <w:rPr>
          <w:rFonts w:ascii="Arial" w:hAnsi="Arial" w:cs="Arial"/>
          <w:sz w:val="24"/>
          <w:szCs w:val="24"/>
        </w:rPr>
        <w:lastRenderedPageBreak/>
        <w:t>discrimination and protecting vulnerable youth from stigma (Dominelli, 2002). I made a conscious effort to reassure the peer and validate his feelings, recognising his own mental health challenges.</w:t>
      </w:r>
    </w:p>
    <w:p w14:paraId="70F7A6E2" w14:textId="77777777" w:rsidR="00FD4DF3" w:rsidRPr="006C7B87" w:rsidRDefault="00FD4DF3" w:rsidP="00FD4DF3">
      <w:pPr>
        <w:spacing w:line="480" w:lineRule="auto"/>
        <w:rPr>
          <w:rFonts w:ascii="Arial" w:hAnsi="Arial" w:cs="Arial"/>
          <w:sz w:val="24"/>
          <w:szCs w:val="24"/>
        </w:rPr>
      </w:pPr>
      <w:r w:rsidRPr="006C7B87">
        <w:rPr>
          <w:rFonts w:ascii="Arial" w:hAnsi="Arial" w:cs="Arial"/>
          <w:i/>
          <w:iCs/>
          <w:sz w:val="24"/>
          <w:szCs w:val="24"/>
        </w:rPr>
        <w:t>Inter-Agency Communication</w:t>
      </w:r>
      <w:r w:rsidRPr="006C7B87">
        <w:rPr>
          <w:rFonts w:ascii="Arial" w:hAnsi="Arial" w:cs="Arial"/>
          <w:sz w:val="24"/>
          <w:szCs w:val="24"/>
        </w:rPr>
        <w:br/>
        <w:t>The incident highlighted a gap in communication between the care home and youth club. We were not informed of the young person’s medical history or behavioural tendencies. Effective youth work relies on collaborative relationships and transparent information-sharing (Davies, 2015).</w:t>
      </w:r>
    </w:p>
    <w:p w14:paraId="67CA3152" w14:textId="77777777" w:rsidR="00FD4DF3" w:rsidRPr="006C7B87" w:rsidRDefault="00FD4DF3" w:rsidP="00FD4DF3">
      <w:pPr>
        <w:spacing w:line="480" w:lineRule="auto"/>
        <w:rPr>
          <w:rFonts w:ascii="Arial" w:hAnsi="Arial" w:cs="Arial"/>
          <w:sz w:val="24"/>
          <w:szCs w:val="24"/>
        </w:rPr>
      </w:pPr>
      <w:r w:rsidRPr="006C7B87">
        <w:rPr>
          <w:rFonts w:ascii="Arial" w:hAnsi="Arial" w:cs="Arial"/>
          <w:i/>
          <w:iCs/>
          <w:sz w:val="24"/>
          <w:szCs w:val="24"/>
        </w:rPr>
        <w:t>Positive Youth Development</w:t>
      </w:r>
      <w:r w:rsidRPr="006C7B87">
        <w:rPr>
          <w:rFonts w:ascii="Arial" w:hAnsi="Arial" w:cs="Arial"/>
          <w:sz w:val="24"/>
          <w:szCs w:val="24"/>
        </w:rPr>
        <w:br/>
        <w:t>Following the incident, I implemented a new practice of asking for relevant background information before each session. This proactive approach supports the principles of Positive Youth Development, which focus on creating safe, supportive environments for young people to thrive (Lerner et al., 2005).</w:t>
      </w:r>
    </w:p>
    <w:p w14:paraId="52D3157E" w14:textId="77777777" w:rsidR="00FD4DF3" w:rsidRDefault="00FD4DF3" w:rsidP="00FD4DF3">
      <w:pPr>
        <w:spacing w:line="480" w:lineRule="auto"/>
        <w:rPr>
          <w:rFonts w:ascii="Arial" w:hAnsi="Arial" w:cs="Arial"/>
          <w:sz w:val="24"/>
          <w:szCs w:val="24"/>
        </w:rPr>
      </w:pPr>
      <w:r w:rsidRPr="006C7B87">
        <w:rPr>
          <w:rFonts w:ascii="Arial" w:hAnsi="Arial" w:cs="Arial"/>
          <w:b/>
          <w:bCs/>
          <w:sz w:val="24"/>
          <w:szCs w:val="24"/>
        </w:rPr>
        <w:t>Conclusion</w:t>
      </w:r>
      <w:r w:rsidRPr="006C7B87">
        <w:rPr>
          <w:rFonts w:ascii="Arial" w:hAnsi="Arial" w:cs="Arial"/>
          <w:sz w:val="24"/>
          <w:szCs w:val="24"/>
        </w:rPr>
        <w:br/>
        <w:t>This incident was a powerful learning experience that tested my ability to respond under pressure, advocate for young people, and reflect critically on practice. By applying Schön’s reflective model and youth work theories, I was able to identify strengths in our response and areas for growth. Moving forward, I will continue to prioritise trauma-informed care, safeguarding, and open communication to ensure the wellbeing of all young people in our provision.</w:t>
      </w:r>
    </w:p>
    <w:p w14:paraId="05C7611B" w14:textId="77777777" w:rsidR="007C3C9E" w:rsidRDefault="007C3C9E" w:rsidP="00FD4DF3">
      <w:pPr>
        <w:spacing w:line="480" w:lineRule="auto"/>
        <w:rPr>
          <w:rFonts w:ascii="Arial" w:hAnsi="Arial" w:cs="Arial"/>
          <w:sz w:val="24"/>
          <w:szCs w:val="24"/>
        </w:rPr>
      </w:pPr>
    </w:p>
    <w:p w14:paraId="054DE99D" w14:textId="77777777" w:rsidR="007C3C9E" w:rsidRDefault="007C3C9E" w:rsidP="00FD4DF3">
      <w:pPr>
        <w:spacing w:line="480" w:lineRule="auto"/>
        <w:rPr>
          <w:rFonts w:ascii="Arial" w:hAnsi="Arial" w:cs="Arial"/>
          <w:sz w:val="24"/>
          <w:szCs w:val="24"/>
        </w:rPr>
      </w:pPr>
    </w:p>
    <w:p w14:paraId="5CB7C60A" w14:textId="77777777" w:rsidR="007C3C9E" w:rsidRDefault="007C3C9E" w:rsidP="00FD4DF3">
      <w:pPr>
        <w:spacing w:line="480" w:lineRule="auto"/>
        <w:rPr>
          <w:rFonts w:ascii="Arial" w:hAnsi="Arial" w:cs="Arial"/>
          <w:sz w:val="24"/>
          <w:szCs w:val="24"/>
        </w:rPr>
      </w:pPr>
    </w:p>
    <w:p w14:paraId="017883D6" w14:textId="22C1BAA1" w:rsidR="00FD4DF3" w:rsidRPr="007051E9" w:rsidRDefault="007C3C9E" w:rsidP="00FD4DF3">
      <w:pPr>
        <w:rPr>
          <w:rFonts w:ascii="Arial" w:hAnsi="Arial" w:cs="Arial"/>
          <w:b/>
          <w:bCs/>
          <w:sz w:val="24"/>
          <w:szCs w:val="24"/>
          <w:u w:val="single"/>
        </w:rPr>
      </w:pPr>
      <w:r>
        <w:rPr>
          <w:rFonts w:ascii="Arial" w:hAnsi="Arial" w:cs="Arial"/>
          <w:b/>
          <w:bCs/>
          <w:sz w:val="24"/>
          <w:szCs w:val="24"/>
          <w:u w:val="single"/>
        </w:rPr>
        <w:t xml:space="preserve">Reflective Journal: </w:t>
      </w:r>
      <w:r w:rsidR="00FD4DF3" w:rsidRPr="007051E9">
        <w:rPr>
          <w:rFonts w:ascii="Arial" w:hAnsi="Arial" w:cs="Arial"/>
          <w:b/>
          <w:bCs/>
          <w:sz w:val="24"/>
          <w:szCs w:val="24"/>
          <w:u w:val="single"/>
        </w:rPr>
        <w:t>Supporting a Care Leaver Facing Future Homelessness</w:t>
      </w:r>
    </w:p>
    <w:p w14:paraId="076659AD"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t>In my role as a youth homelessness support worker, I recently provided remote assistance to a young care leaver, referred to here as Amy, who is currently studying at a university in South Wales. Amy is expected to return to Conwy upon completing her degree later this year, at which point she will present as homeless. This case highlights the complexities of statutory housing duties, emotional regulation, and professional boundaries in youth support work.</w:t>
      </w:r>
    </w:p>
    <w:p w14:paraId="7C8AE669"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t xml:space="preserve">Under Section 81 of the </w:t>
      </w:r>
      <w:r w:rsidRPr="00C1539C">
        <w:rPr>
          <w:rFonts w:ascii="Arial" w:hAnsi="Arial" w:cs="Arial"/>
          <w:i/>
          <w:iCs/>
          <w:sz w:val="24"/>
          <w:szCs w:val="24"/>
        </w:rPr>
        <w:t>Housing (Wales) Act 2014</w:t>
      </w:r>
      <w:r w:rsidRPr="00C1539C">
        <w:rPr>
          <w:rFonts w:ascii="Arial" w:hAnsi="Arial" w:cs="Arial"/>
          <w:sz w:val="24"/>
          <w:szCs w:val="24"/>
        </w:rPr>
        <w:t>, a person has a local connection with a local housing authority if they have resided in the area or have family associations there. Amy, having a local connection to Conwy, is entitled to be considered for housing support upon her return. However, the Act also stipulates that a person is only considered "threatened with homelessness" if they are likely to become homeless within 56 days. As Amy is currently seven months away from this threshold, the local authority is not yet legally obligated to intervene.</w:t>
      </w:r>
    </w:p>
    <w:p w14:paraId="77B6480F"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t>Despite being informed of this by multiple professionals, including her housing officer and personal advisor, Amy remains adamant that she should be entitled to accommodation now. Her frustration often manifests in aggressive communication with services. This culminated in a challenging interaction one evening after work hours. While preparing dinner for my daughter, I received multiple missed calls and abusive text messages from Amy, accusing me of ignoring her. Although I had finished work for the day, I responded to clarify that I was off duty and would follow up the next day. Amy called again, and during the conversation, she was verbally abusive and distressed about the housing officer having not contacted her. I reiterated that the officer had only committed to calling her later in the week and promised to follow up via email.</w:t>
      </w:r>
    </w:p>
    <w:p w14:paraId="26F75E10"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lastRenderedPageBreak/>
        <w:t>Reflecting on this incident, I recognise that answering the call outside of working hours blurred professional boundaries and exposed my personal space to workplace stress. My daughter overheard the confrontation, which made me feel that my home environment had been compromised. Although I empathised with Amy’s anxiety, understandable given her background in care and the uncertainty of her housing situation, I also recognised the importance of maintaining boundaries for my own wellbeing and that of my family.</w:t>
      </w:r>
    </w:p>
    <w:p w14:paraId="7AE053F7"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t>This experience underscores the importance of clear communication, emotional resilience, and professional detachment. It also highlights the need for care leavers to receive trauma-informed support that acknowledges their heightened sensitivity to instability (Stein, 2006). Amy’s reaction, while disproportionate, can be interpreted as a manifestation of her underlying fear and trauma. According to the National Youth Advocacy Service (NYAS), care leavers often experience heightened anxiety around housing due to past instability and lack of familial support (NYAS, 2022). Amy’s insistence on immediate housing provision, despite legal constraints, reflects her need for reassurance and control in an uncertain transition.</w:t>
      </w:r>
    </w:p>
    <w:p w14:paraId="0B0227DD"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t>From a youth work perspective, this situation required balancing empathy with procedural integrity. Youth work is grounded in voluntary engagement, informal education, and the development of trusting relationships (Smith, 2023). In Amy’s case, our service could only offer reassurance and preparatory support until the 56-day threshold was met. This limitation, while frustrating for Amy, is necessary to ensure equitable and lawful allocation of housing resources. However, youth workers must also advocate for young people’s emotional needs, even when statutory frameworks fall short.</w:t>
      </w:r>
    </w:p>
    <w:p w14:paraId="6CC009F2"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lastRenderedPageBreak/>
        <w:t xml:space="preserve">The incident also prompted reflection on the importance of self-care and boundary-setting in frontline roles. Answering a work-related call after hours, especially in a domestic setting, compromised my ability to separate personal and professional life. According to Ruch et al. (2010), emotional labour in social work can lead to burnout if boundaries are not maintained. By engaging with Amy during personal time, I inadvertently allowed her distress to permeate my home environment, affecting both myself and my daughter. In hindsight, it would have been more appropriate to wait until the next working day to respond, allowing both Amy and </w:t>
      </w:r>
      <w:proofErr w:type="gramStart"/>
      <w:r w:rsidRPr="00C1539C">
        <w:rPr>
          <w:rFonts w:ascii="Arial" w:hAnsi="Arial" w:cs="Arial"/>
          <w:sz w:val="24"/>
          <w:szCs w:val="24"/>
        </w:rPr>
        <w:t>myself</w:t>
      </w:r>
      <w:proofErr w:type="gramEnd"/>
      <w:r w:rsidRPr="00C1539C">
        <w:rPr>
          <w:rFonts w:ascii="Arial" w:hAnsi="Arial" w:cs="Arial"/>
          <w:sz w:val="24"/>
          <w:szCs w:val="24"/>
        </w:rPr>
        <w:t xml:space="preserve"> time to de-escalate emotionally.</w:t>
      </w:r>
    </w:p>
    <w:p w14:paraId="1E4A7FC1"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t>Following the incident, I took the opportunity to speak with Amy about her communication style. I explained how her aggressive approach could hinder her ability to access support and damage relationships with professionals. This conversation, while difficult, was necessary to encourage self-awareness and promote constructive engagement. Empowering young people to advocate for themselves respectfully is a key aspect of youth work (Cooper, 2012). While Amy may not have fully internalised this message, planting the seed for future reflection was a step in the right direction.</w:t>
      </w:r>
    </w:p>
    <w:p w14:paraId="2B13C5E3"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t>This case highlights the importance of inter-agency collaboration. Amy’s support network includes housing officers, personal advisors, and our service. Ensuring consistent messaging and coordinated responses is vital to prevent confusion and reduce distress. In this instance, I liaised with the housing officer to clarify timelines and expectations, reinforcing the message Amy had previously received. Such coordination is essential in managing complex cases and maintaining trust with service users.</w:t>
      </w:r>
    </w:p>
    <w:p w14:paraId="309B66D7"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lastRenderedPageBreak/>
        <w:t>Youth work practice also involves recognising the power dynamics between professionals and young people. As Alldred et al. (2018) argue, youth workers must navigate these dynamics with sensitivity, ensuring that young people feel heard and respected. Amy’s aggressive communication may reflect a history of feeling dismissed or powerless. By validating her concerns while maintaining professional boundaries, I aimed to model respectful engagement and emotional regulation.</w:t>
      </w:r>
    </w:p>
    <w:p w14:paraId="54C5039F" w14:textId="77777777" w:rsidR="00FD4DF3" w:rsidRPr="00C1539C" w:rsidRDefault="00FD4DF3" w:rsidP="00FD4DF3">
      <w:pPr>
        <w:spacing w:line="480" w:lineRule="auto"/>
        <w:rPr>
          <w:rFonts w:ascii="Arial" w:hAnsi="Arial" w:cs="Arial"/>
          <w:sz w:val="24"/>
          <w:szCs w:val="24"/>
        </w:rPr>
      </w:pPr>
      <w:r w:rsidRPr="00C1539C">
        <w:rPr>
          <w:rFonts w:ascii="Arial" w:hAnsi="Arial" w:cs="Arial"/>
          <w:sz w:val="24"/>
          <w:szCs w:val="24"/>
        </w:rPr>
        <w:t>In conclusion, supporting Amy through this transitional period has been both challenging and instructive. Her case illustrates the emotional volatility that can accompany housing insecurity, particularly for care leavers. It also underscores the limitations of statutory frameworks in addressing emotional needs and the importance of trauma-informed, relationship-based youth work. As a practitioner, I have learned the value of maintaining boundaries, practising empathy within procedural constraints, and fostering respectful communication. Going forward, I will be more mindful of when and how I engage with service users, ensuring that my support is both effective and sustainable.</w:t>
      </w:r>
    </w:p>
    <w:p w14:paraId="2528C979" w14:textId="77777777" w:rsidR="00FD4DF3" w:rsidRDefault="00FD4DF3" w:rsidP="00FD4DF3">
      <w:pPr>
        <w:spacing w:line="480" w:lineRule="auto"/>
        <w:rPr>
          <w:rFonts w:cs="Arial"/>
        </w:rPr>
      </w:pPr>
    </w:p>
    <w:p w14:paraId="28C5F136" w14:textId="77777777" w:rsidR="00FD4DF3" w:rsidRDefault="00FD4DF3" w:rsidP="00FD4DF3">
      <w:pPr>
        <w:spacing w:line="480" w:lineRule="auto"/>
        <w:rPr>
          <w:rFonts w:cs="Arial"/>
        </w:rPr>
      </w:pPr>
    </w:p>
    <w:p w14:paraId="4CC37EAE" w14:textId="77777777" w:rsidR="00FD4DF3" w:rsidRDefault="00FD4DF3" w:rsidP="00FD4DF3">
      <w:pPr>
        <w:spacing w:line="480" w:lineRule="auto"/>
        <w:rPr>
          <w:rFonts w:cs="Arial"/>
        </w:rPr>
      </w:pPr>
    </w:p>
    <w:p w14:paraId="02DFBFCB" w14:textId="77777777" w:rsidR="00FD4DF3" w:rsidRDefault="00FD4DF3" w:rsidP="00FD4DF3">
      <w:pPr>
        <w:spacing w:line="480" w:lineRule="auto"/>
        <w:rPr>
          <w:rFonts w:cs="Arial"/>
        </w:rPr>
      </w:pPr>
    </w:p>
    <w:p w14:paraId="5CCD7568" w14:textId="77777777" w:rsidR="00FD4DF3" w:rsidRDefault="00FD4DF3" w:rsidP="00FD4DF3">
      <w:pPr>
        <w:spacing w:line="480" w:lineRule="auto"/>
        <w:rPr>
          <w:rFonts w:cs="Arial"/>
        </w:rPr>
      </w:pPr>
    </w:p>
    <w:p w14:paraId="511E0C7F" w14:textId="77777777" w:rsidR="00FD4DF3" w:rsidRDefault="00FD4DF3" w:rsidP="00FD4DF3">
      <w:pPr>
        <w:spacing w:line="480" w:lineRule="auto"/>
        <w:rPr>
          <w:rFonts w:cs="Arial"/>
        </w:rPr>
      </w:pPr>
    </w:p>
    <w:p w14:paraId="08D23C55" w14:textId="77777777" w:rsidR="00FD4DF3" w:rsidRDefault="00FD4DF3" w:rsidP="00FD4DF3">
      <w:pPr>
        <w:spacing w:line="480" w:lineRule="auto"/>
        <w:rPr>
          <w:rFonts w:cs="Arial"/>
        </w:rPr>
      </w:pPr>
    </w:p>
    <w:p w14:paraId="04613457" w14:textId="77777777" w:rsidR="00FD4DF3" w:rsidRDefault="00FD4DF3" w:rsidP="00FD4DF3">
      <w:pPr>
        <w:spacing w:line="480" w:lineRule="auto"/>
        <w:rPr>
          <w:rFonts w:cs="Arial"/>
        </w:rPr>
      </w:pPr>
    </w:p>
    <w:p w14:paraId="2021AE92" w14:textId="1623D98C" w:rsidR="00FD4DF3" w:rsidRPr="006C7B87" w:rsidRDefault="007C3C9E" w:rsidP="00FD4DF3">
      <w:pPr>
        <w:spacing w:before="100" w:beforeAutospacing="1" w:after="100" w:afterAutospacing="1" w:line="480" w:lineRule="auto"/>
        <w:rPr>
          <w:rFonts w:ascii="Arial" w:eastAsia="Times New Roman" w:hAnsi="Arial" w:cs="Arial"/>
          <w:b/>
          <w:bCs/>
          <w:kern w:val="0"/>
          <w:sz w:val="24"/>
          <w:szCs w:val="24"/>
          <w:u w:val="single"/>
          <w:lang w:eastAsia="en-GB"/>
          <w14:ligatures w14:val="none"/>
        </w:rPr>
      </w:pPr>
      <w:r>
        <w:rPr>
          <w:rFonts w:ascii="Arial" w:eastAsia="Times New Roman" w:hAnsi="Arial" w:cs="Arial"/>
          <w:b/>
          <w:bCs/>
          <w:kern w:val="0"/>
          <w:sz w:val="24"/>
          <w:szCs w:val="24"/>
          <w:u w:val="single"/>
          <w:lang w:eastAsia="en-GB"/>
          <w14:ligatures w14:val="none"/>
        </w:rPr>
        <w:lastRenderedPageBreak/>
        <w:t xml:space="preserve">Reflecive </w:t>
      </w:r>
      <w:r w:rsidR="00AF7907">
        <w:rPr>
          <w:rFonts w:ascii="Arial" w:eastAsia="Times New Roman" w:hAnsi="Arial" w:cs="Arial"/>
          <w:b/>
          <w:bCs/>
          <w:kern w:val="0"/>
          <w:sz w:val="24"/>
          <w:szCs w:val="24"/>
          <w:u w:val="single"/>
          <w:lang w:eastAsia="en-GB"/>
          <w14:ligatures w14:val="none"/>
        </w:rPr>
        <w:t>Journal:</w:t>
      </w:r>
      <w:r w:rsidR="00AF7907" w:rsidRPr="006C7B87">
        <w:rPr>
          <w:rFonts w:ascii="Arial" w:eastAsia="Times New Roman" w:hAnsi="Arial" w:cs="Arial"/>
          <w:b/>
          <w:bCs/>
          <w:kern w:val="0"/>
          <w:sz w:val="24"/>
          <w:szCs w:val="24"/>
          <w:u w:val="single"/>
          <w:lang w:eastAsia="en-GB"/>
          <w14:ligatures w14:val="none"/>
        </w:rPr>
        <w:t xml:space="preserve"> Do</w:t>
      </w:r>
      <w:r w:rsidR="00FD4DF3" w:rsidRPr="006C7B87">
        <w:rPr>
          <w:rFonts w:ascii="Arial" w:eastAsia="Times New Roman" w:hAnsi="Arial" w:cs="Arial"/>
          <w:b/>
          <w:bCs/>
          <w:kern w:val="0"/>
          <w:sz w:val="24"/>
          <w:szCs w:val="24"/>
          <w:u w:val="single"/>
          <w:lang w:eastAsia="en-GB"/>
          <w14:ligatures w14:val="none"/>
        </w:rPr>
        <w:t xml:space="preserve"> all dogs bite?</w:t>
      </w:r>
    </w:p>
    <w:p w14:paraId="4732DD06"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As part of my placement,</w:t>
      </w:r>
      <w:r>
        <w:rPr>
          <w:rFonts w:ascii="Arial" w:eastAsia="Times New Roman" w:hAnsi="Arial" w:cs="Arial"/>
          <w:kern w:val="0"/>
          <w:sz w:val="24"/>
          <w:szCs w:val="24"/>
          <w:lang w:eastAsia="en-GB"/>
          <w14:ligatures w14:val="none"/>
        </w:rPr>
        <w:t xml:space="preserve"> I</w:t>
      </w:r>
      <w:r w:rsidRPr="00CA67CC">
        <w:rPr>
          <w:rFonts w:ascii="Arial" w:eastAsia="Times New Roman" w:hAnsi="Arial" w:cs="Arial"/>
          <w:kern w:val="0"/>
          <w:sz w:val="24"/>
          <w:szCs w:val="24"/>
          <w:lang w:eastAsia="en-GB"/>
          <w14:ligatures w14:val="none"/>
        </w:rPr>
        <w:t xml:space="preserve"> conducted a home visit to meet a young person to complete a form. I had previously visited the property and was aware that the family owned one large, excitable dog. On this occasion, however, there were two large German Pointer–type dogs present. As I entered the home, both dogs were barking, running around, and jumping up. The parents attempted to control them by shouting, which appeared to escalate the dogs’ excitement rather than calm them.</w:t>
      </w:r>
    </w:p>
    <w:p w14:paraId="0555FBAF"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One dog was off the lead, and I was able to calm it due to my confidence with dogs. The second dog, held on a lead by the YP’s mother, barked as I approached and its fang pierced my skin slightly. Although this startled me, I recognised that the behaviour was accidental and not aggressive. The father then took control of the dog, and both animals eventually settled.</w:t>
      </w:r>
    </w:p>
    <w:p w14:paraId="4EA52D82"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After around thirty minutes, the parents prepared to leave with the dogs. As the father opened the front door, the dogs pulled him down the stairs, causing him to fall and sustain cuts and bruises. He later required A&amp;E treatment due to a piece of glass embedded in his ankle. I provided a first aid kit and supported the YP while the mother attended to him. Although the dogs were not aggressive, I left the visit concerned about the potential risk to visitors, particularly those who may be fearful of dogs or physically vulnerable.</w:t>
      </w:r>
    </w:p>
    <w:p w14:paraId="31CFB243"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b/>
          <w:bCs/>
          <w:kern w:val="0"/>
          <w:sz w:val="24"/>
          <w:szCs w:val="24"/>
          <w:lang w:eastAsia="en-GB"/>
          <w14:ligatures w14:val="none"/>
        </w:rPr>
        <w:t>2. Feelings</w:t>
      </w:r>
    </w:p>
    <w:p w14:paraId="07F68C9C"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 xml:space="preserve">Initially, I felt calm and confident, as I am comfortable around dogs. When the dog’s fang pierced my skin, I experienced a moment of shock, but this quickly subsided </w:t>
      </w:r>
      <w:r w:rsidRPr="00CA67CC">
        <w:rPr>
          <w:rFonts w:ascii="Arial" w:eastAsia="Times New Roman" w:hAnsi="Arial" w:cs="Arial"/>
          <w:kern w:val="0"/>
          <w:sz w:val="24"/>
          <w:szCs w:val="24"/>
          <w:lang w:eastAsia="en-GB"/>
          <w14:ligatures w14:val="none"/>
        </w:rPr>
        <w:lastRenderedPageBreak/>
        <w:t>once I recognised that the behaviour was not intentional. I also felt empathy for the parents, who were clearly struggling to manage the dogs.</w:t>
      </w:r>
    </w:p>
    <w:p w14:paraId="187CEF1A"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 xml:space="preserve">As the visit progressed, I became increasingly aware of the potential risks. When the father fell, I felt concern for his wellbeing and a sense of responsibility to ensure the YP remained supported. After the visit, I reflected on how differently the situation might have felt for a colleague or professional who is fearful of dogs. </w:t>
      </w:r>
    </w:p>
    <w:p w14:paraId="0BED754A"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Youth work practice emphasises emotional awareness and reflective capacity (Batsleer, 2010), and this experience encouraged me to consider how my personal feelings shaped my professional judgement.</w:t>
      </w:r>
    </w:p>
    <w:p w14:paraId="2FB95E3E"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b/>
          <w:bCs/>
          <w:kern w:val="0"/>
          <w:sz w:val="24"/>
          <w:szCs w:val="24"/>
          <w:lang w:eastAsia="en-GB"/>
          <w14:ligatures w14:val="none"/>
        </w:rPr>
        <w:t>3. Evaluation</w:t>
      </w:r>
    </w:p>
    <w:p w14:paraId="75613980"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There were several positive aspects to the situation. I remained calm and professional, which helped de</w:t>
      </w:r>
      <w:r w:rsidRPr="00CA67CC">
        <w:rPr>
          <w:rFonts w:ascii="Arial" w:eastAsia="Times New Roman" w:hAnsi="Arial" w:cs="Arial"/>
          <w:kern w:val="0"/>
          <w:sz w:val="24"/>
          <w:szCs w:val="24"/>
          <w:lang w:eastAsia="en-GB"/>
          <w14:ligatures w14:val="none"/>
        </w:rPr>
        <w:noBreakHyphen/>
        <w:t>escalate the dogs’ behaviour. I was able to complete the required work with the YP and respond appropriately when the father was injured. My ability to maintain rapport with the family aligns with youth work values of building trusting relationships (Young, 2006).</w:t>
      </w:r>
    </w:p>
    <w:p w14:paraId="2DE7E08F"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However, there were also clear challenges. The dogs’ behaviour created a chaotic environment, and the parents’ approach to managing them was ineffective. The father’s injury demonstrated that the risk was significant. I also recognised that my own confidence with dogs may have led me to underestimate the potential hazards. Youth work guidance stresses the importance of dynamic risk assessment and situational awareness (NYA, 2020), and I realised that I could have approached the situation more cautiously.</w:t>
      </w:r>
    </w:p>
    <w:p w14:paraId="339E8792"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b/>
          <w:bCs/>
          <w:kern w:val="0"/>
          <w:sz w:val="24"/>
          <w:szCs w:val="24"/>
          <w:lang w:eastAsia="en-GB"/>
          <w14:ligatures w14:val="none"/>
        </w:rPr>
        <w:lastRenderedPageBreak/>
        <w:t>4. Analysis</w:t>
      </w:r>
    </w:p>
    <w:p w14:paraId="63C3B9AA"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 xml:space="preserve">This experience highlighted the importance of risk assessment and safe practice, which is a core expectation within the </w:t>
      </w:r>
      <w:r w:rsidRPr="00CA67CC">
        <w:rPr>
          <w:rFonts w:ascii="Arial" w:eastAsia="Times New Roman" w:hAnsi="Arial" w:cs="Arial"/>
          <w:i/>
          <w:iCs/>
          <w:kern w:val="0"/>
          <w:sz w:val="24"/>
          <w:szCs w:val="24"/>
          <w:lang w:eastAsia="en-GB"/>
          <w14:ligatures w14:val="none"/>
        </w:rPr>
        <w:t>National Occupational Standards (NOS) for Youth Work</w:t>
      </w:r>
      <w:r w:rsidRPr="00CA67CC">
        <w:rPr>
          <w:rFonts w:ascii="Arial" w:eastAsia="Times New Roman" w:hAnsi="Arial" w:cs="Arial"/>
          <w:kern w:val="0"/>
          <w:sz w:val="24"/>
          <w:szCs w:val="24"/>
          <w:lang w:eastAsia="en-GB"/>
          <w14:ligatures w14:val="none"/>
        </w:rPr>
        <w:t>. NOS standard YW06: “Support young people to manage risk in their lives” emphasises that youth workers must identify, assess, and respond to risks in the environment. Although the dogs were not aggressive, their size and lack of control created a hazardous situation that resulted in injury. Reflecting on this, I recognise that I could have applied a more structured dynamic risk assessment before entering the property.</w:t>
      </w:r>
    </w:p>
    <w:p w14:paraId="66B68F7D"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The Principles and Purposes of Youth Work in Wales stress that youth work should be “educative, empowering and participative” (Welsh Government, 2019). In this situation, maintaining a calm presence and supporting the YP through the incident aligned with the principle of empowering young people by modelling emotional regulation and problem</w:t>
      </w:r>
      <w:r w:rsidRPr="00CA67CC">
        <w:rPr>
          <w:rFonts w:ascii="Arial" w:eastAsia="Times New Roman" w:hAnsi="Arial" w:cs="Arial"/>
          <w:kern w:val="0"/>
          <w:sz w:val="24"/>
          <w:szCs w:val="24"/>
          <w:lang w:eastAsia="en-GB"/>
          <w14:ligatures w14:val="none"/>
        </w:rPr>
        <w:noBreakHyphen/>
        <w:t>solving. However, the principle of ensuring safe environments was challenged by the unpredictable behaviour of the dogs. The Welsh youth work model emphasises that youth workers must create conditions where young people and practitioners feel physically and emotionally safe.</w:t>
      </w:r>
    </w:p>
    <w:p w14:paraId="04AB9B5C"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The NOS also highlight the importance of professional judgement and reflective practice. Standard YW13: “Evaluate and reflect on youth work practice” encourages practitioners to examine how personal values and experiences influence decision</w:t>
      </w:r>
      <w:r w:rsidRPr="00CA67CC">
        <w:rPr>
          <w:rFonts w:ascii="Arial" w:eastAsia="Times New Roman" w:hAnsi="Arial" w:cs="Arial"/>
          <w:kern w:val="0"/>
          <w:sz w:val="24"/>
          <w:szCs w:val="24"/>
          <w:lang w:eastAsia="en-GB"/>
          <w14:ligatures w14:val="none"/>
        </w:rPr>
        <w:noBreakHyphen/>
        <w:t>making. My confidence with dogs may have influenced my judgement, illustrating how personal bias can shape professional assessment. This aligns with Thompson and Thompson’s (2018) argument that reflective practitioners must remain aware of how personal assumptions influence practice.</w:t>
      </w:r>
    </w:p>
    <w:p w14:paraId="4673CFF2"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lastRenderedPageBreak/>
        <w:t>Furthermore, the Welsh youth work principles emphasise voluntary engagement and respectful relationships. Although the dogs were not the focus of the visit, the family’s difficulty managing them created a barrier to effective engagement. The chaotic environment could have impacted the YP’s ability to participate fully, which challenges the principle of creating accessible and inclusive spaces for young people.</w:t>
      </w:r>
    </w:p>
    <w:p w14:paraId="63FD413E"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Overall, integrating the Welsh Youth Work Principles and the NOS into this reflection highlights the need for stronger risk</w:t>
      </w:r>
      <w:r w:rsidRPr="00CA67CC">
        <w:rPr>
          <w:rFonts w:ascii="Arial" w:eastAsia="Times New Roman" w:hAnsi="Arial" w:cs="Arial"/>
          <w:kern w:val="0"/>
          <w:sz w:val="24"/>
          <w:szCs w:val="24"/>
          <w:lang w:eastAsia="en-GB"/>
          <w14:ligatures w14:val="none"/>
        </w:rPr>
        <w:noBreakHyphen/>
        <w:t>aware planning, clearer boundaries around safe working conditions, and ongoing reflective practice to ensure that youth work remains safe, empowering, and purposeful.</w:t>
      </w:r>
    </w:p>
    <w:p w14:paraId="05BCC88F"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b/>
          <w:bCs/>
          <w:kern w:val="0"/>
          <w:sz w:val="24"/>
          <w:szCs w:val="24"/>
          <w:lang w:eastAsia="en-GB"/>
          <w14:ligatures w14:val="none"/>
        </w:rPr>
        <w:t>5. Conclusion</w:t>
      </w:r>
    </w:p>
    <w:p w14:paraId="3666D20B" w14:textId="77777777" w:rsidR="00FD4DF3" w:rsidRPr="00CA67CC" w:rsidRDefault="00FD4DF3" w:rsidP="00FD4DF3">
      <w:pPr>
        <w:spacing w:before="100" w:beforeAutospacing="1" w:after="100" w:afterAutospacing="1" w:line="480" w:lineRule="auto"/>
        <w:rPr>
          <w:rFonts w:ascii="Arial" w:eastAsia="Times New Roman" w:hAnsi="Arial" w:cs="Arial"/>
          <w:kern w:val="0"/>
          <w:sz w:val="24"/>
          <w:szCs w:val="24"/>
          <w:lang w:eastAsia="en-GB"/>
          <w14:ligatures w14:val="none"/>
        </w:rPr>
      </w:pPr>
      <w:r w:rsidRPr="00CA67CC">
        <w:rPr>
          <w:rFonts w:ascii="Arial" w:eastAsia="Times New Roman" w:hAnsi="Arial" w:cs="Arial"/>
          <w:kern w:val="0"/>
          <w:sz w:val="24"/>
          <w:szCs w:val="24"/>
          <w:lang w:eastAsia="en-GB"/>
          <w14:ligatures w14:val="none"/>
        </w:rPr>
        <w:t>The visit was ultimately successful, but it highlighted several areas for learning. I managed the situation well in the moment, but I recognise the need for a more structured approach to risk assessment when animals are present in the home. In future, I need to ensure that I consider the safety of all professionals who may visit the property, not just my own. Reflective practice is essential in youth work (Boud et al., 2013), and this experience has helped me identify areas for improvement.</w:t>
      </w:r>
    </w:p>
    <w:p w14:paraId="2194BD66" w14:textId="77777777" w:rsidR="00FD4DF3" w:rsidRDefault="00FD4DF3" w:rsidP="00FD4DF3">
      <w:pPr>
        <w:rPr>
          <w:b/>
          <w:bCs/>
        </w:rPr>
      </w:pPr>
    </w:p>
    <w:p w14:paraId="6232BDE1" w14:textId="77777777" w:rsidR="00FD4DF3" w:rsidRDefault="00FD4DF3" w:rsidP="00FD4DF3">
      <w:pPr>
        <w:rPr>
          <w:b/>
          <w:bCs/>
        </w:rPr>
      </w:pPr>
    </w:p>
    <w:p w14:paraId="4FAB5A0C" w14:textId="77777777" w:rsidR="00FD4DF3" w:rsidRDefault="00FD4DF3" w:rsidP="00FD4DF3">
      <w:pPr>
        <w:rPr>
          <w:b/>
          <w:bCs/>
        </w:rPr>
      </w:pPr>
    </w:p>
    <w:p w14:paraId="7BAA5B1E" w14:textId="77777777" w:rsidR="00FD4DF3" w:rsidRDefault="00FD4DF3" w:rsidP="00FD4DF3">
      <w:pPr>
        <w:rPr>
          <w:b/>
          <w:bCs/>
        </w:rPr>
      </w:pPr>
    </w:p>
    <w:p w14:paraId="51768928" w14:textId="77777777" w:rsidR="00FD4DF3" w:rsidRDefault="00FD4DF3" w:rsidP="00FD4DF3">
      <w:pPr>
        <w:rPr>
          <w:b/>
          <w:bCs/>
        </w:rPr>
      </w:pPr>
    </w:p>
    <w:p w14:paraId="4B7895BA" w14:textId="77777777" w:rsidR="00FD4DF3" w:rsidRDefault="00FD4DF3" w:rsidP="00FD4DF3">
      <w:pPr>
        <w:rPr>
          <w:b/>
          <w:bCs/>
        </w:rPr>
      </w:pPr>
    </w:p>
    <w:p w14:paraId="6C14E45F" w14:textId="77777777" w:rsidR="00FD4DF3" w:rsidRDefault="00FD4DF3" w:rsidP="00FD4DF3">
      <w:pPr>
        <w:rPr>
          <w:b/>
          <w:bCs/>
        </w:rPr>
      </w:pPr>
    </w:p>
    <w:p w14:paraId="788A0E9D" w14:textId="77777777" w:rsidR="00FD4DF3" w:rsidRDefault="00FD4DF3" w:rsidP="00FD4DF3">
      <w:pPr>
        <w:rPr>
          <w:b/>
          <w:bCs/>
        </w:rPr>
      </w:pPr>
    </w:p>
    <w:p w14:paraId="635F91D9" w14:textId="18568C64" w:rsidR="00FD4DF3" w:rsidRDefault="007C3C9E" w:rsidP="00FD4DF3">
      <w:pPr>
        <w:rPr>
          <w:rFonts w:ascii="Arial" w:hAnsi="Arial" w:cs="Arial"/>
          <w:b/>
          <w:bCs/>
          <w:sz w:val="24"/>
          <w:szCs w:val="24"/>
        </w:rPr>
      </w:pPr>
      <w:r>
        <w:rPr>
          <w:rFonts w:ascii="Arial" w:hAnsi="Arial" w:cs="Arial"/>
          <w:b/>
          <w:bCs/>
          <w:sz w:val="24"/>
          <w:szCs w:val="24"/>
        </w:rPr>
        <w:lastRenderedPageBreak/>
        <w:t xml:space="preserve">Reflective Journal: </w:t>
      </w:r>
      <w:r w:rsidR="00FD4DF3" w:rsidRPr="00D5033A">
        <w:rPr>
          <w:rFonts w:ascii="Arial" w:hAnsi="Arial" w:cs="Arial"/>
          <w:b/>
          <w:bCs/>
          <w:sz w:val="24"/>
          <w:szCs w:val="24"/>
        </w:rPr>
        <w:t>Could have got out of hand?</w:t>
      </w:r>
    </w:p>
    <w:p w14:paraId="646B1290" w14:textId="77777777" w:rsidR="00FD4DF3" w:rsidRPr="00D5033A" w:rsidRDefault="00FD4DF3" w:rsidP="00FD4DF3">
      <w:pPr>
        <w:rPr>
          <w:rFonts w:ascii="Arial" w:hAnsi="Arial" w:cs="Arial"/>
          <w:sz w:val="24"/>
          <w:szCs w:val="24"/>
        </w:rPr>
      </w:pPr>
    </w:p>
    <w:p w14:paraId="7AB40B41"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I was asked to cover a youth club session and, after confirming my availability, agreed to</w:t>
      </w:r>
      <w:r>
        <w:t xml:space="preserve"> </w:t>
      </w:r>
      <w:r w:rsidRPr="00D5033A">
        <w:rPr>
          <w:rFonts w:ascii="Arial" w:hAnsi="Arial" w:cs="Arial"/>
          <w:sz w:val="24"/>
          <w:szCs w:val="24"/>
        </w:rPr>
        <w:t xml:space="preserve">support the team. I was informed that I would be working with a new youth worker, Tasmin, from the Community Focused Schools team. Aware that the session was typically busy, I planned a range of activities, including Christmas crafts and games. I also received an </w:t>
      </w:r>
      <w:proofErr w:type="gramStart"/>
      <w:r w:rsidRPr="00D5033A">
        <w:rPr>
          <w:rFonts w:ascii="Arial" w:hAnsi="Arial" w:cs="Arial"/>
          <w:sz w:val="24"/>
          <w:szCs w:val="24"/>
        </w:rPr>
        <w:t>email outlining session rules</w:t>
      </w:r>
      <w:proofErr w:type="gramEnd"/>
      <w:r w:rsidRPr="00D5033A">
        <w:rPr>
          <w:rFonts w:ascii="Arial" w:hAnsi="Arial" w:cs="Arial"/>
          <w:sz w:val="24"/>
          <w:szCs w:val="24"/>
        </w:rPr>
        <w:t>, including the requirement that young people remove muddy shoes before entering the building.</w:t>
      </w:r>
    </w:p>
    <w:p w14:paraId="6820C0DC"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Before the session, I met Tasmin for the first time. She appeared confident and had prior experience working with young people. During the session, she offered to manage the kitchen area, where young people could request food, while I supervised the main hall.</w:t>
      </w:r>
    </w:p>
    <w:p w14:paraId="4B93A8B0"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The session was lively, with young people engaging in crafts, music, and conversation. A group of four boys became loud and began throwing games around. They later asked to go outside to the nearby park, and I reminded them of the muddy-shoes rule. When they returned with muddy trainers and attempted to enter the hall, I asked them to remove their shoes. They resisted, claiming another worker allowed it. After a short exchange, they complied.</w:t>
      </w:r>
    </w:p>
    <w:p w14:paraId="7ABB4FEF"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Once food was served, the atmosphere settled. Tasmin rejoined the main hall, and I became aware that dealing with the boys had temporarily diverted my attention from the rest of the group.</w:t>
      </w:r>
    </w:p>
    <w:p w14:paraId="7EF68885"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 xml:space="preserve">Initially, I felt confident due to my preparation and reassured by Tasmin’s competence. When the boys challenged the muddy-shoes rule, I felt frustrated but also aware of the need to remain calm and consistent. I was conscious of balancing </w:t>
      </w:r>
      <w:r w:rsidRPr="00D5033A">
        <w:rPr>
          <w:rFonts w:ascii="Arial" w:hAnsi="Arial" w:cs="Arial"/>
          <w:sz w:val="24"/>
          <w:szCs w:val="24"/>
        </w:rPr>
        <w:lastRenderedPageBreak/>
        <w:t>authority with relationship-building, a key tension in youth work practice. I also felt slightly guilty that my attention had been diverted from the girls who were engaged in crafts.</w:t>
      </w:r>
    </w:p>
    <w:p w14:paraId="52E04A88"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Several aspects of the session were positive. My preparation ensured engaging activities, and Tasmin’s confidence allowed us to divide responsibilities effectively. Most young people behaved positively and participated well.</w:t>
      </w:r>
    </w:p>
    <w:p w14:paraId="019812C2"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However, the incident with the boys highlighted challenges. Their resistance created tension and temporarily disrupted the session. Although I managed the situation appropriately, it drew my focus away from the wider group. The incident also emphasised the importance of consistent communication among staff, particularly regarding rules that relate to safeguarding and maintaining positive relationships with community partners.</w:t>
      </w:r>
    </w:p>
    <w:p w14:paraId="42145DAA"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The boys’ behaviour can be understood as typical adolescent boundary-testing, which is common in youth work settings (Jeffs &amp; Smith, 2010). Their challenge to the rule may have been an attempt to assert autonomy or test my authority as a different worker from their usual staff member. My response was firm, calm, and consistent and aligns with the National Occupational Standards for Youth Work in Wales, which emphasise maintaining safe environments and applying boundaries fairly (ETS Wales, 2019).</w:t>
      </w:r>
    </w:p>
    <w:p w14:paraId="225A1DA6"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 xml:space="preserve">The situation also highlights the importance of preparation and communication. Had I not read the email beforehand, I may have unknowingly allowed behaviour that could damage the relationship with the community centre. This aligns with the expectations set out in </w:t>
      </w:r>
      <w:r w:rsidRPr="00D5033A">
        <w:rPr>
          <w:rFonts w:ascii="Arial" w:hAnsi="Arial" w:cs="Arial"/>
          <w:i/>
          <w:iCs/>
          <w:sz w:val="24"/>
          <w:szCs w:val="24"/>
        </w:rPr>
        <w:t>Youth Work in Wales: Principles and Purposes</w:t>
      </w:r>
      <w:r w:rsidRPr="00D5033A">
        <w:rPr>
          <w:rFonts w:ascii="Arial" w:hAnsi="Arial" w:cs="Arial"/>
          <w:sz w:val="24"/>
          <w:szCs w:val="24"/>
        </w:rPr>
        <w:t xml:space="preserve">, which emphasise </w:t>
      </w:r>
      <w:r w:rsidRPr="00D5033A">
        <w:rPr>
          <w:rFonts w:ascii="Arial" w:hAnsi="Arial" w:cs="Arial"/>
          <w:sz w:val="24"/>
          <w:szCs w:val="24"/>
        </w:rPr>
        <w:lastRenderedPageBreak/>
        <w:t>professionalism, safeguarding, and partnership working (Welsh Government &amp; ETS Wales, 2019).</w:t>
      </w:r>
    </w:p>
    <w:p w14:paraId="763034E8"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Furthermore, Tasmin’s willingness to manage the kitchen independently demonstrated her competence, but the size of the group suggests that additional staffing may have improved supervision. Welsh youth work policy emphasises the importance of providing safe, well-managed environments where young people can participate meaningfully (Welsh Government, 2000). With more staff, the risk of incidents escalating would be reduced, and attention could be more evenly distributed.</w:t>
      </w:r>
    </w:p>
    <w:p w14:paraId="326A8CB0" w14:textId="77777777" w:rsidR="00FD4DF3" w:rsidRPr="00D5033A" w:rsidRDefault="00FD4DF3" w:rsidP="00FD4DF3">
      <w:pPr>
        <w:spacing w:line="480" w:lineRule="auto"/>
        <w:rPr>
          <w:rFonts w:ascii="Arial" w:hAnsi="Arial" w:cs="Arial"/>
          <w:sz w:val="24"/>
          <w:szCs w:val="24"/>
        </w:rPr>
      </w:pPr>
      <w:r w:rsidRPr="00D5033A">
        <w:rPr>
          <w:rFonts w:ascii="Arial" w:hAnsi="Arial" w:cs="Arial"/>
          <w:sz w:val="24"/>
          <w:szCs w:val="24"/>
        </w:rPr>
        <w:t>Overall, the session was successful, but the incident with the boys highlighted the need for consistent rule enforcement, effective communication, and adequate staffing. I handled the situation appropriately, but it reinforced how easily attention can be diverted in busy youth settings. The experience strengthened my understanding of the importance of preparation, teamwork, and maintaining clear boundaries and principles central to youth work practice in Wales.</w:t>
      </w:r>
    </w:p>
    <w:p w14:paraId="3CA3FEB3" w14:textId="77777777" w:rsidR="00FD4DF3" w:rsidRDefault="00FD4DF3" w:rsidP="00FD4DF3">
      <w:pPr>
        <w:spacing w:line="480" w:lineRule="auto"/>
        <w:rPr>
          <w:rFonts w:cs="Arial"/>
        </w:rPr>
      </w:pPr>
    </w:p>
    <w:p w14:paraId="7A6EECCB" w14:textId="77777777" w:rsidR="00FD4DF3" w:rsidRDefault="00FD4DF3" w:rsidP="00FD4DF3">
      <w:pPr>
        <w:spacing w:line="480" w:lineRule="auto"/>
        <w:rPr>
          <w:rFonts w:cs="Arial"/>
        </w:rPr>
      </w:pPr>
    </w:p>
    <w:p w14:paraId="0C7F2ACD" w14:textId="77777777" w:rsidR="00FD4DF3" w:rsidRDefault="00FD4DF3" w:rsidP="00FD4DF3">
      <w:pPr>
        <w:spacing w:line="480" w:lineRule="auto"/>
        <w:rPr>
          <w:rFonts w:cs="Arial"/>
        </w:rPr>
      </w:pPr>
    </w:p>
    <w:p w14:paraId="0599A21D" w14:textId="77777777" w:rsidR="00FD4DF3" w:rsidRDefault="00FD4DF3" w:rsidP="00FD4DF3">
      <w:pPr>
        <w:spacing w:line="480" w:lineRule="auto"/>
        <w:rPr>
          <w:rFonts w:cs="Arial"/>
        </w:rPr>
      </w:pPr>
    </w:p>
    <w:p w14:paraId="71ECE961" w14:textId="77777777" w:rsidR="00FD4DF3" w:rsidRDefault="00FD4DF3" w:rsidP="00FD4DF3">
      <w:pPr>
        <w:spacing w:line="480" w:lineRule="auto"/>
        <w:rPr>
          <w:rFonts w:cs="Arial"/>
        </w:rPr>
      </w:pPr>
    </w:p>
    <w:p w14:paraId="28C22CF2" w14:textId="77777777" w:rsidR="00FD4DF3" w:rsidRDefault="00FD4DF3" w:rsidP="00FD4DF3">
      <w:pPr>
        <w:spacing w:line="480" w:lineRule="auto"/>
        <w:rPr>
          <w:rFonts w:cs="Arial"/>
        </w:rPr>
      </w:pPr>
    </w:p>
    <w:p w14:paraId="3C42F962" w14:textId="77777777" w:rsidR="00FD4DF3" w:rsidRDefault="00FD4DF3" w:rsidP="00FD4DF3">
      <w:pPr>
        <w:spacing w:line="480" w:lineRule="auto"/>
        <w:rPr>
          <w:rFonts w:cs="Arial"/>
        </w:rPr>
      </w:pPr>
    </w:p>
    <w:p w14:paraId="70660AA7" w14:textId="77777777" w:rsidR="00FD4DF3" w:rsidRDefault="00FD4DF3" w:rsidP="00FD4DF3">
      <w:pPr>
        <w:spacing w:line="480" w:lineRule="auto"/>
        <w:rPr>
          <w:rFonts w:cs="Arial"/>
        </w:rPr>
      </w:pPr>
    </w:p>
    <w:p w14:paraId="15B391A5" w14:textId="47DAF375" w:rsidR="00FD4DF3" w:rsidRPr="006C7B87" w:rsidRDefault="007C3C9E" w:rsidP="00FD4DF3">
      <w:pPr>
        <w:rPr>
          <w:rFonts w:ascii="Arial" w:hAnsi="Arial" w:cs="Arial"/>
          <w:b/>
          <w:bCs/>
          <w:sz w:val="24"/>
          <w:szCs w:val="24"/>
          <w:u w:val="single"/>
        </w:rPr>
      </w:pPr>
      <w:r>
        <w:rPr>
          <w:rFonts w:ascii="Arial" w:hAnsi="Arial" w:cs="Arial"/>
          <w:b/>
          <w:bCs/>
          <w:sz w:val="24"/>
          <w:szCs w:val="24"/>
          <w:u w:val="single"/>
        </w:rPr>
        <w:lastRenderedPageBreak/>
        <w:t xml:space="preserve">Reflective Journal: </w:t>
      </w:r>
      <w:r w:rsidR="00FD4DF3" w:rsidRPr="006C7B87">
        <w:rPr>
          <w:rFonts w:ascii="Arial" w:hAnsi="Arial" w:cs="Arial"/>
          <w:b/>
          <w:bCs/>
          <w:sz w:val="24"/>
          <w:szCs w:val="24"/>
          <w:u w:val="single"/>
        </w:rPr>
        <w:t>Finding My Balance</w:t>
      </w:r>
    </w:p>
    <w:p w14:paraId="24E72CDA" w14:textId="77777777" w:rsidR="00FD4DF3" w:rsidRPr="005B4B39" w:rsidRDefault="00FD4DF3" w:rsidP="00FD4DF3">
      <w:pPr>
        <w:spacing w:line="480" w:lineRule="auto"/>
        <w:rPr>
          <w:rFonts w:ascii="Arial" w:hAnsi="Arial" w:cs="Arial"/>
          <w:sz w:val="24"/>
          <w:szCs w:val="24"/>
        </w:rPr>
      </w:pPr>
      <w:r w:rsidRPr="005B4B39">
        <w:rPr>
          <w:rFonts w:ascii="Arial" w:hAnsi="Arial" w:cs="Arial"/>
          <w:sz w:val="24"/>
          <w:szCs w:val="24"/>
        </w:rPr>
        <w:t>I was contacted by a senior youth worker who asked me to cover a mountain biking session at a local outdoor education centre. The session involved one young person and a qualified instructor. I was informed that the youth service was funding these sessions due to a serious ongoing complaint made by the young person’s mother to Education Services. Although I am physically active, I do not have specific experience in mountain biking. The usual staff member, who is an experienced rider, was unavailable, and the service was keen not to cancel the session. Without fully considering the implications, I agreed.</w:t>
      </w:r>
    </w:p>
    <w:p w14:paraId="53B06CBA" w14:textId="77777777" w:rsidR="00FD4DF3" w:rsidRPr="005B4B39" w:rsidRDefault="00FD4DF3" w:rsidP="00FD4DF3">
      <w:pPr>
        <w:spacing w:line="480" w:lineRule="auto"/>
        <w:rPr>
          <w:rFonts w:ascii="Arial" w:hAnsi="Arial" w:cs="Arial"/>
          <w:sz w:val="24"/>
          <w:szCs w:val="24"/>
        </w:rPr>
      </w:pPr>
      <w:r w:rsidRPr="005B4B39">
        <w:rPr>
          <w:rFonts w:ascii="Arial" w:hAnsi="Arial" w:cs="Arial"/>
          <w:sz w:val="24"/>
          <w:szCs w:val="24"/>
        </w:rPr>
        <w:t>I contacted the instructor for further information and was told that the young person sometimes struggled to engage, particularly when unfamiliar staff were present. The planned route involved woodland trails that could be technically challenging. As the week progressed, I began to question whether I had the necessary competence. On the day of the session, I struggled to locate the rural centre, which increased my anxiety. Once I arrived, the instructor supported me in setting up the bike and explained that he intended to work with the young person on dynamic risk assessment as part of a coaching qualification. During the session, the young person became increasingly confident and even instructed me on technique and risk. This appeared to enhance his engagement and self</w:t>
      </w:r>
      <w:r w:rsidRPr="005B4B39">
        <w:rPr>
          <w:rFonts w:ascii="Arial" w:hAnsi="Arial" w:cs="Arial"/>
          <w:sz w:val="24"/>
          <w:szCs w:val="24"/>
        </w:rPr>
        <w:noBreakHyphen/>
        <w:t>esteem.</w:t>
      </w:r>
    </w:p>
    <w:p w14:paraId="32480AFD" w14:textId="77777777" w:rsidR="00FD4DF3" w:rsidRPr="005B4B39" w:rsidRDefault="00FD4DF3" w:rsidP="00FD4DF3">
      <w:pPr>
        <w:spacing w:line="480" w:lineRule="auto"/>
        <w:rPr>
          <w:rFonts w:ascii="Arial" w:hAnsi="Arial" w:cs="Arial"/>
          <w:sz w:val="24"/>
          <w:szCs w:val="24"/>
        </w:rPr>
      </w:pPr>
      <w:r w:rsidRPr="005B4B39">
        <w:rPr>
          <w:rFonts w:ascii="Arial" w:hAnsi="Arial" w:cs="Arial"/>
          <w:sz w:val="24"/>
          <w:szCs w:val="24"/>
        </w:rPr>
        <w:t>Initially, I felt pressured and somewhat flattered that the senior worker trusted me. As the week progressed, this shifted to anxiety and self</w:t>
      </w:r>
      <w:r w:rsidRPr="005B4B39">
        <w:rPr>
          <w:rFonts w:ascii="Arial" w:hAnsi="Arial" w:cs="Arial"/>
          <w:sz w:val="24"/>
          <w:szCs w:val="24"/>
        </w:rPr>
        <w:noBreakHyphen/>
        <w:t xml:space="preserve">doubt, particularly around my competence and the potential risks involved. I also felt a strong sense of responsibility not to let the young person down, reflecting the relational nature of youth work. During the session, my anxiety reduced as the young person engaged </w:t>
      </w:r>
      <w:r w:rsidRPr="005B4B39">
        <w:rPr>
          <w:rFonts w:ascii="Arial" w:hAnsi="Arial" w:cs="Arial"/>
          <w:sz w:val="24"/>
          <w:szCs w:val="24"/>
        </w:rPr>
        <w:lastRenderedPageBreak/>
        <w:t>positively, and I felt encouraged by his willingness to support me. By the end, I felt proud of both the young person’s development and my own ability to adapt.</w:t>
      </w:r>
    </w:p>
    <w:p w14:paraId="10DA6993" w14:textId="77777777" w:rsidR="00FD4DF3" w:rsidRPr="005B4B39" w:rsidRDefault="00FD4DF3" w:rsidP="00FD4DF3">
      <w:pPr>
        <w:spacing w:line="480" w:lineRule="auto"/>
        <w:rPr>
          <w:rFonts w:ascii="Arial" w:hAnsi="Arial" w:cs="Arial"/>
          <w:sz w:val="24"/>
          <w:szCs w:val="24"/>
        </w:rPr>
      </w:pPr>
      <w:r w:rsidRPr="005B4B39">
        <w:rPr>
          <w:rFonts w:ascii="Arial" w:hAnsi="Arial" w:cs="Arial"/>
          <w:sz w:val="24"/>
          <w:szCs w:val="24"/>
        </w:rPr>
        <w:t>Several positive aspects emerged. The young person demonstrated increased confidence, communication skills, and leadership by guiding me through practical techniques. This aligns with youth work’s commitment to empowering young people and supporting their personal and social development. The session also strengthened rapport and trust, despite my initial unfamiliarity.</w:t>
      </w:r>
    </w:p>
    <w:p w14:paraId="2610E1D4" w14:textId="77777777" w:rsidR="00FD4DF3" w:rsidRPr="005B4B39" w:rsidRDefault="00FD4DF3" w:rsidP="00FD4DF3">
      <w:pPr>
        <w:spacing w:line="480" w:lineRule="auto"/>
        <w:rPr>
          <w:rFonts w:ascii="Arial" w:hAnsi="Arial" w:cs="Arial"/>
          <w:sz w:val="24"/>
          <w:szCs w:val="24"/>
        </w:rPr>
      </w:pPr>
      <w:r w:rsidRPr="005B4B39">
        <w:rPr>
          <w:rFonts w:ascii="Arial" w:hAnsi="Arial" w:cs="Arial"/>
          <w:sz w:val="24"/>
          <w:szCs w:val="24"/>
        </w:rPr>
        <w:t>However, there were clear limitations. I had not fully assessed my competence or the risks involved before agreeing to participate. This could have compromised safety and professional boundaries. Additionally, my lack of preparation contributed to unnecessary anxiety, which could have affected the quality of support I provided</w:t>
      </w:r>
    </w:p>
    <w:p w14:paraId="70B4490C" w14:textId="77777777" w:rsidR="00FD4DF3" w:rsidRPr="005B4B39" w:rsidRDefault="00FD4DF3" w:rsidP="00FD4DF3">
      <w:pPr>
        <w:spacing w:line="480" w:lineRule="auto"/>
        <w:rPr>
          <w:rFonts w:ascii="Arial" w:hAnsi="Arial" w:cs="Arial"/>
          <w:sz w:val="24"/>
          <w:szCs w:val="24"/>
        </w:rPr>
      </w:pPr>
      <w:r w:rsidRPr="005B4B39">
        <w:rPr>
          <w:rFonts w:ascii="Arial" w:hAnsi="Arial" w:cs="Arial"/>
          <w:sz w:val="24"/>
          <w:szCs w:val="24"/>
        </w:rPr>
        <w:t>The situation highlights the importance of professional judgement and competence, as outlined in the Professional Standards for Youth Work in Wales, particularly:</w:t>
      </w:r>
    </w:p>
    <w:p w14:paraId="4F6332B1" w14:textId="77777777" w:rsidR="00FD4DF3" w:rsidRPr="005B4B39" w:rsidRDefault="00FD4DF3" w:rsidP="00FD4DF3">
      <w:pPr>
        <w:numPr>
          <w:ilvl w:val="0"/>
          <w:numId w:val="19"/>
        </w:numPr>
        <w:spacing w:line="480" w:lineRule="auto"/>
        <w:rPr>
          <w:rFonts w:ascii="Arial" w:hAnsi="Arial" w:cs="Arial"/>
          <w:sz w:val="24"/>
          <w:szCs w:val="24"/>
        </w:rPr>
      </w:pPr>
      <w:r w:rsidRPr="005B4B39">
        <w:rPr>
          <w:rFonts w:ascii="Arial" w:hAnsi="Arial" w:cs="Arial"/>
          <w:sz w:val="24"/>
          <w:szCs w:val="24"/>
        </w:rPr>
        <w:t>Professional Standard 1: Professional Values and Attributes, which emphasises acting ethically, maintaining boundaries, and prioritising young people’s safety.</w:t>
      </w:r>
    </w:p>
    <w:p w14:paraId="2B9C8858" w14:textId="77777777" w:rsidR="00FD4DF3" w:rsidRPr="005B4B39" w:rsidRDefault="00FD4DF3" w:rsidP="00FD4DF3">
      <w:pPr>
        <w:numPr>
          <w:ilvl w:val="0"/>
          <w:numId w:val="19"/>
        </w:numPr>
        <w:spacing w:line="480" w:lineRule="auto"/>
        <w:rPr>
          <w:rFonts w:ascii="Arial" w:hAnsi="Arial" w:cs="Arial"/>
          <w:sz w:val="24"/>
          <w:szCs w:val="24"/>
        </w:rPr>
      </w:pPr>
      <w:r w:rsidRPr="005B4B39">
        <w:rPr>
          <w:rFonts w:ascii="Arial" w:hAnsi="Arial" w:cs="Arial"/>
          <w:sz w:val="24"/>
          <w:szCs w:val="24"/>
        </w:rPr>
        <w:t>Professional Standard 2: Professional Knowledge and Understanding, which requires youth workers to understand risk, safeguarding, and the limits of their own competence.</w:t>
      </w:r>
    </w:p>
    <w:p w14:paraId="2F275BDB" w14:textId="77777777" w:rsidR="00FD4DF3" w:rsidRPr="005B4B39" w:rsidRDefault="00FD4DF3" w:rsidP="00FD4DF3">
      <w:pPr>
        <w:numPr>
          <w:ilvl w:val="0"/>
          <w:numId w:val="19"/>
        </w:numPr>
        <w:spacing w:line="480" w:lineRule="auto"/>
        <w:rPr>
          <w:rFonts w:ascii="Arial" w:hAnsi="Arial" w:cs="Arial"/>
          <w:sz w:val="24"/>
          <w:szCs w:val="24"/>
        </w:rPr>
      </w:pPr>
      <w:r w:rsidRPr="005B4B39">
        <w:rPr>
          <w:rFonts w:ascii="Arial" w:hAnsi="Arial" w:cs="Arial"/>
          <w:sz w:val="24"/>
          <w:szCs w:val="24"/>
        </w:rPr>
        <w:t>Professional Standard 3: Professional Skills and Practice, which includes planning, delivering, and evaluating safe and meaningful youth work activities.</w:t>
      </w:r>
    </w:p>
    <w:p w14:paraId="13FBA9C4" w14:textId="77777777" w:rsidR="00FD4DF3" w:rsidRPr="005B4B39" w:rsidRDefault="00FD4DF3" w:rsidP="00FD4DF3">
      <w:pPr>
        <w:spacing w:line="480" w:lineRule="auto"/>
        <w:rPr>
          <w:rFonts w:ascii="Arial" w:hAnsi="Arial" w:cs="Arial"/>
          <w:sz w:val="24"/>
          <w:szCs w:val="24"/>
        </w:rPr>
      </w:pPr>
      <w:r w:rsidRPr="005B4B39">
        <w:rPr>
          <w:rFonts w:ascii="Arial" w:hAnsi="Arial" w:cs="Arial"/>
          <w:sz w:val="24"/>
          <w:szCs w:val="24"/>
        </w:rPr>
        <w:t xml:space="preserve">By agreeing without adequate reflection, I did not fully uphold these standards. The Welsh Government’s </w:t>
      </w:r>
      <w:r w:rsidRPr="005B4B39">
        <w:rPr>
          <w:rFonts w:ascii="Arial" w:hAnsi="Arial" w:cs="Arial"/>
          <w:i/>
          <w:iCs/>
          <w:sz w:val="24"/>
          <w:szCs w:val="24"/>
        </w:rPr>
        <w:t>Youth Work Strategy for Wales</w:t>
      </w:r>
      <w:r w:rsidRPr="005B4B39">
        <w:rPr>
          <w:rFonts w:ascii="Arial" w:hAnsi="Arial" w:cs="Arial"/>
          <w:sz w:val="24"/>
          <w:szCs w:val="24"/>
        </w:rPr>
        <w:t xml:space="preserve"> also stresses the need for </w:t>
      </w:r>
      <w:r w:rsidRPr="005B4B39">
        <w:rPr>
          <w:rFonts w:ascii="Arial" w:hAnsi="Arial" w:cs="Arial"/>
          <w:sz w:val="24"/>
          <w:szCs w:val="24"/>
        </w:rPr>
        <w:lastRenderedPageBreak/>
        <w:t>appropriately skilled staff to deliver safe and purposeful activities. My experience demonstrates how pressure to maintain service continuity can lead to decisions that overlook risk and professional boundaries.</w:t>
      </w:r>
    </w:p>
    <w:p w14:paraId="38AC8970" w14:textId="77777777" w:rsidR="00FD4DF3" w:rsidRPr="005B4B39" w:rsidRDefault="00FD4DF3" w:rsidP="00FD4DF3">
      <w:pPr>
        <w:spacing w:line="480" w:lineRule="auto"/>
        <w:rPr>
          <w:rFonts w:ascii="Arial" w:hAnsi="Arial" w:cs="Arial"/>
          <w:sz w:val="24"/>
          <w:szCs w:val="24"/>
        </w:rPr>
      </w:pPr>
      <w:r w:rsidRPr="005B4B39">
        <w:rPr>
          <w:rFonts w:ascii="Arial" w:hAnsi="Arial" w:cs="Arial"/>
          <w:sz w:val="24"/>
          <w:szCs w:val="24"/>
        </w:rPr>
        <w:t>Despite this, the session itself embodied key youth work principles. The young person’s active involvement in teaching me skills reflects experiential learning theory (Kolb, 1984) and aligns with youth work’s commitment to co</w:t>
      </w:r>
      <w:r w:rsidRPr="005B4B39">
        <w:rPr>
          <w:rFonts w:ascii="Arial" w:hAnsi="Arial" w:cs="Arial"/>
          <w:sz w:val="24"/>
          <w:szCs w:val="24"/>
        </w:rPr>
        <w:noBreakHyphen/>
        <w:t>production and shared learning. His increased confidence suggests that the activity supported his personal development, a core purpose of youth work in Wales.</w:t>
      </w:r>
    </w:p>
    <w:p w14:paraId="4E21613B" w14:textId="77777777" w:rsidR="00FD4DF3" w:rsidRPr="005B4B39" w:rsidRDefault="00FD4DF3" w:rsidP="00FD4DF3">
      <w:pPr>
        <w:spacing w:line="480" w:lineRule="auto"/>
        <w:rPr>
          <w:rFonts w:ascii="Arial" w:hAnsi="Arial" w:cs="Arial"/>
          <w:sz w:val="24"/>
          <w:szCs w:val="24"/>
        </w:rPr>
      </w:pPr>
      <w:r w:rsidRPr="005B4B39">
        <w:rPr>
          <w:rFonts w:ascii="Arial" w:hAnsi="Arial" w:cs="Arial"/>
          <w:sz w:val="24"/>
          <w:szCs w:val="24"/>
        </w:rPr>
        <w:t>This experience highlighted both strengths and areas for improvement. I demonstrated adaptability, relationship</w:t>
      </w:r>
      <w:r w:rsidRPr="005B4B39">
        <w:rPr>
          <w:rFonts w:ascii="Arial" w:hAnsi="Arial" w:cs="Arial"/>
          <w:sz w:val="24"/>
          <w:szCs w:val="24"/>
        </w:rPr>
        <w:noBreakHyphen/>
        <w:t>building, and a willingness to learn—qualities valued in youth work. However, I also recognised the need for clearer boundaries, better preparation, and more critical reflection before accepting responsibilities outside my competence. A more thorough risk assessment and discussion with the senior worker would have supported safer and more informed decision</w:t>
      </w:r>
      <w:r w:rsidRPr="005B4B39">
        <w:rPr>
          <w:rFonts w:ascii="Arial" w:hAnsi="Arial" w:cs="Arial"/>
          <w:sz w:val="24"/>
          <w:szCs w:val="24"/>
        </w:rPr>
        <w:noBreakHyphen/>
        <w:t>making.</w:t>
      </w:r>
    </w:p>
    <w:p w14:paraId="1B5B5959" w14:textId="77777777" w:rsidR="00FD4DF3" w:rsidRDefault="00FD4DF3" w:rsidP="006C7B87">
      <w:pPr>
        <w:spacing w:line="480" w:lineRule="auto"/>
        <w:rPr>
          <w:rFonts w:ascii="Arial" w:hAnsi="Arial" w:cs="Arial"/>
          <w:sz w:val="24"/>
          <w:szCs w:val="24"/>
        </w:rPr>
      </w:pPr>
    </w:p>
    <w:p w14:paraId="5C2178AD" w14:textId="77777777" w:rsidR="00FD4DF3" w:rsidRDefault="00FD4DF3" w:rsidP="006C7B87">
      <w:pPr>
        <w:spacing w:line="480" w:lineRule="auto"/>
        <w:rPr>
          <w:rFonts w:ascii="Arial" w:hAnsi="Arial" w:cs="Arial"/>
          <w:sz w:val="24"/>
          <w:szCs w:val="24"/>
        </w:rPr>
      </w:pPr>
    </w:p>
    <w:p w14:paraId="4E7D4C3A" w14:textId="77777777" w:rsidR="00FD4DF3" w:rsidRDefault="00FD4DF3" w:rsidP="006C7B87">
      <w:pPr>
        <w:spacing w:line="480" w:lineRule="auto"/>
        <w:rPr>
          <w:rFonts w:ascii="Arial" w:hAnsi="Arial" w:cs="Arial"/>
          <w:sz w:val="24"/>
          <w:szCs w:val="24"/>
        </w:rPr>
      </w:pPr>
    </w:p>
    <w:p w14:paraId="7D0F26E1" w14:textId="77777777" w:rsidR="00FD4DF3" w:rsidRDefault="00FD4DF3" w:rsidP="006C7B87">
      <w:pPr>
        <w:spacing w:line="480" w:lineRule="auto"/>
        <w:rPr>
          <w:rFonts w:ascii="Arial" w:hAnsi="Arial" w:cs="Arial"/>
          <w:sz w:val="24"/>
          <w:szCs w:val="24"/>
        </w:rPr>
      </w:pPr>
    </w:p>
    <w:p w14:paraId="21B6DDC9" w14:textId="77777777" w:rsidR="00FD4DF3" w:rsidRDefault="00FD4DF3" w:rsidP="006C7B87">
      <w:pPr>
        <w:spacing w:line="480" w:lineRule="auto"/>
        <w:rPr>
          <w:rFonts w:ascii="Arial" w:hAnsi="Arial" w:cs="Arial"/>
          <w:sz w:val="24"/>
          <w:szCs w:val="24"/>
        </w:rPr>
      </w:pPr>
    </w:p>
    <w:p w14:paraId="29A2F516" w14:textId="77777777" w:rsidR="00FD4DF3" w:rsidRDefault="00FD4DF3" w:rsidP="006C7B87">
      <w:pPr>
        <w:spacing w:line="480" w:lineRule="auto"/>
        <w:rPr>
          <w:rFonts w:ascii="Arial" w:hAnsi="Arial" w:cs="Arial"/>
          <w:sz w:val="24"/>
          <w:szCs w:val="24"/>
        </w:rPr>
      </w:pPr>
    </w:p>
    <w:p w14:paraId="1EA0DEF8" w14:textId="77777777" w:rsidR="00FD4DF3" w:rsidRDefault="00FD4DF3" w:rsidP="006C7B87">
      <w:pPr>
        <w:spacing w:line="480" w:lineRule="auto"/>
        <w:rPr>
          <w:rFonts w:ascii="Arial" w:hAnsi="Arial" w:cs="Arial"/>
          <w:sz w:val="24"/>
          <w:szCs w:val="24"/>
        </w:rPr>
      </w:pPr>
    </w:p>
    <w:p w14:paraId="3F72D473" w14:textId="77777777" w:rsidR="00B8079F" w:rsidRDefault="00B8079F" w:rsidP="00B8079F">
      <w:pPr>
        <w:rPr>
          <w:rFonts w:ascii="Arial" w:hAnsi="Arial" w:cs="Arial"/>
          <w:sz w:val="24"/>
          <w:szCs w:val="24"/>
        </w:rPr>
      </w:pPr>
    </w:p>
    <w:p w14:paraId="31F33C04" w14:textId="77777777" w:rsidR="00B8079F" w:rsidRDefault="00B8079F" w:rsidP="00B8079F">
      <w:pPr>
        <w:rPr>
          <w:rFonts w:ascii="Arial" w:hAnsi="Arial" w:cs="Arial"/>
          <w:sz w:val="24"/>
          <w:szCs w:val="24"/>
        </w:rPr>
      </w:pPr>
    </w:p>
    <w:p w14:paraId="161E7C06" w14:textId="334D278E" w:rsidR="00B8079F" w:rsidRPr="00B8079F" w:rsidRDefault="00B8079F" w:rsidP="00B8079F">
      <w:pPr>
        <w:rPr>
          <w:rFonts w:ascii="Arial" w:hAnsi="Arial" w:cs="Arial"/>
        </w:rPr>
      </w:pPr>
      <w:r w:rsidRPr="00B8079F">
        <w:rPr>
          <w:rFonts w:ascii="Arial" w:hAnsi="Arial" w:cs="Arial"/>
          <w:b/>
          <w:bCs/>
          <w:sz w:val="24"/>
          <w:szCs w:val="24"/>
        </w:rPr>
        <w:t>Harvard Reference List</w:t>
      </w:r>
    </w:p>
    <w:p w14:paraId="2A88C19B"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Alldred, P., Cullen, F., Edwards, K. and Fusco, D. (eds.) (2018) </w:t>
      </w:r>
      <w:r w:rsidRPr="00B8079F">
        <w:rPr>
          <w:rFonts w:ascii="Arial" w:hAnsi="Arial" w:cs="Arial"/>
          <w:i/>
          <w:iCs/>
          <w:sz w:val="24"/>
          <w:szCs w:val="24"/>
        </w:rPr>
        <w:t>The SAGE Handbook of Youth Work Practice</w:t>
      </w:r>
      <w:r w:rsidRPr="00B8079F">
        <w:rPr>
          <w:rFonts w:ascii="Arial" w:hAnsi="Arial" w:cs="Arial"/>
          <w:sz w:val="24"/>
          <w:szCs w:val="24"/>
        </w:rPr>
        <w:t>. London: SAGE Publications Ltd.</w:t>
      </w:r>
    </w:p>
    <w:p w14:paraId="5B781F77"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Bath, H. (2008) ‘The three pillars of trauma-informed care’, </w:t>
      </w:r>
      <w:r w:rsidRPr="00B8079F">
        <w:rPr>
          <w:rFonts w:ascii="Arial" w:hAnsi="Arial" w:cs="Arial"/>
          <w:i/>
          <w:iCs/>
          <w:sz w:val="24"/>
          <w:szCs w:val="24"/>
        </w:rPr>
        <w:t>Reclaiming Children and Youth</w:t>
      </w:r>
      <w:r w:rsidRPr="00B8079F">
        <w:rPr>
          <w:rFonts w:ascii="Arial" w:hAnsi="Arial" w:cs="Arial"/>
          <w:sz w:val="24"/>
          <w:szCs w:val="24"/>
        </w:rPr>
        <w:t>, 17(3), pp. 17–21.</w:t>
      </w:r>
    </w:p>
    <w:p w14:paraId="2A5BEF00"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Batsleer, J. (2010) </w:t>
      </w:r>
      <w:r w:rsidRPr="00B8079F">
        <w:rPr>
          <w:rFonts w:ascii="Arial" w:hAnsi="Arial" w:cs="Arial"/>
          <w:i/>
          <w:iCs/>
          <w:sz w:val="24"/>
          <w:szCs w:val="24"/>
        </w:rPr>
        <w:t>Youth Work: Prospects for Practice</w:t>
      </w:r>
      <w:r w:rsidRPr="00B8079F">
        <w:rPr>
          <w:rFonts w:ascii="Arial" w:hAnsi="Arial" w:cs="Arial"/>
          <w:sz w:val="24"/>
          <w:szCs w:val="24"/>
        </w:rPr>
        <w:t>. Basingstoke: Palgrave Macmillan.</w:t>
      </w:r>
    </w:p>
    <w:p w14:paraId="23EC9384"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Blackwell, E., </w:t>
      </w:r>
      <w:proofErr w:type="spellStart"/>
      <w:r w:rsidRPr="00B8079F">
        <w:rPr>
          <w:rFonts w:ascii="Arial" w:hAnsi="Arial" w:cs="Arial"/>
          <w:sz w:val="24"/>
          <w:szCs w:val="24"/>
        </w:rPr>
        <w:t>Twells</w:t>
      </w:r>
      <w:proofErr w:type="spellEnd"/>
      <w:r w:rsidRPr="00B8079F">
        <w:rPr>
          <w:rFonts w:ascii="Arial" w:hAnsi="Arial" w:cs="Arial"/>
          <w:sz w:val="24"/>
          <w:szCs w:val="24"/>
        </w:rPr>
        <w:t xml:space="preserve">, C., Seawright, A. and Casey, R. (2008) ‘The relationship between training methods and the occurrence of behaviour problems in dogs’, </w:t>
      </w:r>
      <w:r w:rsidRPr="00B8079F">
        <w:rPr>
          <w:rFonts w:ascii="Arial" w:hAnsi="Arial" w:cs="Arial"/>
          <w:i/>
          <w:iCs/>
          <w:sz w:val="24"/>
          <w:szCs w:val="24"/>
        </w:rPr>
        <w:t xml:space="preserve">Journal of Veterinary </w:t>
      </w:r>
      <w:proofErr w:type="spellStart"/>
      <w:r w:rsidRPr="00B8079F">
        <w:rPr>
          <w:rFonts w:ascii="Arial" w:hAnsi="Arial" w:cs="Arial"/>
          <w:i/>
          <w:iCs/>
          <w:sz w:val="24"/>
          <w:szCs w:val="24"/>
        </w:rPr>
        <w:t>Behavior</w:t>
      </w:r>
      <w:proofErr w:type="spellEnd"/>
      <w:r w:rsidRPr="00B8079F">
        <w:rPr>
          <w:rFonts w:ascii="Arial" w:hAnsi="Arial" w:cs="Arial"/>
          <w:sz w:val="24"/>
          <w:szCs w:val="24"/>
        </w:rPr>
        <w:t>, 3(5), pp. 207–217.</w:t>
      </w:r>
    </w:p>
    <w:p w14:paraId="45E3F17D"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Boud, D., Keogh, R. and Walker, D. (2013) </w:t>
      </w:r>
      <w:r w:rsidRPr="00B8079F">
        <w:rPr>
          <w:rFonts w:ascii="Arial" w:hAnsi="Arial" w:cs="Arial"/>
          <w:i/>
          <w:iCs/>
          <w:sz w:val="24"/>
          <w:szCs w:val="24"/>
        </w:rPr>
        <w:t>Reflection: Turning Experience into Learning</w:t>
      </w:r>
      <w:r w:rsidRPr="00B8079F">
        <w:rPr>
          <w:rFonts w:ascii="Arial" w:hAnsi="Arial" w:cs="Arial"/>
          <w:sz w:val="24"/>
          <w:szCs w:val="24"/>
        </w:rPr>
        <w:t>. London: Routledge.</w:t>
      </w:r>
    </w:p>
    <w:p w14:paraId="54B42DA3"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Bronfenbrenner, U. (1979) </w:t>
      </w:r>
      <w:r w:rsidRPr="00B8079F">
        <w:rPr>
          <w:rFonts w:ascii="Arial" w:hAnsi="Arial" w:cs="Arial"/>
          <w:i/>
          <w:iCs/>
          <w:sz w:val="24"/>
          <w:szCs w:val="24"/>
        </w:rPr>
        <w:t>The Ecology of Human Development</w:t>
      </w:r>
      <w:r w:rsidRPr="00B8079F">
        <w:rPr>
          <w:rFonts w:ascii="Arial" w:hAnsi="Arial" w:cs="Arial"/>
          <w:sz w:val="24"/>
          <w:szCs w:val="24"/>
        </w:rPr>
        <w:t>. Cambridge, MA: Harvard University Press.</w:t>
      </w:r>
    </w:p>
    <w:p w14:paraId="1F47AF44"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Cooper, T. (2012) </w:t>
      </w:r>
      <w:r w:rsidRPr="00B8079F">
        <w:rPr>
          <w:rFonts w:ascii="Arial" w:hAnsi="Arial" w:cs="Arial"/>
          <w:i/>
          <w:iCs/>
          <w:sz w:val="24"/>
          <w:szCs w:val="24"/>
        </w:rPr>
        <w:t>Models of youth work: a framework for positive sceptical reflection</w:t>
      </w:r>
      <w:r w:rsidRPr="00B8079F">
        <w:rPr>
          <w:rFonts w:ascii="Arial" w:hAnsi="Arial" w:cs="Arial"/>
          <w:sz w:val="24"/>
          <w:szCs w:val="24"/>
        </w:rPr>
        <w:t xml:space="preserve">. Youth &amp; Policy. Available at: </w:t>
      </w:r>
      <w:hyperlink r:id="rId8" w:history="1">
        <w:r w:rsidRPr="00B8079F">
          <w:rPr>
            <w:rStyle w:val="Hyperlink"/>
            <w:rFonts w:ascii="Arial" w:hAnsi="Arial" w:cs="Arial"/>
            <w:sz w:val="24"/>
            <w:szCs w:val="24"/>
          </w:rPr>
          <w:t>https://www.youthandpolicy.org/wp-content/uploads/2017/06/cooper_models_of_youth_work.pdf</w:t>
        </w:r>
      </w:hyperlink>
      <w:r w:rsidRPr="00B8079F">
        <w:rPr>
          <w:rFonts w:ascii="Arial" w:hAnsi="Arial" w:cs="Arial"/>
          <w:sz w:val="24"/>
          <w:szCs w:val="24"/>
        </w:rPr>
        <w:t xml:space="preserve"> (Accessed 14 November 2025).</w:t>
      </w:r>
    </w:p>
    <w:p w14:paraId="1C1B9082"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Davies, B. (2015) </w:t>
      </w:r>
      <w:r w:rsidRPr="00B8079F">
        <w:rPr>
          <w:rFonts w:ascii="Arial" w:hAnsi="Arial" w:cs="Arial"/>
          <w:i/>
          <w:iCs/>
          <w:sz w:val="24"/>
          <w:szCs w:val="24"/>
        </w:rPr>
        <w:t>Youth Work: A Manifesto for Our Times</w:t>
      </w:r>
      <w:r w:rsidRPr="00B8079F">
        <w:rPr>
          <w:rFonts w:ascii="Arial" w:hAnsi="Arial" w:cs="Arial"/>
          <w:sz w:val="24"/>
          <w:szCs w:val="24"/>
        </w:rPr>
        <w:t>. Bristol: Policy Press.</w:t>
      </w:r>
    </w:p>
    <w:p w14:paraId="688385AB"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Dominelli, L. (2002) </w:t>
      </w:r>
      <w:r w:rsidRPr="00B8079F">
        <w:rPr>
          <w:rFonts w:ascii="Arial" w:hAnsi="Arial" w:cs="Arial"/>
          <w:i/>
          <w:iCs/>
          <w:sz w:val="24"/>
          <w:szCs w:val="24"/>
        </w:rPr>
        <w:t>Anti-oppressive Social Work Theory and Practice</w:t>
      </w:r>
      <w:r w:rsidRPr="00B8079F">
        <w:rPr>
          <w:rFonts w:ascii="Arial" w:hAnsi="Arial" w:cs="Arial"/>
          <w:sz w:val="24"/>
          <w:szCs w:val="24"/>
        </w:rPr>
        <w:t>. Basingstoke: Palgrave Macmillan.</w:t>
      </w:r>
    </w:p>
    <w:p w14:paraId="18ABE50A"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Education Training Standards Wales (ETS Wales) (2019) </w:t>
      </w:r>
      <w:r w:rsidRPr="00B8079F">
        <w:rPr>
          <w:rFonts w:ascii="Arial" w:hAnsi="Arial" w:cs="Arial"/>
          <w:i/>
          <w:iCs/>
          <w:sz w:val="24"/>
          <w:szCs w:val="24"/>
        </w:rPr>
        <w:t>National Occupational Standards for Youth Work</w:t>
      </w:r>
      <w:r w:rsidRPr="00B8079F">
        <w:rPr>
          <w:rFonts w:ascii="Arial" w:hAnsi="Arial" w:cs="Arial"/>
          <w:sz w:val="24"/>
          <w:szCs w:val="24"/>
        </w:rPr>
        <w:t>. Cardiff: ETS Wales.</w:t>
      </w:r>
    </w:p>
    <w:p w14:paraId="157E6409"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Education Workforce Council (2023) </w:t>
      </w:r>
      <w:r w:rsidRPr="00B8079F">
        <w:rPr>
          <w:rFonts w:ascii="Arial" w:hAnsi="Arial" w:cs="Arial"/>
          <w:i/>
          <w:iCs/>
          <w:sz w:val="24"/>
          <w:szCs w:val="24"/>
        </w:rPr>
        <w:t>Professional Standards for Youth Work in Wales</w:t>
      </w:r>
      <w:r w:rsidRPr="00B8079F">
        <w:rPr>
          <w:rFonts w:ascii="Arial" w:hAnsi="Arial" w:cs="Arial"/>
          <w:sz w:val="24"/>
          <w:szCs w:val="24"/>
        </w:rPr>
        <w:t>. Cardiff: EWC.</w:t>
      </w:r>
    </w:p>
    <w:p w14:paraId="2CD077F9"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Freire, P. (1970) </w:t>
      </w:r>
      <w:r w:rsidRPr="00B8079F">
        <w:rPr>
          <w:rFonts w:ascii="Arial" w:hAnsi="Arial" w:cs="Arial"/>
          <w:i/>
          <w:iCs/>
          <w:sz w:val="24"/>
          <w:szCs w:val="24"/>
        </w:rPr>
        <w:t>Pedagogy of the Oppressed</w:t>
      </w:r>
      <w:r w:rsidRPr="00B8079F">
        <w:rPr>
          <w:rFonts w:ascii="Arial" w:hAnsi="Arial" w:cs="Arial"/>
          <w:sz w:val="24"/>
          <w:szCs w:val="24"/>
        </w:rPr>
        <w:t>. New York: Continuum.</w:t>
      </w:r>
    </w:p>
    <w:p w14:paraId="549768F7"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Gibbs, G. (1988) </w:t>
      </w:r>
      <w:r w:rsidRPr="00B8079F">
        <w:rPr>
          <w:rFonts w:ascii="Arial" w:hAnsi="Arial" w:cs="Arial"/>
          <w:i/>
          <w:iCs/>
          <w:sz w:val="24"/>
          <w:szCs w:val="24"/>
        </w:rPr>
        <w:t>Learning by Doing: A Guide to Teaching and Learning Methods</w:t>
      </w:r>
      <w:r w:rsidRPr="00B8079F">
        <w:rPr>
          <w:rFonts w:ascii="Arial" w:hAnsi="Arial" w:cs="Arial"/>
          <w:sz w:val="24"/>
          <w:szCs w:val="24"/>
        </w:rPr>
        <w:t>. Oxford: Oxford Polytechnic.</w:t>
      </w:r>
    </w:p>
    <w:p w14:paraId="4FA2BFF2"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Hart, R. (1992) </w:t>
      </w:r>
      <w:r w:rsidRPr="00B8079F">
        <w:rPr>
          <w:rFonts w:ascii="Arial" w:hAnsi="Arial" w:cs="Arial"/>
          <w:i/>
          <w:iCs/>
          <w:sz w:val="24"/>
          <w:szCs w:val="24"/>
        </w:rPr>
        <w:t>Children’s Participation: From Tokenism to Citizenship</w:t>
      </w:r>
      <w:r w:rsidRPr="00B8079F">
        <w:rPr>
          <w:rFonts w:ascii="Arial" w:hAnsi="Arial" w:cs="Arial"/>
          <w:sz w:val="24"/>
          <w:szCs w:val="24"/>
        </w:rPr>
        <w:t>. UNICEF.</w:t>
      </w:r>
    </w:p>
    <w:p w14:paraId="31AA7630"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Housing (Wales) Act 2014. Available at: </w:t>
      </w:r>
      <w:hyperlink r:id="rId9" w:history="1">
        <w:r w:rsidRPr="00B8079F">
          <w:rPr>
            <w:rStyle w:val="Hyperlink"/>
            <w:rFonts w:ascii="Arial" w:hAnsi="Arial" w:cs="Arial"/>
            <w:sz w:val="24"/>
            <w:szCs w:val="24"/>
          </w:rPr>
          <w:t>https://www.legislation.gov.uk/anaw/2014/7/part/2</w:t>
        </w:r>
      </w:hyperlink>
      <w:r w:rsidRPr="00B8079F">
        <w:rPr>
          <w:rFonts w:ascii="Arial" w:hAnsi="Arial" w:cs="Arial"/>
          <w:sz w:val="24"/>
          <w:szCs w:val="24"/>
        </w:rPr>
        <w:t xml:space="preserve"> (Accessed 14 November 2025).</w:t>
      </w:r>
    </w:p>
    <w:p w14:paraId="7384F004"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Jeffs, T. and Smith, M. (2005) </w:t>
      </w:r>
      <w:r w:rsidRPr="00B8079F">
        <w:rPr>
          <w:rFonts w:ascii="Arial" w:hAnsi="Arial" w:cs="Arial"/>
          <w:i/>
          <w:iCs/>
          <w:sz w:val="24"/>
          <w:szCs w:val="24"/>
        </w:rPr>
        <w:t>Informal Education: Conversation, Democracy and Learning</w:t>
      </w:r>
      <w:r w:rsidRPr="00B8079F">
        <w:rPr>
          <w:rFonts w:ascii="Arial" w:hAnsi="Arial" w:cs="Arial"/>
          <w:sz w:val="24"/>
          <w:szCs w:val="24"/>
        </w:rPr>
        <w:t>. Nottingham: Educational Heretics Press.</w:t>
      </w:r>
    </w:p>
    <w:p w14:paraId="4DF8CED3"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Jeffs, T. and Smith, M. (2010) </w:t>
      </w:r>
      <w:r w:rsidRPr="00B8079F">
        <w:rPr>
          <w:rFonts w:ascii="Arial" w:hAnsi="Arial" w:cs="Arial"/>
          <w:i/>
          <w:iCs/>
          <w:sz w:val="24"/>
          <w:szCs w:val="24"/>
        </w:rPr>
        <w:t>Youth Work Practice</w:t>
      </w:r>
      <w:r w:rsidRPr="00B8079F">
        <w:rPr>
          <w:rFonts w:ascii="Arial" w:hAnsi="Arial" w:cs="Arial"/>
          <w:sz w:val="24"/>
          <w:szCs w:val="24"/>
        </w:rPr>
        <w:t>. Basingstoke: Palgrave Macmillan.</w:t>
      </w:r>
    </w:p>
    <w:p w14:paraId="5D235AC7"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Kolb, D.A. (1984) </w:t>
      </w:r>
      <w:r w:rsidRPr="00B8079F">
        <w:rPr>
          <w:rFonts w:ascii="Arial" w:hAnsi="Arial" w:cs="Arial"/>
          <w:i/>
          <w:iCs/>
          <w:sz w:val="24"/>
          <w:szCs w:val="24"/>
        </w:rPr>
        <w:t>Experiential Learning: Experience as the Source of Learning and Development</w:t>
      </w:r>
      <w:r w:rsidRPr="00B8079F">
        <w:rPr>
          <w:rFonts w:ascii="Arial" w:hAnsi="Arial" w:cs="Arial"/>
          <w:sz w:val="24"/>
          <w:szCs w:val="24"/>
        </w:rPr>
        <w:t>. Englewood Cliffs, NJ: Prentice Hall.</w:t>
      </w:r>
    </w:p>
    <w:p w14:paraId="305E743D"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Lerner, R.M., Almerigi, J.B., </w:t>
      </w:r>
      <w:proofErr w:type="spellStart"/>
      <w:r w:rsidRPr="00B8079F">
        <w:rPr>
          <w:rFonts w:ascii="Arial" w:hAnsi="Arial" w:cs="Arial"/>
          <w:sz w:val="24"/>
          <w:szCs w:val="24"/>
        </w:rPr>
        <w:t>Theokas</w:t>
      </w:r>
      <w:proofErr w:type="spellEnd"/>
      <w:r w:rsidRPr="00B8079F">
        <w:rPr>
          <w:rFonts w:ascii="Arial" w:hAnsi="Arial" w:cs="Arial"/>
          <w:sz w:val="24"/>
          <w:szCs w:val="24"/>
        </w:rPr>
        <w:t xml:space="preserve">, C. and Lerner, J.V. (2005) ‘Positive youth development: A view of the issues’, </w:t>
      </w:r>
      <w:r w:rsidRPr="00B8079F">
        <w:rPr>
          <w:rFonts w:ascii="Arial" w:hAnsi="Arial" w:cs="Arial"/>
          <w:i/>
          <w:iCs/>
          <w:sz w:val="24"/>
          <w:szCs w:val="24"/>
        </w:rPr>
        <w:t>The Journal of Early Adolescence</w:t>
      </w:r>
      <w:r w:rsidRPr="00B8079F">
        <w:rPr>
          <w:rFonts w:ascii="Arial" w:hAnsi="Arial" w:cs="Arial"/>
          <w:sz w:val="24"/>
          <w:szCs w:val="24"/>
        </w:rPr>
        <w:t>, 25(1), pp. 10–16.</w:t>
      </w:r>
    </w:p>
    <w:p w14:paraId="329E09E0"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National Youth Agency (NYA) (2020) </w:t>
      </w:r>
      <w:r w:rsidRPr="00B8079F">
        <w:rPr>
          <w:rFonts w:ascii="Arial" w:hAnsi="Arial" w:cs="Arial"/>
          <w:i/>
          <w:iCs/>
          <w:sz w:val="24"/>
          <w:szCs w:val="24"/>
        </w:rPr>
        <w:t>Youth Work Safeguarding and Risk Management Guidance</w:t>
      </w:r>
      <w:r w:rsidRPr="00B8079F">
        <w:rPr>
          <w:rFonts w:ascii="Arial" w:hAnsi="Arial" w:cs="Arial"/>
          <w:sz w:val="24"/>
          <w:szCs w:val="24"/>
        </w:rPr>
        <w:t>. Leicester: NYA.</w:t>
      </w:r>
    </w:p>
    <w:p w14:paraId="73ED9550"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NYAS (2022) </w:t>
      </w:r>
      <w:r w:rsidRPr="00B8079F">
        <w:rPr>
          <w:rFonts w:ascii="Arial" w:hAnsi="Arial" w:cs="Arial"/>
          <w:i/>
          <w:iCs/>
          <w:sz w:val="24"/>
          <w:szCs w:val="24"/>
        </w:rPr>
        <w:t>Care leavers and housing: Understanding the challenges</w:t>
      </w:r>
      <w:r w:rsidRPr="00B8079F">
        <w:rPr>
          <w:rFonts w:ascii="Arial" w:hAnsi="Arial" w:cs="Arial"/>
          <w:sz w:val="24"/>
          <w:szCs w:val="24"/>
        </w:rPr>
        <w:t xml:space="preserve">. Available at: </w:t>
      </w:r>
      <w:hyperlink r:id="rId10" w:history="1">
        <w:r w:rsidRPr="00B8079F">
          <w:rPr>
            <w:rStyle w:val="Hyperlink"/>
            <w:rFonts w:ascii="Arial" w:hAnsi="Arial" w:cs="Arial"/>
            <w:sz w:val="24"/>
            <w:szCs w:val="24"/>
          </w:rPr>
          <w:t>https://www.nyas.net/news-and-campaigns/care-leavers-housing/</w:t>
        </w:r>
      </w:hyperlink>
      <w:r w:rsidRPr="00B8079F">
        <w:rPr>
          <w:rFonts w:ascii="Arial" w:hAnsi="Arial" w:cs="Arial"/>
          <w:sz w:val="24"/>
          <w:szCs w:val="24"/>
        </w:rPr>
        <w:t xml:space="preserve"> (Accessed 14 November 2025).</w:t>
      </w:r>
    </w:p>
    <w:p w14:paraId="7C860E14"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Ord, J. (2016) </w:t>
      </w:r>
      <w:r w:rsidRPr="00B8079F">
        <w:rPr>
          <w:rFonts w:ascii="Arial" w:hAnsi="Arial" w:cs="Arial"/>
          <w:i/>
          <w:iCs/>
          <w:sz w:val="24"/>
          <w:szCs w:val="24"/>
        </w:rPr>
        <w:t>Youth Work Process, Product and Practice</w:t>
      </w:r>
      <w:r w:rsidRPr="00B8079F">
        <w:rPr>
          <w:rFonts w:ascii="Arial" w:hAnsi="Arial" w:cs="Arial"/>
          <w:sz w:val="24"/>
          <w:szCs w:val="24"/>
        </w:rPr>
        <w:t>. London: Routledge.</w:t>
      </w:r>
    </w:p>
    <w:p w14:paraId="3DD70462"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Perry, B.D. (2006) ‘The neurosequential model of therapeutics’, </w:t>
      </w:r>
      <w:r w:rsidRPr="00B8079F">
        <w:rPr>
          <w:rFonts w:ascii="Arial" w:hAnsi="Arial" w:cs="Arial"/>
          <w:i/>
          <w:iCs/>
          <w:sz w:val="24"/>
          <w:szCs w:val="24"/>
        </w:rPr>
        <w:t>Reclaiming Children and Youth</w:t>
      </w:r>
      <w:r w:rsidRPr="00B8079F">
        <w:rPr>
          <w:rFonts w:ascii="Arial" w:hAnsi="Arial" w:cs="Arial"/>
          <w:sz w:val="24"/>
          <w:szCs w:val="24"/>
        </w:rPr>
        <w:t>, 17(3), pp. 38–43.</w:t>
      </w:r>
    </w:p>
    <w:p w14:paraId="7CD00BD3"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Ruch, G., Turney, D. and Ward, A. (2010) </w:t>
      </w:r>
      <w:r w:rsidRPr="00B8079F">
        <w:rPr>
          <w:rFonts w:ascii="Arial" w:hAnsi="Arial" w:cs="Arial"/>
          <w:i/>
          <w:iCs/>
          <w:sz w:val="24"/>
          <w:szCs w:val="24"/>
        </w:rPr>
        <w:t>Relationship-based Social Work: Getting to the Heart of Practice</w:t>
      </w:r>
      <w:r w:rsidRPr="00B8079F">
        <w:rPr>
          <w:rFonts w:ascii="Arial" w:hAnsi="Arial" w:cs="Arial"/>
          <w:sz w:val="24"/>
          <w:szCs w:val="24"/>
        </w:rPr>
        <w:t>. London: Jessica Kingsley Publishers.</w:t>
      </w:r>
    </w:p>
    <w:p w14:paraId="546290E4"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Schön, D.A. (1983) </w:t>
      </w:r>
      <w:r w:rsidRPr="00B8079F">
        <w:rPr>
          <w:rFonts w:ascii="Arial" w:hAnsi="Arial" w:cs="Arial"/>
          <w:i/>
          <w:iCs/>
          <w:sz w:val="24"/>
          <w:szCs w:val="24"/>
        </w:rPr>
        <w:t>The Reflective Practitioner: How Professionals Think in Action</w:t>
      </w:r>
      <w:r w:rsidRPr="00B8079F">
        <w:rPr>
          <w:rFonts w:ascii="Arial" w:hAnsi="Arial" w:cs="Arial"/>
          <w:sz w:val="24"/>
          <w:szCs w:val="24"/>
        </w:rPr>
        <w:t>. New York: Basic Books.</w:t>
      </w:r>
    </w:p>
    <w:p w14:paraId="645D62C0"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Shelter Cymru (2023) </w:t>
      </w:r>
      <w:r w:rsidRPr="00B8079F">
        <w:rPr>
          <w:rFonts w:ascii="Arial" w:hAnsi="Arial" w:cs="Arial"/>
          <w:i/>
          <w:iCs/>
          <w:sz w:val="24"/>
          <w:szCs w:val="24"/>
        </w:rPr>
        <w:t>New homelessness laws</w:t>
      </w:r>
      <w:r w:rsidRPr="00B8079F">
        <w:rPr>
          <w:rFonts w:ascii="Arial" w:hAnsi="Arial" w:cs="Arial"/>
          <w:sz w:val="24"/>
          <w:szCs w:val="24"/>
        </w:rPr>
        <w:t xml:space="preserve">. Available at: </w:t>
      </w:r>
      <w:hyperlink r:id="rId11" w:history="1">
        <w:r w:rsidRPr="00B8079F">
          <w:rPr>
            <w:rStyle w:val="Hyperlink"/>
            <w:rFonts w:ascii="Arial" w:hAnsi="Arial" w:cs="Arial"/>
            <w:sz w:val="24"/>
            <w:szCs w:val="24"/>
          </w:rPr>
          <w:t>https://sheltercymru.org.uk/housing-advice/homelessness/help-from-the-council/new-homelessness-laws/</w:t>
        </w:r>
      </w:hyperlink>
      <w:r w:rsidRPr="00B8079F">
        <w:rPr>
          <w:rFonts w:ascii="Arial" w:hAnsi="Arial" w:cs="Arial"/>
          <w:sz w:val="24"/>
          <w:szCs w:val="24"/>
        </w:rPr>
        <w:t xml:space="preserve"> (Accessed 14 November 2025).</w:t>
      </w:r>
    </w:p>
    <w:p w14:paraId="6DA25D7A" w14:textId="77777777" w:rsidR="00B8079F" w:rsidRPr="00B8079F" w:rsidRDefault="00B8079F" w:rsidP="00B8079F">
      <w:pPr>
        <w:rPr>
          <w:rFonts w:ascii="Arial" w:hAnsi="Arial" w:cs="Arial"/>
          <w:sz w:val="24"/>
          <w:szCs w:val="24"/>
        </w:rPr>
      </w:pPr>
      <w:proofErr w:type="spellStart"/>
      <w:r w:rsidRPr="00B8079F">
        <w:rPr>
          <w:rFonts w:ascii="Arial" w:hAnsi="Arial" w:cs="Arial"/>
          <w:sz w:val="24"/>
          <w:szCs w:val="24"/>
        </w:rPr>
        <w:t>SkillsActive</w:t>
      </w:r>
      <w:proofErr w:type="spellEnd"/>
      <w:r w:rsidRPr="00B8079F">
        <w:rPr>
          <w:rFonts w:ascii="Arial" w:hAnsi="Arial" w:cs="Arial"/>
          <w:sz w:val="24"/>
          <w:szCs w:val="24"/>
        </w:rPr>
        <w:t xml:space="preserve"> (2012) </w:t>
      </w:r>
      <w:r w:rsidRPr="00B8079F">
        <w:rPr>
          <w:rFonts w:ascii="Arial" w:hAnsi="Arial" w:cs="Arial"/>
          <w:i/>
          <w:iCs/>
          <w:sz w:val="24"/>
          <w:szCs w:val="24"/>
        </w:rPr>
        <w:t>National Occupational Standards for Youth Work</w:t>
      </w:r>
      <w:r w:rsidRPr="00B8079F">
        <w:rPr>
          <w:rFonts w:ascii="Arial" w:hAnsi="Arial" w:cs="Arial"/>
          <w:sz w:val="24"/>
          <w:szCs w:val="24"/>
        </w:rPr>
        <w:t xml:space="preserve">. London: </w:t>
      </w:r>
      <w:proofErr w:type="spellStart"/>
      <w:r w:rsidRPr="00B8079F">
        <w:rPr>
          <w:rFonts w:ascii="Arial" w:hAnsi="Arial" w:cs="Arial"/>
          <w:sz w:val="24"/>
          <w:szCs w:val="24"/>
        </w:rPr>
        <w:t>SkillsActive</w:t>
      </w:r>
      <w:proofErr w:type="spellEnd"/>
      <w:r w:rsidRPr="00B8079F">
        <w:rPr>
          <w:rFonts w:ascii="Arial" w:hAnsi="Arial" w:cs="Arial"/>
          <w:sz w:val="24"/>
          <w:szCs w:val="24"/>
        </w:rPr>
        <w:t>.</w:t>
      </w:r>
    </w:p>
    <w:p w14:paraId="08E90995"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Smith, M.K. (2023) </w:t>
      </w:r>
      <w:r w:rsidRPr="00B8079F">
        <w:rPr>
          <w:rFonts w:ascii="Arial" w:hAnsi="Arial" w:cs="Arial"/>
          <w:i/>
          <w:iCs/>
          <w:sz w:val="24"/>
          <w:szCs w:val="24"/>
        </w:rPr>
        <w:t>What is youth work? Exploring the history, theory and practice of work with young people</w:t>
      </w:r>
      <w:r w:rsidRPr="00B8079F">
        <w:rPr>
          <w:rFonts w:ascii="Arial" w:hAnsi="Arial" w:cs="Arial"/>
          <w:sz w:val="24"/>
          <w:szCs w:val="24"/>
        </w:rPr>
        <w:t xml:space="preserve">. infed.org. Available at: </w:t>
      </w:r>
      <w:hyperlink r:id="rId12" w:history="1">
        <w:r w:rsidRPr="00B8079F">
          <w:rPr>
            <w:rStyle w:val="Hyperlink"/>
            <w:rFonts w:ascii="Arial" w:hAnsi="Arial" w:cs="Arial"/>
            <w:sz w:val="24"/>
            <w:szCs w:val="24"/>
          </w:rPr>
          <w:t>https://infed.org/dir/welcome/what-is-youth-work-exploring-the-history-theory-and-practice-of-work-with-young-people/</w:t>
        </w:r>
      </w:hyperlink>
      <w:r w:rsidRPr="00B8079F">
        <w:rPr>
          <w:rFonts w:ascii="Arial" w:hAnsi="Arial" w:cs="Arial"/>
          <w:sz w:val="24"/>
          <w:szCs w:val="24"/>
        </w:rPr>
        <w:t xml:space="preserve"> (Accessed 14 November 2025).</w:t>
      </w:r>
    </w:p>
    <w:p w14:paraId="6F216122"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Stein, M. (2006) ‘Young people aging out of care: The poverty of theory’, </w:t>
      </w:r>
      <w:r w:rsidRPr="00B8079F">
        <w:rPr>
          <w:rFonts w:ascii="Arial" w:hAnsi="Arial" w:cs="Arial"/>
          <w:i/>
          <w:iCs/>
          <w:sz w:val="24"/>
          <w:szCs w:val="24"/>
        </w:rPr>
        <w:t>Children and Youth Services Review</w:t>
      </w:r>
      <w:r w:rsidRPr="00B8079F">
        <w:rPr>
          <w:rFonts w:ascii="Arial" w:hAnsi="Arial" w:cs="Arial"/>
          <w:sz w:val="24"/>
          <w:szCs w:val="24"/>
        </w:rPr>
        <w:t>, 28(4), pp. 422–434.</w:t>
      </w:r>
    </w:p>
    <w:p w14:paraId="6E98448B"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Stein, M. (2006) ‘Young people leaving care: transitions to adulthood’, </w:t>
      </w:r>
      <w:r w:rsidRPr="00B8079F">
        <w:rPr>
          <w:rFonts w:ascii="Arial" w:hAnsi="Arial" w:cs="Arial"/>
          <w:i/>
          <w:iCs/>
          <w:sz w:val="24"/>
          <w:szCs w:val="24"/>
        </w:rPr>
        <w:t>Research Highlights in Social Work</w:t>
      </w:r>
      <w:r w:rsidRPr="00B8079F">
        <w:rPr>
          <w:rFonts w:ascii="Arial" w:hAnsi="Arial" w:cs="Arial"/>
          <w:sz w:val="24"/>
          <w:szCs w:val="24"/>
        </w:rPr>
        <w:t>, 20(1), pp. 1–12.</w:t>
      </w:r>
    </w:p>
    <w:p w14:paraId="628A779D"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Thompson, N. and Thompson, S. (2018) </w:t>
      </w:r>
      <w:r w:rsidRPr="00B8079F">
        <w:rPr>
          <w:rFonts w:ascii="Arial" w:hAnsi="Arial" w:cs="Arial"/>
          <w:i/>
          <w:iCs/>
          <w:sz w:val="24"/>
          <w:szCs w:val="24"/>
        </w:rPr>
        <w:t>The Critically Reflective Practitioner</w:t>
      </w:r>
      <w:r w:rsidRPr="00B8079F">
        <w:rPr>
          <w:rFonts w:ascii="Arial" w:hAnsi="Arial" w:cs="Arial"/>
          <w:sz w:val="24"/>
          <w:szCs w:val="24"/>
        </w:rPr>
        <w:t xml:space="preserve">. 2nd </w:t>
      </w:r>
      <w:proofErr w:type="spellStart"/>
      <w:r w:rsidRPr="00B8079F">
        <w:rPr>
          <w:rFonts w:ascii="Arial" w:hAnsi="Arial" w:cs="Arial"/>
          <w:sz w:val="24"/>
          <w:szCs w:val="24"/>
        </w:rPr>
        <w:t>edn</w:t>
      </w:r>
      <w:proofErr w:type="spellEnd"/>
      <w:r w:rsidRPr="00B8079F">
        <w:rPr>
          <w:rFonts w:ascii="Arial" w:hAnsi="Arial" w:cs="Arial"/>
          <w:sz w:val="24"/>
          <w:szCs w:val="24"/>
        </w:rPr>
        <w:t>. London: Palgrave.</w:t>
      </w:r>
    </w:p>
    <w:p w14:paraId="751BAA42"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Welsh Government (2000) </w:t>
      </w:r>
      <w:r w:rsidRPr="00B8079F">
        <w:rPr>
          <w:rFonts w:ascii="Arial" w:hAnsi="Arial" w:cs="Arial"/>
          <w:i/>
          <w:iCs/>
          <w:sz w:val="24"/>
          <w:szCs w:val="24"/>
        </w:rPr>
        <w:t>Extending Entitlement: Supporting Young People in Wales</w:t>
      </w:r>
      <w:r w:rsidRPr="00B8079F">
        <w:rPr>
          <w:rFonts w:ascii="Arial" w:hAnsi="Arial" w:cs="Arial"/>
          <w:sz w:val="24"/>
          <w:szCs w:val="24"/>
        </w:rPr>
        <w:t>. Cardiff: Welsh Government.</w:t>
      </w:r>
    </w:p>
    <w:p w14:paraId="415F9937"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Welsh Government (2013) </w:t>
      </w:r>
      <w:r w:rsidRPr="00B8079F">
        <w:rPr>
          <w:rFonts w:ascii="Arial" w:hAnsi="Arial" w:cs="Arial"/>
          <w:i/>
          <w:iCs/>
          <w:sz w:val="24"/>
          <w:szCs w:val="24"/>
        </w:rPr>
        <w:t>Youth Engagement and Progression Framework</w:t>
      </w:r>
      <w:r w:rsidRPr="00B8079F">
        <w:rPr>
          <w:rFonts w:ascii="Arial" w:hAnsi="Arial" w:cs="Arial"/>
          <w:sz w:val="24"/>
          <w:szCs w:val="24"/>
        </w:rPr>
        <w:t>. Cardiff: Welsh Government.</w:t>
      </w:r>
    </w:p>
    <w:p w14:paraId="0B85BAE9"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Welsh Government (2019) </w:t>
      </w:r>
      <w:r w:rsidRPr="00B8079F">
        <w:rPr>
          <w:rFonts w:ascii="Arial" w:hAnsi="Arial" w:cs="Arial"/>
          <w:i/>
          <w:iCs/>
          <w:sz w:val="24"/>
          <w:szCs w:val="24"/>
        </w:rPr>
        <w:t>Youth Work Strategy for Wales</w:t>
      </w:r>
      <w:r w:rsidRPr="00B8079F">
        <w:rPr>
          <w:rFonts w:ascii="Arial" w:hAnsi="Arial" w:cs="Arial"/>
          <w:sz w:val="24"/>
          <w:szCs w:val="24"/>
        </w:rPr>
        <w:t>. Cardiff: Welsh Government.</w:t>
      </w:r>
    </w:p>
    <w:p w14:paraId="24602DA6"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Welsh Government (2019) </w:t>
      </w:r>
      <w:r w:rsidRPr="00B8079F">
        <w:rPr>
          <w:rFonts w:ascii="Arial" w:hAnsi="Arial" w:cs="Arial"/>
          <w:i/>
          <w:iCs/>
          <w:sz w:val="24"/>
          <w:szCs w:val="24"/>
        </w:rPr>
        <w:t>Youth Work in Wales: Principles and Purposes</w:t>
      </w:r>
      <w:r w:rsidRPr="00B8079F">
        <w:rPr>
          <w:rFonts w:ascii="Arial" w:hAnsi="Arial" w:cs="Arial"/>
          <w:sz w:val="24"/>
          <w:szCs w:val="24"/>
        </w:rPr>
        <w:t>. Cardiff: Welsh Government.</w:t>
      </w:r>
    </w:p>
    <w:p w14:paraId="18C40B34"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Welsh Government (2023) </w:t>
      </w:r>
      <w:r w:rsidRPr="00B8079F">
        <w:rPr>
          <w:rFonts w:ascii="Arial" w:hAnsi="Arial" w:cs="Arial"/>
          <w:i/>
          <w:iCs/>
          <w:sz w:val="24"/>
          <w:szCs w:val="24"/>
        </w:rPr>
        <w:t>Keeping Learners Safe: Statutory Guidance for Safeguarding Children in Education</w:t>
      </w:r>
      <w:r w:rsidRPr="00B8079F">
        <w:rPr>
          <w:rFonts w:ascii="Arial" w:hAnsi="Arial" w:cs="Arial"/>
          <w:sz w:val="24"/>
          <w:szCs w:val="24"/>
        </w:rPr>
        <w:t>. Cardiff: Welsh Government.</w:t>
      </w:r>
    </w:p>
    <w:p w14:paraId="33EE91D3"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Welsh Government (2024) </w:t>
      </w:r>
      <w:r w:rsidRPr="00B8079F">
        <w:rPr>
          <w:rFonts w:ascii="Arial" w:hAnsi="Arial" w:cs="Arial"/>
          <w:i/>
          <w:iCs/>
          <w:sz w:val="24"/>
          <w:szCs w:val="24"/>
        </w:rPr>
        <w:t>Youth Work in Wales: Policy and Practice Framework</w:t>
      </w:r>
      <w:r w:rsidRPr="00B8079F">
        <w:rPr>
          <w:rFonts w:ascii="Arial" w:hAnsi="Arial" w:cs="Arial"/>
          <w:sz w:val="24"/>
          <w:szCs w:val="24"/>
        </w:rPr>
        <w:t>. Cardiff: Welsh Government.</w:t>
      </w:r>
    </w:p>
    <w:p w14:paraId="625D0D83"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Welsh Government &amp; ETS Wales (2019) </w:t>
      </w:r>
      <w:r w:rsidRPr="00B8079F">
        <w:rPr>
          <w:rFonts w:ascii="Arial" w:hAnsi="Arial" w:cs="Arial"/>
          <w:i/>
          <w:iCs/>
          <w:sz w:val="24"/>
          <w:szCs w:val="24"/>
        </w:rPr>
        <w:t>Youth Work in Wales: Principles and Purposes</w:t>
      </w:r>
      <w:r w:rsidRPr="00B8079F">
        <w:rPr>
          <w:rFonts w:ascii="Arial" w:hAnsi="Arial" w:cs="Arial"/>
          <w:sz w:val="24"/>
          <w:szCs w:val="24"/>
        </w:rPr>
        <w:t>. Cardiff: Welsh Government.</w:t>
      </w:r>
    </w:p>
    <w:p w14:paraId="26DC4DD5" w14:textId="77777777" w:rsidR="00B8079F" w:rsidRPr="00B8079F" w:rsidRDefault="00B8079F" w:rsidP="00B8079F">
      <w:pPr>
        <w:rPr>
          <w:rFonts w:ascii="Arial" w:hAnsi="Arial" w:cs="Arial"/>
          <w:sz w:val="24"/>
          <w:szCs w:val="24"/>
        </w:rPr>
      </w:pPr>
      <w:r w:rsidRPr="00B8079F">
        <w:rPr>
          <w:rFonts w:ascii="Arial" w:hAnsi="Arial" w:cs="Arial"/>
          <w:sz w:val="24"/>
          <w:szCs w:val="24"/>
        </w:rPr>
        <w:t xml:space="preserve">Young, K. (2006) </w:t>
      </w:r>
      <w:r w:rsidRPr="00B8079F">
        <w:rPr>
          <w:rFonts w:ascii="Arial" w:hAnsi="Arial" w:cs="Arial"/>
          <w:i/>
          <w:iCs/>
          <w:sz w:val="24"/>
          <w:szCs w:val="24"/>
        </w:rPr>
        <w:t>The Art of Youth Work</w:t>
      </w:r>
      <w:r w:rsidRPr="00B8079F">
        <w:rPr>
          <w:rFonts w:ascii="Arial" w:hAnsi="Arial" w:cs="Arial"/>
          <w:sz w:val="24"/>
          <w:szCs w:val="24"/>
        </w:rPr>
        <w:t xml:space="preserve">. 2nd </w:t>
      </w:r>
      <w:proofErr w:type="spellStart"/>
      <w:r w:rsidRPr="00B8079F">
        <w:rPr>
          <w:rFonts w:ascii="Arial" w:hAnsi="Arial" w:cs="Arial"/>
          <w:sz w:val="24"/>
          <w:szCs w:val="24"/>
        </w:rPr>
        <w:t>edn</w:t>
      </w:r>
      <w:proofErr w:type="spellEnd"/>
      <w:r w:rsidRPr="00B8079F">
        <w:rPr>
          <w:rFonts w:ascii="Arial" w:hAnsi="Arial" w:cs="Arial"/>
          <w:sz w:val="24"/>
          <w:szCs w:val="24"/>
        </w:rPr>
        <w:t>. Lyme Regis: Russell House Publishing.</w:t>
      </w:r>
    </w:p>
    <w:p w14:paraId="7D6D8042" w14:textId="77777777" w:rsidR="00095F0D" w:rsidRPr="00095F0D" w:rsidRDefault="00095F0D" w:rsidP="00095F0D">
      <w:pPr>
        <w:rPr>
          <w:rFonts w:ascii="Arial" w:hAnsi="Arial" w:cs="Arial"/>
        </w:rPr>
      </w:pPr>
    </w:p>
    <w:p w14:paraId="4DD91FE8" w14:textId="4E2D7CC2" w:rsidR="005E1EAD" w:rsidRPr="004E57F6" w:rsidRDefault="005E1EAD" w:rsidP="005E1EAD">
      <w:pPr>
        <w:rPr>
          <w:rFonts w:ascii="Arial" w:hAnsi="Arial" w:cs="Arial"/>
        </w:rPr>
      </w:pPr>
    </w:p>
    <w:sectPr w:rsidR="005E1EAD" w:rsidRPr="004E57F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1B492" w14:textId="77777777" w:rsidR="003E6F59" w:rsidRDefault="003E6F59" w:rsidP="00E437CC">
      <w:pPr>
        <w:spacing w:after="0" w:line="240" w:lineRule="auto"/>
      </w:pPr>
      <w:r>
        <w:separator/>
      </w:r>
    </w:p>
  </w:endnote>
  <w:endnote w:type="continuationSeparator" w:id="0">
    <w:p w14:paraId="33EF8523" w14:textId="77777777" w:rsidR="003E6F59" w:rsidRDefault="003E6F59" w:rsidP="00E43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9984388"/>
      <w:docPartObj>
        <w:docPartGallery w:val="Page Numbers (Bottom of Page)"/>
        <w:docPartUnique/>
      </w:docPartObj>
    </w:sdtPr>
    <w:sdtEndPr>
      <w:rPr>
        <w:noProof/>
      </w:rPr>
    </w:sdtEndPr>
    <w:sdtContent>
      <w:p w14:paraId="11B9ABBC" w14:textId="428FD4AA" w:rsidR="00AF7907" w:rsidRDefault="00AF7907">
        <w:pPr>
          <w:pStyle w:val="Footer"/>
        </w:pPr>
        <w:r>
          <w:fldChar w:fldCharType="begin"/>
        </w:r>
        <w:r>
          <w:instrText xml:space="preserve"> PAGE   \* MERGEFORMAT </w:instrText>
        </w:r>
        <w:r>
          <w:fldChar w:fldCharType="separate"/>
        </w:r>
        <w:r>
          <w:rPr>
            <w:noProof/>
          </w:rPr>
          <w:t>2</w:t>
        </w:r>
        <w:r>
          <w:rPr>
            <w:noProof/>
          </w:rPr>
          <w:fldChar w:fldCharType="end"/>
        </w:r>
      </w:p>
    </w:sdtContent>
  </w:sdt>
  <w:p w14:paraId="156CDF28" w14:textId="77777777" w:rsidR="00AF7907" w:rsidRDefault="00AF7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73849" w14:textId="77777777" w:rsidR="003E6F59" w:rsidRDefault="003E6F59" w:rsidP="00E437CC">
      <w:pPr>
        <w:spacing w:after="0" w:line="240" w:lineRule="auto"/>
      </w:pPr>
      <w:r>
        <w:separator/>
      </w:r>
    </w:p>
  </w:footnote>
  <w:footnote w:type="continuationSeparator" w:id="0">
    <w:p w14:paraId="61C21EAA" w14:textId="77777777" w:rsidR="003E6F59" w:rsidRDefault="003E6F59" w:rsidP="00E437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B4621"/>
    <w:multiLevelType w:val="multilevel"/>
    <w:tmpl w:val="677A2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9790A"/>
    <w:multiLevelType w:val="hybridMultilevel"/>
    <w:tmpl w:val="9F96B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F6A39"/>
    <w:multiLevelType w:val="hybridMultilevel"/>
    <w:tmpl w:val="BAC46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0D62A6"/>
    <w:multiLevelType w:val="hybridMultilevel"/>
    <w:tmpl w:val="39C83042"/>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106076B3"/>
    <w:multiLevelType w:val="multilevel"/>
    <w:tmpl w:val="05CA9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C63DEF"/>
    <w:multiLevelType w:val="multilevel"/>
    <w:tmpl w:val="6A5E0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DB41A1"/>
    <w:multiLevelType w:val="multilevel"/>
    <w:tmpl w:val="DEDEA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1F6739"/>
    <w:multiLevelType w:val="multilevel"/>
    <w:tmpl w:val="62409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DC4747"/>
    <w:multiLevelType w:val="multilevel"/>
    <w:tmpl w:val="8378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4D4733"/>
    <w:multiLevelType w:val="hybridMultilevel"/>
    <w:tmpl w:val="67EAE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FB1BBB"/>
    <w:multiLevelType w:val="multilevel"/>
    <w:tmpl w:val="03460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3B7C02"/>
    <w:multiLevelType w:val="multilevel"/>
    <w:tmpl w:val="4AB2F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EA4B36"/>
    <w:multiLevelType w:val="multilevel"/>
    <w:tmpl w:val="539CD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283056"/>
    <w:multiLevelType w:val="multilevel"/>
    <w:tmpl w:val="FE303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34591D"/>
    <w:multiLevelType w:val="hybridMultilevel"/>
    <w:tmpl w:val="129C5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967734"/>
    <w:multiLevelType w:val="hybridMultilevel"/>
    <w:tmpl w:val="CFC8C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A11557"/>
    <w:multiLevelType w:val="multilevel"/>
    <w:tmpl w:val="B926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916DC1"/>
    <w:multiLevelType w:val="multilevel"/>
    <w:tmpl w:val="84CAD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D9041A"/>
    <w:multiLevelType w:val="multilevel"/>
    <w:tmpl w:val="F0EA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8241FB"/>
    <w:multiLevelType w:val="multilevel"/>
    <w:tmpl w:val="E898A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2D03A4"/>
    <w:multiLevelType w:val="multilevel"/>
    <w:tmpl w:val="A0160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4321210">
    <w:abstractNumId w:val="7"/>
  </w:num>
  <w:num w:numId="2" w16cid:durableId="1887910093">
    <w:abstractNumId w:val="9"/>
  </w:num>
  <w:num w:numId="3" w16cid:durableId="1992782451">
    <w:abstractNumId w:val="10"/>
  </w:num>
  <w:num w:numId="4" w16cid:durableId="1267688467">
    <w:abstractNumId w:val="18"/>
  </w:num>
  <w:num w:numId="5" w16cid:durableId="1317683835">
    <w:abstractNumId w:val="16"/>
  </w:num>
  <w:num w:numId="6" w16cid:durableId="2099252712">
    <w:abstractNumId w:val="5"/>
  </w:num>
  <w:num w:numId="7" w16cid:durableId="522716685">
    <w:abstractNumId w:val="0"/>
  </w:num>
  <w:num w:numId="8" w16cid:durableId="1843203626">
    <w:abstractNumId w:val="13"/>
  </w:num>
  <w:num w:numId="9" w16cid:durableId="921260656">
    <w:abstractNumId w:val="14"/>
  </w:num>
  <w:num w:numId="10" w16cid:durableId="2116633900">
    <w:abstractNumId w:val="15"/>
  </w:num>
  <w:num w:numId="11" w16cid:durableId="1615674556">
    <w:abstractNumId w:val="6"/>
  </w:num>
  <w:num w:numId="12" w16cid:durableId="301275584">
    <w:abstractNumId w:val="1"/>
  </w:num>
  <w:num w:numId="13" w16cid:durableId="1071732889">
    <w:abstractNumId w:val="3"/>
  </w:num>
  <w:num w:numId="14" w16cid:durableId="179203104">
    <w:abstractNumId w:val="8"/>
  </w:num>
  <w:num w:numId="15" w16cid:durableId="1130901916">
    <w:abstractNumId w:val="11"/>
  </w:num>
  <w:num w:numId="16" w16cid:durableId="123499469">
    <w:abstractNumId w:val="19"/>
  </w:num>
  <w:num w:numId="17" w16cid:durableId="1451512770">
    <w:abstractNumId w:val="12"/>
  </w:num>
  <w:num w:numId="18" w16cid:durableId="941953845">
    <w:abstractNumId w:val="4"/>
  </w:num>
  <w:num w:numId="19" w16cid:durableId="778183913">
    <w:abstractNumId w:val="20"/>
  </w:num>
  <w:num w:numId="20" w16cid:durableId="1011830997">
    <w:abstractNumId w:val="17"/>
  </w:num>
  <w:num w:numId="21" w16cid:durableId="13075168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14D"/>
    <w:rsid w:val="000361CD"/>
    <w:rsid w:val="00090E52"/>
    <w:rsid w:val="000942DB"/>
    <w:rsid w:val="00095F0D"/>
    <w:rsid w:val="000E07A3"/>
    <w:rsid w:val="000E4555"/>
    <w:rsid w:val="00132C91"/>
    <w:rsid w:val="00134162"/>
    <w:rsid w:val="00166A9F"/>
    <w:rsid w:val="001F7C58"/>
    <w:rsid w:val="002126A8"/>
    <w:rsid w:val="00303A03"/>
    <w:rsid w:val="00392028"/>
    <w:rsid w:val="00397703"/>
    <w:rsid w:val="003E6F59"/>
    <w:rsid w:val="00401A7A"/>
    <w:rsid w:val="004224F7"/>
    <w:rsid w:val="004261ED"/>
    <w:rsid w:val="004421C4"/>
    <w:rsid w:val="00492B46"/>
    <w:rsid w:val="00497506"/>
    <w:rsid w:val="004A47F3"/>
    <w:rsid w:val="004E57F6"/>
    <w:rsid w:val="004F13E8"/>
    <w:rsid w:val="00514944"/>
    <w:rsid w:val="00555ADE"/>
    <w:rsid w:val="00576330"/>
    <w:rsid w:val="005B4B39"/>
    <w:rsid w:val="005D67C8"/>
    <w:rsid w:val="005E1EAD"/>
    <w:rsid w:val="005F4E03"/>
    <w:rsid w:val="00605395"/>
    <w:rsid w:val="00615CB5"/>
    <w:rsid w:val="00633B4C"/>
    <w:rsid w:val="00635F86"/>
    <w:rsid w:val="00674060"/>
    <w:rsid w:val="006749F4"/>
    <w:rsid w:val="00682E6E"/>
    <w:rsid w:val="00686DB9"/>
    <w:rsid w:val="0069524F"/>
    <w:rsid w:val="00696174"/>
    <w:rsid w:val="00697D06"/>
    <w:rsid w:val="006C4613"/>
    <w:rsid w:val="006C7B87"/>
    <w:rsid w:val="0073377E"/>
    <w:rsid w:val="00741E76"/>
    <w:rsid w:val="00773E6C"/>
    <w:rsid w:val="007B42B1"/>
    <w:rsid w:val="007C3C9E"/>
    <w:rsid w:val="007C7B76"/>
    <w:rsid w:val="007E0E7E"/>
    <w:rsid w:val="008116D0"/>
    <w:rsid w:val="00881AFB"/>
    <w:rsid w:val="008B1195"/>
    <w:rsid w:val="00901DBC"/>
    <w:rsid w:val="009073D9"/>
    <w:rsid w:val="009536E1"/>
    <w:rsid w:val="00953DD2"/>
    <w:rsid w:val="009902EA"/>
    <w:rsid w:val="009A3F27"/>
    <w:rsid w:val="009C0501"/>
    <w:rsid w:val="00A07003"/>
    <w:rsid w:val="00A1013B"/>
    <w:rsid w:val="00A17EF2"/>
    <w:rsid w:val="00A36169"/>
    <w:rsid w:val="00A365F2"/>
    <w:rsid w:val="00A73771"/>
    <w:rsid w:val="00A8339D"/>
    <w:rsid w:val="00A93A14"/>
    <w:rsid w:val="00A95A97"/>
    <w:rsid w:val="00AF7907"/>
    <w:rsid w:val="00B170AA"/>
    <w:rsid w:val="00B60789"/>
    <w:rsid w:val="00B8079F"/>
    <w:rsid w:val="00B8717E"/>
    <w:rsid w:val="00B940B6"/>
    <w:rsid w:val="00BA3F2F"/>
    <w:rsid w:val="00BB0E2B"/>
    <w:rsid w:val="00BF3FD0"/>
    <w:rsid w:val="00C1539C"/>
    <w:rsid w:val="00CF48EA"/>
    <w:rsid w:val="00CF7E7C"/>
    <w:rsid w:val="00D21430"/>
    <w:rsid w:val="00D24841"/>
    <w:rsid w:val="00D37E6C"/>
    <w:rsid w:val="00D477B9"/>
    <w:rsid w:val="00D5033A"/>
    <w:rsid w:val="00E10B23"/>
    <w:rsid w:val="00E25407"/>
    <w:rsid w:val="00E308D3"/>
    <w:rsid w:val="00E40D6F"/>
    <w:rsid w:val="00E437CC"/>
    <w:rsid w:val="00E4661A"/>
    <w:rsid w:val="00E83C79"/>
    <w:rsid w:val="00E96AFE"/>
    <w:rsid w:val="00EC5DDE"/>
    <w:rsid w:val="00ED1586"/>
    <w:rsid w:val="00EE0C3A"/>
    <w:rsid w:val="00F0710B"/>
    <w:rsid w:val="00F24D7F"/>
    <w:rsid w:val="00F629F4"/>
    <w:rsid w:val="00F769F1"/>
    <w:rsid w:val="00F879BF"/>
    <w:rsid w:val="00F900D0"/>
    <w:rsid w:val="00F93037"/>
    <w:rsid w:val="00FD27FE"/>
    <w:rsid w:val="00FD414D"/>
    <w:rsid w:val="00FD4DF3"/>
    <w:rsid w:val="00FF2B6C"/>
    <w:rsid w:val="00FF6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DFBBC"/>
  <w15:chartTrackingRefBased/>
  <w15:docId w15:val="{4FAC0EC4-16A5-4C75-A97D-AFC3B8F99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EAD"/>
  </w:style>
  <w:style w:type="paragraph" w:styleId="Heading1">
    <w:name w:val="heading 1"/>
    <w:basedOn w:val="Normal"/>
    <w:next w:val="Normal"/>
    <w:link w:val="Heading1Char"/>
    <w:uiPriority w:val="9"/>
    <w:qFormat/>
    <w:rsid w:val="00FD414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FD414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D414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D414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D414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D41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1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1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1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14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FD414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D414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D414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D414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D41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1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1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14D"/>
    <w:rPr>
      <w:rFonts w:eastAsiaTheme="majorEastAsia" w:cstheme="majorBidi"/>
      <w:color w:val="272727" w:themeColor="text1" w:themeTint="D8"/>
    </w:rPr>
  </w:style>
  <w:style w:type="paragraph" w:styleId="Title">
    <w:name w:val="Title"/>
    <w:basedOn w:val="Normal"/>
    <w:next w:val="Normal"/>
    <w:link w:val="TitleChar"/>
    <w:uiPriority w:val="10"/>
    <w:qFormat/>
    <w:rsid w:val="00FD41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1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1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1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14D"/>
    <w:pPr>
      <w:spacing w:before="160"/>
      <w:jc w:val="center"/>
    </w:pPr>
    <w:rPr>
      <w:i/>
      <w:iCs/>
      <w:color w:val="404040" w:themeColor="text1" w:themeTint="BF"/>
    </w:rPr>
  </w:style>
  <w:style w:type="character" w:customStyle="1" w:styleId="QuoteChar">
    <w:name w:val="Quote Char"/>
    <w:basedOn w:val="DefaultParagraphFont"/>
    <w:link w:val="Quote"/>
    <w:uiPriority w:val="29"/>
    <w:rsid w:val="00FD414D"/>
    <w:rPr>
      <w:i/>
      <w:iCs/>
      <w:color w:val="404040" w:themeColor="text1" w:themeTint="BF"/>
    </w:rPr>
  </w:style>
  <w:style w:type="paragraph" w:styleId="ListParagraph">
    <w:name w:val="List Paragraph"/>
    <w:basedOn w:val="Normal"/>
    <w:uiPriority w:val="34"/>
    <w:qFormat/>
    <w:rsid w:val="00FD414D"/>
    <w:pPr>
      <w:ind w:left="720"/>
      <w:contextualSpacing/>
    </w:pPr>
  </w:style>
  <w:style w:type="character" w:styleId="IntenseEmphasis">
    <w:name w:val="Intense Emphasis"/>
    <w:basedOn w:val="DefaultParagraphFont"/>
    <w:uiPriority w:val="21"/>
    <w:qFormat/>
    <w:rsid w:val="00FD414D"/>
    <w:rPr>
      <w:i/>
      <w:iCs/>
      <w:color w:val="2E74B5" w:themeColor="accent1" w:themeShade="BF"/>
    </w:rPr>
  </w:style>
  <w:style w:type="paragraph" w:styleId="IntenseQuote">
    <w:name w:val="Intense Quote"/>
    <w:basedOn w:val="Normal"/>
    <w:next w:val="Normal"/>
    <w:link w:val="IntenseQuoteChar"/>
    <w:uiPriority w:val="30"/>
    <w:qFormat/>
    <w:rsid w:val="00FD414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D414D"/>
    <w:rPr>
      <w:i/>
      <w:iCs/>
      <w:color w:val="2E74B5" w:themeColor="accent1" w:themeShade="BF"/>
    </w:rPr>
  </w:style>
  <w:style w:type="character" w:styleId="IntenseReference">
    <w:name w:val="Intense Reference"/>
    <w:basedOn w:val="DefaultParagraphFont"/>
    <w:uiPriority w:val="32"/>
    <w:qFormat/>
    <w:rsid w:val="00FD414D"/>
    <w:rPr>
      <w:b/>
      <w:bCs/>
      <w:smallCaps/>
      <w:color w:val="2E74B5" w:themeColor="accent1" w:themeShade="BF"/>
      <w:spacing w:val="5"/>
    </w:rPr>
  </w:style>
  <w:style w:type="table" w:styleId="TableGrid">
    <w:name w:val="Table Grid"/>
    <w:basedOn w:val="TableNormal"/>
    <w:uiPriority w:val="39"/>
    <w:rsid w:val="005E1E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43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7CC"/>
  </w:style>
  <w:style w:type="paragraph" w:styleId="Footer">
    <w:name w:val="footer"/>
    <w:basedOn w:val="Normal"/>
    <w:link w:val="FooterChar"/>
    <w:uiPriority w:val="99"/>
    <w:unhideWhenUsed/>
    <w:rsid w:val="00E43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7CC"/>
  </w:style>
  <w:style w:type="character" w:styleId="Hyperlink">
    <w:name w:val="Hyperlink"/>
    <w:basedOn w:val="DefaultParagraphFont"/>
    <w:uiPriority w:val="99"/>
    <w:unhideWhenUsed/>
    <w:rsid w:val="0069524F"/>
    <w:rPr>
      <w:color w:val="0563C1" w:themeColor="hyperlink"/>
      <w:u w:val="single"/>
    </w:rPr>
  </w:style>
  <w:style w:type="character" w:styleId="UnresolvedMention">
    <w:name w:val="Unresolved Mention"/>
    <w:basedOn w:val="DefaultParagraphFont"/>
    <w:uiPriority w:val="99"/>
    <w:semiHidden/>
    <w:unhideWhenUsed/>
    <w:rsid w:val="009073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722429">
      <w:bodyDiv w:val="1"/>
      <w:marLeft w:val="0"/>
      <w:marRight w:val="0"/>
      <w:marTop w:val="0"/>
      <w:marBottom w:val="0"/>
      <w:divBdr>
        <w:top w:val="none" w:sz="0" w:space="0" w:color="auto"/>
        <w:left w:val="none" w:sz="0" w:space="0" w:color="auto"/>
        <w:bottom w:val="none" w:sz="0" w:space="0" w:color="auto"/>
        <w:right w:val="none" w:sz="0" w:space="0" w:color="auto"/>
      </w:divBdr>
    </w:div>
    <w:div w:id="952828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wp-content/uploads/2017/06/cooper_models_of_youth_work.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fed.org/dir/welcome/what-is-youth-work-exploring-the-history-theory-and-practice-of-work-with-young-peop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eltercymru.org.uk/housing-advice/homelessness/help-from-the-council/new-homelessness-law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yas.net/news-and-campaigns/care-leavers-housing/" TargetMode="External"/><Relationship Id="rId4" Type="http://schemas.openxmlformats.org/officeDocument/2006/relationships/settings" Target="settings.xml"/><Relationship Id="rId9" Type="http://schemas.openxmlformats.org/officeDocument/2006/relationships/hyperlink" Target="https://www.legislation.gov.uk/anaw/2014/7/part/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278B3-84BC-46A9-9E0D-9EB69BF09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35</Pages>
  <Words>7310</Words>
  <Characters>46058</Characters>
  <Application>Microsoft Office Word</Application>
  <DocSecurity>0</DocSecurity>
  <Lines>885</Lines>
  <Paragraphs>293</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53075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Roberts</dc:creator>
  <cp:keywords/>
  <dc:description/>
  <cp:lastModifiedBy>Tanya Roberts</cp:lastModifiedBy>
  <cp:revision>35</cp:revision>
  <dcterms:created xsi:type="dcterms:W3CDTF">2026-04-27T18:37:00Z</dcterms:created>
  <dcterms:modified xsi:type="dcterms:W3CDTF">2026-04-29T14:08:00Z</dcterms:modified>
</cp:coreProperties>
</file>