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21BF9" w:rsidRDefault="5CCD13BE" w14:paraId="2C078E63" w14:textId="3D0C1B8E">
      <w:r w:rsidR="5CCD13BE">
        <w:rPr/>
        <w:t xml:space="preserve">Fatima bibi </w:t>
      </w:r>
    </w:p>
    <w:p w:rsidR="2EBAFA63" w:rsidRDefault="2EBAFA63" w14:paraId="466B0BCF" w14:textId="59373D39">
      <w:r w:rsidR="2EBAFA63">
        <w:rPr/>
        <w:t xml:space="preserve">Student </w:t>
      </w:r>
      <w:r w:rsidR="2EBAFA63">
        <w:rPr/>
        <w:t>id ;</w:t>
      </w:r>
      <w:r w:rsidR="2EBAFA63">
        <w:rPr/>
        <w:t xml:space="preserve"> 2419139</w:t>
      </w:r>
    </w:p>
    <w:p w:rsidR="5CCD13BE" w:rsidRDefault="5CCD13BE" w14:paraId="6DF23146" w14:textId="0C5DBF82">
      <w:r>
        <w:t xml:space="preserve">Component 2 essay </w:t>
      </w:r>
    </w:p>
    <w:p w:rsidR="5CCD13BE" w:rsidRDefault="5CCD13BE" w14:paraId="5A7A0CB9" w14:textId="4A7B708C">
      <w:r>
        <w:t>LCHS4010_BIRM</w:t>
      </w:r>
    </w:p>
    <w:p w:rsidR="5CCD13BE" w:rsidRDefault="5CCD13BE" w14:paraId="6A7B2611" w14:textId="3F60325F">
      <w:r>
        <w:t xml:space="preserve">PHYSCOLOGY IN HEALTH AND SOCIAL CARE </w:t>
      </w:r>
    </w:p>
    <w:p w:rsidR="23A568F4" w:rsidRDefault="23A568F4" w14:paraId="35F9E5B6" w14:textId="3346922A"/>
    <w:tbl>
      <w:tblPr>
        <w:tblStyle w:val="TableNormal"/>
        <w:bidiVisual w:val="0"/>
        <w:tblW w:w="0" w:type="auto"/>
        <w:tblLook w:val="06A0" w:firstRow="1" w:lastRow="0" w:firstColumn="1" w:lastColumn="0" w:noHBand="1" w:noVBand="1"/>
      </w:tblPr>
      <w:tblGrid>
        <w:gridCol w:w="9360"/>
      </w:tblGrid>
      <w:tr w:rsidR="1BC0A260" w:rsidTr="1BC0A260" w14:paraId="385C3D63">
        <w:trPr>
          <w:trHeight w:val="300"/>
        </w:trPr>
        <w:tc>
          <w:tcPr>
            <w:tcW w:w="9360" w:type="dxa"/>
            <w:tcMar>
              <w:left w:w="180" w:type="dxa"/>
              <w:right w:w="180" w:type="dxa"/>
            </w:tcMar>
            <w:vAlign w:val="top"/>
          </w:tcPr>
          <w:p w:rsidR="1BC0A260" w:rsidP="1BC0A260" w:rsidRDefault="1BC0A260" w14:paraId="47D29A9B" w14:textId="1DB88256">
            <w:pPr>
              <w:spacing w:before="1" w:beforeAutospacing="off" w:after="0" w:afterAutospacing="off" w:line="360" w:lineRule="auto"/>
              <w:ind w:left="0" w:right="125"/>
              <w:jc w:val="both"/>
            </w:pPr>
            <w:r w:rsidRPr="1BC0A260" w:rsidR="1BC0A260">
              <w:rPr>
                <w:rFonts w:ascii="Arial" w:hAnsi="Arial" w:eastAsia="Arial" w:cs="Arial"/>
                <w:color w:val="000000" w:themeColor="text1" w:themeTint="FF" w:themeShade="FF"/>
                <w:sz w:val="22"/>
                <w:szCs w:val="22"/>
                <w:lang w:val="en-US"/>
              </w:rPr>
              <w:t xml:space="preserve">Select two theories that you have </w:t>
            </w:r>
            <w:r w:rsidRPr="1BC0A260" w:rsidR="7A5D82BA">
              <w:rPr>
                <w:rFonts w:ascii="Arial" w:hAnsi="Arial" w:eastAsia="Arial" w:cs="Arial"/>
                <w:color w:val="000000" w:themeColor="text1" w:themeTint="FF" w:themeShade="FF"/>
                <w:sz w:val="22"/>
                <w:szCs w:val="22"/>
                <w:lang w:val="en-US"/>
              </w:rPr>
              <w:t>learned</w:t>
            </w:r>
            <w:r w:rsidRPr="1BC0A260" w:rsidR="1BC0A260">
              <w:rPr>
                <w:rFonts w:ascii="Arial" w:hAnsi="Arial" w:eastAsia="Arial" w:cs="Arial"/>
                <w:color w:val="000000" w:themeColor="text1" w:themeTint="FF" w:themeShade="FF"/>
                <w:sz w:val="22"/>
                <w:szCs w:val="22"/>
                <w:lang w:val="en-US"/>
              </w:rPr>
              <w:t xml:space="preserve"> about in the module. For example, Erikson’s theory of psychosocial development, Bowlby’s attachment theory, Freud’s psychosexual theory, </w:t>
            </w:r>
            <w:r w:rsidRPr="1BC0A260" w:rsidR="1BC0A260">
              <w:rPr>
                <w:rFonts w:ascii="Arial" w:hAnsi="Arial" w:eastAsia="Arial" w:cs="Arial"/>
                <w:color w:val="000000" w:themeColor="text1" w:themeTint="FF" w:themeShade="FF"/>
                <w:sz w:val="22"/>
                <w:szCs w:val="22"/>
                <w:lang w:val="en-US"/>
              </w:rPr>
              <w:t>etc</w:t>
            </w:r>
            <w:r w:rsidRPr="1BC0A260" w:rsidR="1BC0A260">
              <w:rPr>
                <w:rFonts w:ascii="Arial" w:hAnsi="Arial" w:eastAsia="Arial" w:cs="Arial"/>
                <w:color w:val="000000" w:themeColor="text1" w:themeTint="FF" w:themeShade="FF"/>
                <w:sz w:val="22"/>
                <w:szCs w:val="22"/>
                <w:lang w:val="en-US"/>
              </w:rPr>
              <w:t>…</w:t>
            </w:r>
          </w:p>
          <w:p w:rsidR="1BC0A260" w:rsidP="1BC0A260" w:rsidRDefault="1BC0A260" w14:paraId="35623A13" w14:textId="4A529645">
            <w:pPr>
              <w:spacing w:before="1" w:beforeAutospacing="off" w:after="0" w:afterAutospacing="off" w:line="360" w:lineRule="auto"/>
              <w:ind w:left="912" w:right="125" w:hanging="113"/>
              <w:jc w:val="both"/>
            </w:pPr>
            <w:r w:rsidRPr="1BC0A260" w:rsidR="1BC0A260">
              <w:rPr>
                <w:rFonts w:ascii="Arial" w:hAnsi="Arial" w:eastAsia="Arial" w:cs="Arial"/>
                <w:sz w:val="22"/>
                <w:szCs w:val="22"/>
                <w:lang w:val="en-US"/>
              </w:rPr>
              <w:t xml:space="preserve"> </w:t>
            </w:r>
          </w:p>
          <w:p w:rsidR="1BC0A260" w:rsidP="1BC0A260" w:rsidRDefault="1BC0A260" w14:paraId="79DCA192" w14:textId="335B24EB">
            <w:pPr>
              <w:spacing w:before="0" w:beforeAutospacing="off" w:after="0" w:afterAutospacing="off" w:line="360" w:lineRule="auto"/>
              <w:jc w:val="left"/>
            </w:pPr>
            <w:r w:rsidRPr="1BC0A260" w:rsidR="1BC0A260">
              <w:rPr>
                <w:rFonts w:ascii="Arial" w:hAnsi="Arial" w:eastAsia="Arial" w:cs="Arial"/>
                <w:b w:val="1"/>
                <w:bCs w:val="1"/>
                <w:sz w:val="22"/>
                <w:szCs w:val="22"/>
                <w:lang w:val="en-US"/>
              </w:rPr>
              <w:t>Essay structure:</w:t>
            </w:r>
          </w:p>
          <w:p w:rsidR="1BC0A260" w:rsidP="1BC0A260" w:rsidRDefault="1BC0A260" w14:paraId="5DD7FF4F" w14:textId="79A29858">
            <w:pPr>
              <w:spacing w:before="0" w:beforeAutospacing="off" w:after="0" w:afterAutospacing="off" w:line="360" w:lineRule="auto"/>
              <w:jc w:val="left"/>
            </w:pPr>
            <w:r w:rsidRPr="1BC0A260" w:rsidR="1BC0A260">
              <w:rPr>
                <w:rFonts w:ascii="Arial" w:hAnsi="Arial" w:eastAsia="Arial" w:cs="Arial"/>
                <w:b w:val="1"/>
                <w:bCs w:val="1"/>
                <w:sz w:val="22"/>
                <w:szCs w:val="22"/>
                <w:lang w:val="en-US"/>
              </w:rPr>
              <w:t xml:space="preserve"> </w:t>
            </w:r>
          </w:p>
          <w:p w:rsidR="1BC0A260" w:rsidP="1BC0A260" w:rsidRDefault="1BC0A260" w14:paraId="63C9A770" w14:textId="6CA3DE46">
            <w:pPr>
              <w:spacing w:before="0" w:beforeAutospacing="off" w:after="0" w:afterAutospacing="off" w:line="360" w:lineRule="auto"/>
              <w:jc w:val="left"/>
            </w:pPr>
            <w:r w:rsidRPr="1BC0A260" w:rsidR="1BC0A260">
              <w:rPr>
                <w:rFonts w:ascii="Arial" w:hAnsi="Arial" w:eastAsia="Arial" w:cs="Arial"/>
                <w:b w:val="1"/>
                <w:bCs w:val="1"/>
                <w:sz w:val="22"/>
                <w:szCs w:val="22"/>
                <w:lang w:val="en-US"/>
              </w:rPr>
              <w:t>Follow these steps to structure your work:</w:t>
            </w:r>
          </w:p>
          <w:p w:rsidR="1BC0A260" w:rsidP="1BC0A260" w:rsidRDefault="1BC0A260" w14:paraId="6184DE61" w14:textId="7ECABBD4">
            <w:pPr>
              <w:pStyle w:val="ListParagraph"/>
              <w:numPr>
                <w:ilvl w:val="0"/>
                <w:numId w:val="1"/>
              </w:numPr>
              <w:spacing w:before="0" w:beforeAutospacing="off" w:after="0" w:afterAutospacing="off" w:line="360" w:lineRule="auto"/>
              <w:ind w:left="720" w:right="0" w:hanging="360"/>
              <w:jc w:val="left"/>
              <w:rPr>
                <w:rFonts w:ascii="Arial" w:hAnsi="Arial" w:eastAsia="Arial" w:cs="Arial"/>
                <w:sz w:val="22"/>
                <w:szCs w:val="22"/>
                <w:lang w:val="en-US"/>
              </w:rPr>
            </w:pPr>
            <w:r w:rsidRPr="1BC0A260" w:rsidR="1BC0A260">
              <w:rPr>
                <w:rFonts w:ascii="Arial" w:hAnsi="Arial" w:eastAsia="Arial" w:cs="Arial"/>
                <w:b w:val="1"/>
                <w:bCs w:val="1"/>
                <w:sz w:val="22"/>
                <w:szCs w:val="22"/>
                <w:lang w:val="en-US"/>
              </w:rPr>
              <w:t>Introduction</w:t>
            </w:r>
            <w:r w:rsidRPr="1BC0A260" w:rsidR="1BC0A260">
              <w:rPr>
                <w:rFonts w:ascii="Arial" w:hAnsi="Arial" w:eastAsia="Arial" w:cs="Arial"/>
                <w:sz w:val="22"/>
                <w:szCs w:val="22"/>
                <w:lang w:val="en-US"/>
              </w:rPr>
              <w:t xml:space="preserve"> – this section should provide information for readers which is essential for understanding later paragraphs in the essay. Example: social media can impact mental health in adolescence because…research has found…This essay will draw on [theory 1] and [theory 2] to explain how and why adolescent mental health may be affected by exposure to social media platforms. </w:t>
            </w:r>
          </w:p>
          <w:p w:rsidR="1BC0A260" w:rsidP="1BC0A260" w:rsidRDefault="1BC0A260" w14:paraId="01A12F4C" w14:textId="71745F16">
            <w:pPr>
              <w:pStyle w:val="ListParagraph"/>
              <w:numPr>
                <w:ilvl w:val="0"/>
                <w:numId w:val="1"/>
              </w:numPr>
              <w:spacing w:before="0" w:beforeAutospacing="off" w:after="0" w:afterAutospacing="off" w:line="360" w:lineRule="auto"/>
              <w:ind w:left="720" w:right="0" w:hanging="360"/>
              <w:jc w:val="left"/>
              <w:rPr>
                <w:rFonts w:ascii="Arial" w:hAnsi="Arial" w:eastAsia="Arial" w:cs="Arial"/>
                <w:sz w:val="22"/>
                <w:szCs w:val="22"/>
                <w:lang w:val="en-US"/>
              </w:rPr>
            </w:pPr>
            <w:r w:rsidRPr="1BC0A260" w:rsidR="1BC0A260">
              <w:rPr>
                <w:rFonts w:ascii="Arial" w:hAnsi="Arial" w:eastAsia="Arial" w:cs="Arial"/>
                <w:b w:val="1"/>
                <w:bCs w:val="1"/>
                <w:sz w:val="22"/>
                <w:szCs w:val="22"/>
                <w:lang w:val="en-US"/>
              </w:rPr>
              <w:t>Main body</w:t>
            </w:r>
            <w:r w:rsidRPr="1BC0A260" w:rsidR="1BC0A260">
              <w:rPr>
                <w:rFonts w:ascii="Arial" w:hAnsi="Arial" w:eastAsia="Arial" w:cs="Arial"/>
                <w:sz w:val="22"/>
                <w:szCs w:val="22"/>
                <w:lang w:val="en-US"/>
              </w:rPr>
              <w:t xml:space="preserve"> – in this section, cover some of the issues noted from social media use in adolescence (look at research for this). Explore the impact social media could have using each of your selected theories to explain. For example, [theory 1] focuses on </w:t>
            </w:r>
            <w:r w:rsidRPr="1BC0A260" w:rsidR="1BC0A260">
              <w:rPr>
                <w:rFonts w:ascii="Arial" w:hAnsi="Arial" w:eastAsia="Arial" w:cs="Arial"/>
                <w:sz w:val="22"/>
                <w:szCs w:val="22"/>
                <w:lang w:val="en-US"/>
              </w:rPr>
              <w:t>different types</w:t>
            </w:r>
            <w:r w:rsidRPr="1BC0A260" w:rsidR="1BC0A260">
              <w:rPr>
                <w:rFonts w:ascii="Arial" w:hAnsi="Arial" w:eastAsia="Arial" w:cs="Arial"/>
                <w:sz w:val="22"/>
                <w:szCs w:val="22"/>
                <w:lang w:val="en-US"/>
              </w:rPr>
              <w:t xml:space="preserve"> of </w:t>
            </w:r>
            <w:r w:rsidRPr="1BC0A260" w:rsidR="46F1EAFE">
              <w:rPr>
                <w:rFonts w:ascii="Arial" w:hAnsi="Arial" w:eastAsia="Arial" w:cs="Arial"/>
                <w:sz w:val="22"/>
                <w:szCs w:val="22"/>
                <w:lang w:val="en-US"/>
              </w:rPr>
              <w:t>attachments</w:t>
            </w:r>
            <w:r w:rsidRPr="1BC0A260" w:rsidR="1BC0A260">
              <w:rPr>
                <w:rFonts w:ascii="Arial" w:hAnsi="Arial" w:eastAsia="Arial" w:cs="Arial"/>
                <w:sz w:val="22"/>
                <w:szCs w:val="22"/>
                <w:lang w:val="en-US"/>
              </w:rPr>
              <w:t>. This could explain poor / good mental health outcomes from social media exposure in this way…. [Theory 2] focuses on psychosocial development and could explain outcomes in this way…</w:t>
            </w:r>
          </w:p>
        </w:tc>
      </w:tr>
    </w:tbl>
    <w:p w:rsidR="6A80B592" w:rsidP="1BC0A260" w:rsidRDefault="6A80B592" w14:paraId="48A5B01D" w14:textId="377597F1">
      <w:pPr>
        <w:pStyle w:val="Normal"/>
      </w:pPr>
      <w:r w:rsidRPr="1BC0A260" w:rsidR="3ADDF0D7">
        <w:rPr>
          <w:rFonts w:ascii="Arial" w:hAnsi="Arial" w:eastAsia="Arial" w:cs="Arial"/>
          <w:b w:val="1"/>
          <w:bCs w:val="1"/>
          <w:noProof w:val="0"/>
          <w:sz w:val="22"/>
          <w:szCs w:val="22"/>
          <w:lang w:val="en-US"/>
        </w:rPr>
        <w:t xml:space="preserve">Conclusions </w:t>
      </w:r>
      <w:r w:rsidRPr="1BC0A260" w:rsidR="3ADDF0D7">
        <w:rPr>
          <w:rFonts w:ascii="Arial" w:hAnsi="Arial" w:eastAsia="Arial" w:cs="Arial"/>
          <w:noProof w:val="0"/>
          <w:sz w:val="22"/>
          <w:szCs w:val="22"/>
          <w:lang w:val="en-US"/>
        </w:rPr>
        <w:t xml:space="preserve">– drawing on the included information, the impact of social media </w:t>
      </w:r>
      <w:r w:rsidRPr="1BC0A260" w:rsidR="3ADDF0D7">
        <w:rPr>
          <w:rFonts w:ascii="Arial" w:hAnsi="Arial" w:eastAsia="Arial" w:cs="Arial"/>
          <w:noProof w:val="0"/>
          <w:sz w:val="22"/>
          <w:szCs w:val="22"/>
          <w:lang w:val="en-US"/>
        </w:rPr>
        <w:t>impacts</w:t>
      </w:r>
      <w:r w:rsidRPr="1BC0A260" w:rsidR="3ADDF0D7">
        <w:rPr>
          <w:rFonts w:ascii="Arial" w:hAnsi="Arial" w:eastAsia="Arial" w:cs="Arial"/>
          <w:noProof w:val="0"/>
          <w:sz w:val="22"/>
          <w:szCs w:val="22"/>
          <w:lang w:val="en-US"/>
        </w:rPr>
        <w:t xml:space="preserve"> adolescent mental health in this way</w:t>
      </w:r>
      <w:r w:rsidRPr="1BC0A260" w:rsidR="13AA77D6">
        <w:rPr>
          <w:rFonts w:ascii="Arial" w:hAnsi="Arial" w:eastAsia="Arial" w:cs="Arial"/>
          <w:noProof w:val="0"/>
          <w:sz w:val="22"/>
          <w:szCs w:val="22"/>
          <w:lang w:val="en-US"/>
        </w:rPr>
        <w:t>…. because</w:t>
      </w:r>
      <w:r w:rsidRPr="1BC0A260" w:rsidR="3ADDF0D7">
        <w:rPr>
          <w:rFonts w:ascii="Arial" w:hAnsi="Arial" w:eastAsia="Arial" w:cs="Arial"/>
          <w:noProof w:val="0"/>
          <w:sz w:val="22"/>
          <w:szCs w:val="22"/>
          <w:lang w:val="en-US"/>
        </w:rPr>
        <w:t xml:space="preserve"> [theory 1 explanation] and [theory 2 explanation].</w:t>
      </w:r>
    </w:p>
    <w:p w:rsidR="6A80B592" w:rsidRDefault="6A80B592" w14:paraId="2C151472" w14:textId="79C85383"/>
    <w:p w:rsidR="6A80B592" w:rsidRDefault="6A80B592" w14:paraId="0DA3EBB4" w14:textId="306B7789"/>
    <w:p w:rsidR="6A80B592" w:rsidRDefault="6A80B592" w14:paraId="695CA5B6" w14:textId="45688B14"/>
    <w:p w:rsidR="6A80B592" w:rsidRDefault="6A80B592" w14:paraId="495E1751" w14:textId="4B19A36F"/>
    <w:p w:rsidR="6A80B592" w:rsidRDefault="6A80B592" w14:paraId="35E4A73D" w14:textId="2220C198"/>
    <w:p w:rsidR="6A80B592" w:rsidRDefault="6A80B592" w14:paraId="249D11E3" w14:textId="328C47AD"/>
    <w:p w:rsidR="73D15858" w:rsidRDefault="73D15858" w14:paraId="6F940B15" w14:textId="15D326DD">
      <w:r w:rsidR="73D15858">
        <w:rPr/>
        <w:t>Answer;</w:t>
      </w:r>
    </w:p>
    <w:p w:rsidR="1BC0A260" w:rsidRDefault="1BC0A260" w14:paraId="3C38AB01" w14:textId="4CED00AD"/>
    <w:p w:rsidR="00133E02" w:rsidP="00133E02" w:rsidRDefault="00133E02" w14:paraId="155DD990" w14:textId="77777777">
      <w:r>
        <w:t>Introduction</w:t>
      </w:r>
    </w:p>
    <w:p w:rsidR="00133E02" w:rsidP="00133E02" w:rsidRDefault="00133E02" w14:paraId="4C702BC6" w14:textId="77777777"/>
    <w:p w:rsidR="00133E02" w:rsidP="00133E02" w:rsidRDefault="00133E02" w14:paraId="064C2931" w14:textId="4DAAFF46">
      <w:r>
        <w:t>Adolescence is a time of huge change—physically, emotionally, and socially. Young people are moving away from childhood, figuring out who they are, and looking for their place in the world. Today, that journey happens entirely alongside social media: Instagram, TikTok, Snapchat, and others. It is where they make friends, share moments, and see how everyone else lives. But it comes with real risks: studies link heavy use to anxiety, low self-esteem, depression, body image issues, and feeling like you are never “enough.” It is not just about screen time—it is about how these platforms fit with what young people need emotionally and developmentally.</w:t>
      </w:r>
    </w:p>
    <w:p w:rsidR="00133E02" w:rsidP="00133E02" w:rsidRDefault="00133E02" w14:paraId="32D5039C" w14:textId="77777777"/>
    <w:p w:rsidR="00133E02" w:rsidP="00133E02" w:rsidRDefault="00133E02" w14:paraId="30F8441A" w14:textId="77777777">
      <w:r>
        <w:t>This essay explores how social media shapes adolescent mental health using Bowlby’s Attachment Theory and Freud’s Psychosexual Theory. Bowlby helps us understand how early bonds with caregivers build our “blueprint” for connection—even online. Freud shows us how unresolved feelings from earlier stages of development can surface in adolescence, affecting how young people express themselves, feel pleasure, and relate to their bodies and others. Together, they explain why social media can be a safe space for some but trigger deep struggles for others, rooted in patterns formed long before they ever opened an app.</w:t>
      </w:r>
    </w:p>
    <w:p w:rsidR="00133E02" w:rsidP="00133E02" w:rsidRDefault="00133E02" w14:paraId="3F595769" w14:textId="77777777"/>
    <w:p w:rsidR="00133E02" w:rsidP="00133E02" w:rsidRDefault="00133E02" w14:paraId="617B394D" w14:textId="77777777">
      <w:r>
        <w:t>Main Body</w:t>
      </w:r>
    </w:p>
    <w:p w:rsidR="00133E02" w:rsidP="00133E02" w:rsidRDefault="00133E02" w14:paraId="4F5216DD" w14:textId="77777777"/>
    <w:p w:rsidR="00133E02" w:rsidP="00133E02" w:rsidRDefault="00133E02" w14:paraId="1B43F899" w14:textId="77777777">
      <w:r>
        <w:t>Social Media and Adolescent Wellbeing: The Issues We See</w:t>
      </w:r>
    </w:p>
    <w:p w:rsidR="00133E02" w:rsidP="00133E02" w:rsidRDefault="00133E02" w14:paraId="19A4D708" w14:textId="77777777"/>
    <w:p w:rsidR="00133E02" w:rsidP="00133E02" w:rsidRDefault="00133E02" w14:paraId="63DA1264" w14:textId="1ECB0CFB">
      <w:r>
        <w:t>For most teens, social media is just part of daily life. It keeps them connected, lets them explore interests, and gives them a voice. But there is a darker side. They constantly compare their real, messy lives to the “perfect,” filtered images they see. They feel anxious if they don’t get enough likes or comments or left out if they are not tagged in posts. Cyberbullying is common, and many feel pressure to keep up an ideal version of themselves that isn’t real. Some get trapped in a cycle of checking their phones non-stop, chasing that little hit of validation, and feeling empty when it does not come.</w:t>
      </w:r>
    </w:p>
    <w:p w:rsidR="00133E02" w:rsidP="00133E02" w:rsidRDefault="00133E02" w14:paraId="400060EB" w14:textId="77777777"/>
    <w:p w:rsidR="00133E02" w:rsidP="00133E02" w:rsidRDefault="00133E02" w14:paraId="6992E1FF" w14:textId="77777777">
      <w:r>
        <w:t>These problems don’t hit everyone equally. Some teens stay balanced; others fall into anxiety or depression. The difference often lies in their emotional makeup and the experiences they’ve had growing up—exactly what these two theories help us understand.</w:t>
      </w:r>
    </w:p>
    <w:p w:rsidR="00133E02" w:rsidP="00133E02" w:rsidRDefault="00133E02" w14:paraId="42F4F08B" w14:textId="77777777"/>
    <w:p w:rsidR="00133E02" w:rsidP="00133E02" w:rsidRDefault="00133E02" w14:paraId="49BCD678" w14:textId="77777777">
      <w:r>
        <w:t>Bowlby’s Attachment Theory: Early Bonds Shape Every Connection</w:t>
      </w:r>
    </w:p>
    <w:p w:rsidR="00133E02" w:rsidP="00133E02" w:rsidRDefault="00133E02" w14:paraId="6C7C887E" w14:textId="77777777"/>
    <w:p w:rsidR="00133E02" w:rsidP="00133E02" w:rsidRDefault="00133E02" w14:paraId="008D2DE2" w14:textId="77777777">
      <w:r>
        <w:t>John Bowlby’s theory says that the relationships we have with our main caregivers when we’re very young create an “internal working model” that stays with us for life. If caregivers are consistent, responsive, and loving, we develop secure attachment: we learn to trust, we feel we’re worth something, and we know how to seek comfort when we’re upset.</w:t>
      </w:r>
    </w:p>
    <w:p w:rsidR="00133E02" w:rsidP="00133E02" w:rsidRDefault="00133E02" w14:paraId="4325DDFD" w14:textId="77777777"/>
    <w:p w:rsidR="00133E02" w:rsidP="00133E02" w:rsidRDefault="00133E02" w14:paraId="1EC2172B" w14:textId="77777777">
      <w:r>
        <w:t>If care is unpredictable, neglectful, or rejecting, we develop insecure attachment:</w:t>
      </w:r>
    </w:p>
    <w:p w:rsidR="00133E02" w:rsidP="00133E02" w:rsidRDefault="00133E02" w14:paraId="16FF8CEA" w14:textId="77777777"/>
    <w:p w:rsidR="00133E02" w:rsidP="00133E02" w:rsidRDefault="00133E02" w14:paraId="64CD9AA3" w14:textId="77777777">
      <w:r>
        <w:t>• Anxious-preoccupied: We worry constantly about being abandoned and need non-stop reassurance.</w:t>
      </w:r>
    </w:p>
    <w:p w:rsidR="00133E02" w:rsidP="00133E02" w:rsidRDefault="00133E02" w14:paraId="3EB250CE" w14:textId="77777777"/>
    <w:p w:rsidR="00133E02" w:rsidP="00133E02" w:rsidRDefault="00133E02" w14:paraId="59D2D6C3" w14:textId="77777777">
      <w:r>
        <w:t>• Avoidant: We keep people at a distance because we don’t trust them to be there; we try to cope alone.</w:t>
      </w:r>
    </w:p>
    <w:p w:rsidR="00133E02" w:rsidP="00133E02" w:rsidRDefault="00133E02" w14:paraId="0885CE36" w14:textId="77777777"/>
    <w:p w:rsidR="00133E02" w:rsidP="00133E02" w:rsidRDefault="00133E02" w14:paraId="10449927" w14:textId="77777777">
      <w:r>
        <w:t>These patterns show up clearly in how teens use social media:</w:t>
      </w:r>
    </w:p>
    <w:p w:rsidR="00133E02" w:rsidP="00133E02" w:rsidRDefault="00133E02" w14:paraId="32B4351A" w14:textId="77777777"/>
    <w:p w:rsidR="00133E02" w:rsidP="00133E02" w:rsidRDefault="00133E02" w14:paraId="4665E84F" w14:textId="77777777">
      <w:r>
        <w:t>• Secure teens: They use it to stay in touch and share things, but their self-worth doesn’t depend on it. If a post flops or someone doesn’t reply, they don’t take it to heart. Their confidence comes from real offline relationships, so they can log off and feel fine.</w:t>
      </w:r>
    </w:p>
    <w:p w:rsidR="00133E02" w:rsidP="00133E02" w:rsidRDefault="00133E02" w14:paraId="4E8DEB93" w14:textId="77777777"/>
    <w:p w:rsidR="00133E02" w:rsidP="00133E02" w:rsidRDefault="00133E02" w14:paraId="35934E2E" w14:textId="77777777">
      <w:r>
        <w:t>• Anxious teens: They often turn to social media to fill the gap in safety they felt as kids. They post constantly, check notifications obsessively, and tie their whole identity to likes and comments. A quiet spell makes them feel invisible or rejected—just like they felt with their caregivers. They’re also more easily drawn into unhealthy relationships or manipulated because they crave connection so deeply.</w:t>
      </w:r>
    </w:p>
    <w:p w:rsidR="00133E02" w:rsidP="00133E02" w:rsidRDefault="00133E02" w14:paraId="6F2B0423" w14:textId="77777777"/>
    <w:p w:rsidR="00133E02" w:rsidP="00133E02" w:rsidRDefault="00133E02" w14:paraId="604AB337" w14:textId="77777777">
      <w:r>
        <w:t>• Avoidant teens: They use social media as a shield. They watch more than they share, keep interactions shallow, and avoid showing feelings. It feels safer than face-to-face talking, but it leaves them lonely. They miss the warmth and understanding that makes real connections matter.</w:t>
      </w:r>
    </w:p>
    <w:p w:rsidR="00133E02" w:rsidP="00133E02" w:rsidRDefault="00133E02" w14:paraId="2CCA329A" w14:textId="77777777"/>
    <w:p w:rsidR="00133E02" w:rsidP="00133E02" w:rsidRDefault="00133E02" w14:paraId="64040DD1" w14:textId="77777777">
      <w:r>
        <w:t>Social media gives us the illusion of closeness without the safety or depth. It’s hard to get real comfort through a screen. For teens who never learned to trust offline, this shallow connection feels like a substitute that never satisfies—making them feel even lonelier and more anxious.</w:t>
      </w:r>
    </w:p>
    <w:p w:rsidR="00133E02" w:rsidP="00133E02" w:rsidRDefault="00133E02" w14:paraId="0A92FCE5" w14:textId="77777777"/>
    <w:p w:rsidR="00133E02" w:rsidP="00133E02" w:rsidRDefault="00133E02" w14:paraId="43FC9B3B" w14:textId="77777777">
      <w:r>
        <w:t>Freud’s Psychosexual Theory: Unresolved Needs and Digital Expression</w:t>
      </w:r>
    </w:p>
    <w:p w:rsidR="00133E02" w:rsidP="00133E02" w:rsidRDefault="00133E02" w14:paraId="4CDC0F8F" w14:textId="77777777"/>
    <w:p w:rsidR="00133E02" w:rsidP="00133E02" w:rsidRDefault="00133E02" w14:paraId="314DB4B8" w14:textId="34BA99B3">
      <w:r>
        <w:t xml:space="preserve">Sigmund Freud believed our personality develops through five stages, each focused on a different part of the body where we get pleasure and release tension: oral, anal, phallic, latency, and genital. If we face too much stress or </w:t>
      </w:r>
      <w:r w:rsidR="00C96FCD">
        <w:t>do not</w:t>
      </w:r>
      <w:r>
        <w:t xml:space="preserve"> get what we need at any stage, we can become fixated</w:t>
      </w:r>
      <w:r w:rsidR="00C96FCD">
        <w:t xml:space="preserve"> </w:t>
      </w:r>
      <w:r>
        <w:t>stuck with patterns that show up later in life. Adolescence marks the start of the genital stage, where sexual feelings wake up and we start looking for real, mutual relationships. But if earlier stages were tricky, those old feelings can get in the way—especially in how teens present themselves online.</w:t>
      </w:r>
    </w:p>
    <w:p w:rsidR="00133E02" w:rsidP="00133E02" w:rsidRDefault="00133E02" w14:paraId="0D1AD389" w14:textId="77777777"/>
    <w:p w:rsidR="00133E02" w:rsidP="00133E02" w:rsidRDefault="00133E02" w14:paraId="5931D655" w14:textId="77777777">
      <w:r>
        <w:t>• Oral stage (0–1 year): Pleasure in feeding, comfort through sucking. Fixation here can make people seek constant “feeding” through attention, validation, or even scrolling itself—always hungry for more likes, comments, or content to feel full.</w:t>
      </w:r>
    </w:p>
    <w:p w:rsidR="00133E02" w:rsidP="00133E02" w:rsidRDefault="00133E02" w14:paraId="67F8511F" w14:textId="77777777"/>
    <w:p w:rsidR="00133E02" w:rsidP="00133E02" w:rsidRDefault="00133E02" w14:paraId="3C4CEEB9" w14:textId="77777777">
      <w:r>
        <w:t>• Anal stage (1–3 years): Learning control and independence. Fixation might lead to being overly controlling—curating every post, obsessing over image, or being messy/impulsive online as a reaction.</w:t>
      </w:r>
    </w:p>
    <w:p w:rsidR="00133E02" w:rsidP="00133E02" w:rsidRDefault="00133E02" w14:paraId="6E6F0E97" w14:textId="77777777"/>
    <w:p w:rsidR="00133E02" w:rsidP="00133E02" w:rsidRDefault="00133E02" w14:paraId="358F9976" w14:textId="77777777">
      <w:r>
        <w:t>• Phallic stage (3–6 years): Focus on self-identity and body awareness. Fixation here can make teens hyper-aware of how they look or how they’re seen. They may use social media to show off, seek admiration, or compete with others to prove their worth.</w:t>
      </w:r>
    </w:p>
    <w:p w:rsidR="00133E02" w:rsidP="00133E02" w:rsidRDefault="00133E02" w14:paraId="60FF1F34" w14:textId="77777777"/>
    <w:p w:rsidR="00133E02" w:rsidP="00133E02" w:rsidRDefault="00133E02" w14:paraId="365CF7D7" w14:textId="77777777">
      <w:r>
        <w:t>In the genital stage (adolescence onwards), young people want to connect sexually and emotionally. Social media becomes a stage where they try this out—posting selfies, editing bodies, or sharing parts of themselves to feel desired or accepted. But if they’re stuck in earlier fixations, it can go wrong: they might over-focus on looks, chase attention endlessly, or use the screen to hide from real closeness. Freud would say the pressure to be “perfect” and the constant search for validation are ways they try to satisfy old, unmet needs—seeking comfort, control, or admiration that they didn’t get enough of growing up.</w:t>
      </w:r>
    </w:p>
    <w:p w:rsidR="00133E02" w:rsidP="00133E02" w:rsidRDefault="00133E02" w14:paraId="279CC6CD" w14:textId="77777777"/>
    <w:p w:rsidR="00133E02" w:rsidP="00133E02" w:rsidRDefault="00133E02" w14:paraId="44837C31" w14:textId="77777777">
      <w:r>
        <w:t>Bringing Both Theories Together</w:t>
      </w:r>
    </w:p>
    <w:p w:rsidR="00133E02" w:rsidP="00133E02" w:rsidRDefault="00133E02" w14:paraId="034035DA" w14:textId="77777777"/>
    <w:p w:rsidR="00133E02" w:rsidP="00133E02" w:rsidRDefault="00133E02" w14:paraId="515E9BB3" w14:textId="3E8BB2F0">
      <w:r>
        <w:t>Bowlby and Freud look at different sides, but they fit together well. Bowlby shows us how safe we feel—whether we trust that people will be there for us. Freud shows us what we need and where we get pleasure—whether we are stuck chasing comfort, control, or attention from the past.</w:t>
      </w:r>
    </w:p>
    <w:p w:rsidR="00133E02" w:rsidP="00133E02" w:rsidRDefault="00133E02" w14:paraId="35880204" w14:textId="77777777"/>
    <w:p w:rsidR="00133E02" w:rsidP="00133E02" w:rsidRDefault="00133E02" w14:paraId="3DC211B8" w14:textId="77777777">
      <w:r>
        <w:t>Social media amplifies both. If a teen has secure attachment and no major fixations, they can use it freely—explore, connect, and step away. But if they have insecure attachment or unresolved needs from earlier stages, the digital world becomes a magnifying glass. It makes their hunger for love, fear of rejection, or obsession with self-image much stronger.</w:t>
      </w:r>
    </w:p>
    <w:p w:rsidR="00133E02" w:rsidP="00133E02" w:rsidRDefault="00133E02" w14:paraId="592E9782" w14:textId="77777777"/>
    <w:p w:rsidR="00133E02" w:rsidP="00133E02" w:rsidRDefault="00133E02" w14:paraId="6B7743FF" w14:textId="77777777">
      <w:r>
        <w:t>For example: An anxious teen with an oral fixation might scroll and post non-stop to soothe their fear of being alone. An avoidant teen with a phallic fixation might craft a perfect, distant image to feel powerful without risking real closeness. The platform feeds into all of it—algorithms reward attention-grabbing content, so they get stuck in a loop that feels impossible to leave.</w:t>
      </w:r>
    </w:p>
    <w:p w:rsidR="00133E02" w:rsidP="00133E02" w:rsidRDefault="00133E02" w14:paraId="59786B72" w14:textId="77777777"/>
    <w:p w:rsidR="00133E02" w:rsidP="00133E02" w:rsidRDefault="00133E02" w14:paraId="7BBEDE22" w14:textId="77777777">
      <w:r>
        <w:t>Conclusion</w:t>
      </w:r>
    </w:p>
    <w:p w:rsidR="00133E02" w:rsidP="00133E02" w:rsidRDefault="00133E02" w14:paraId="645CC9DE" w14:textId="77777777"/>
    <w:p w:rsidR="005C7921" w:rsidRDefault="00133E02" w14:paraId="76B38279" w14:textId="77777777">
      <w:r>
        <w:t>Social media is now a huge part of growing up, but it doesn’t affect everyone the same way. Through Bowlby’s Attachment Theory, we see that early bonds teach us how to connect—securely attached teens handle it well, while insecure ones may feel more anxious or lonely. Through Freud’s Psychosexual Theory, we see that unresolved feelings from childhood can surfa</w:t>
      </w:r>
    </w:p>
    <w:p w:rsidR="005C7921" w:rsidRDefault="005C7921" w14:paraId="48B60C8B" w14:textId="77777777"/>
    <w:p w:rsidR="005C7921" w:rsidP="005C7921" w:rsidRDefault="00133E02" w14:paraId="3583ED46" w14:textId="5A155A5B">
      <w:r>
        <w:t>.</w:t>
      </w:r>
      <w:r w:rsidRPr="005C7921" w:rsidR="005C7921">
        <w:t xml:space="preserve"> </w:t>
      </w:r>
      <w:r w:rsidR="005C7921">
        <w:t>• Bowlby, J. (1969). Attachment and Loss: Volume 1, Attachment. New York: Basic Books.</w:t>
      </w:r>
    </w:p>
    <w:p w:rsidR="005C7921" w:rsidP="005C7921" w:rsidRDefault="005C7921" w14:paraId="213272F8" w14:textId="77777777"/>
    <w:p w:rsidR="005C7921" w:rsidP="005C7921" w:rsidRDefault="005C7921" w14:paraId="27715416" w14:textId="77777777">
      <w:r>
        <w:t>• Freud, S. (1905). Three Essays on the Theory of Sexuality. London: Imago Publishing.</w:t>
      </w:r>
    </w:p>
    <w:p w:rsidR="005C7921" w:rsidP="005C7921" w:rsidRDefault="005C7921" w14:paraId="41B3881D" w14:textId="77777777"/>
    <w:p w:rsidR="005C7921" w:rsidP="005C7921" w:rsidRDefault="005C7921" w14:paraId="1F799C40" w14:textId="77777777">
      <w:r>
        <w:t>• Keles, B., McCrae, N. and Grealish, A. (2020). ‘A systematic review: the influence of social media on depression, anxiety and psychological distress in adolescents’, International Journal of Adolescence and Youth, 25(1), pp. 79–93.</w:t>
      </w:r>
    </w:p>
    <w:p w:rsidR="005C7921" w:rsidP="005C7921" w:rsidRDefault="005C7921" w14:paraId="176C0351" w14:textId="77777777"/>
    <w:p w:rsidR="005C7921" w:rsidP="005C7921" w:rsidRDefault="005C7921" w14:paraId="25C7F984" w14:textId="77777777">
      <w:r>
        <w:t>• Livingstone, S. and Blum, R.W. (2020). ‘Adolescent development in the digital age’, Journal of Research on Adolescence, 30(3), pp. 512–526.</w:t>
      </w:r>
    </w:p>
    <w:p w:rsidR="005C7921" w:rsidP="005C7921" w:rsidRDefault="005C7921" w14:paraId="03BC148C" w14:textId="77777777"/>
    <w:p w:rsidR="005C7921" w:rsidP="005C7921" w:rsidRDefault="005C7921" w14:paraId="616CFF4C" w14:textId="77777777">
      <w:r>
        <w:t>• Twenge, J.M., Haidt, J., Joiner, T.E. and Campbell, W.K. (2018). ‘Associations between screen time and lower psychological well-being among children and adolescents: evidence from a population-based study’, Preventive Medicine Reports, 11, pp. 271–283.</w:t>
      </w:r>
    </w:p>
    <w:p w:rsidR="005C7921" w:rsidP="005C7921" w:rsidRDefault="005C7921" w14:paraId="2D8AE88B" w14:textId="77777777"/>
    <w:p w:rsidR="23A568F4" w:rsidRDefault="005C7921" w14:paraId="08149FE8" w14:textId="4507DF7B">
      <w:r>
        <w:t>• Turkle, S. (2011). Alone Together: Why We Expect More from Technology and Less from Each Other. New York: Basic Books.</w:t>
      </w:r>
    </w:p>
    <w:sectPr w:rsidR="23A568F4">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4e2f57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43CFC3"/>
    <w:rsid w:val="00021BF9"/>
    <w:rsid w:val="00133E02"/>
    <w:rsid w:val="005105C0"/>
    <w:rsid w:val="005C7921"/>
    <w:rsid w:val="0080678A"/>
    <w:rsid w:val="009F044B"/>
    <w:rsid w:val="00AC2C01"/>
    <w:rsid w:val="00BA61E8"/>
    <w:rsid w:val="00C96FCD"/>
    <w:rsid w:val="13AA77D6"/>
    <w:rsid w:val="19571CC7"/>
    <w:rsid w:val="1BC0A260"/>
    <w:rsid w:val="2060B776"/>
    <w:rsid w:val="23A568F4"/>
    <w:rsid w:val="2EBAFA63"/>
    <w:rsid w:val="34D6A14C"/>
    <w:rsid w:val="34D6A14C"/>
    <w:rsid w:val="3543CFC3"/>
    <w:rsid w:val="3ADDF0D7"/>
    <w:rsid w:val="46F1EAFE"/>
    <w:rsid w:val="4AE61CBE"/>
    <w:rsid w:val="5CCD13BE"/>
    <w:rsid w:val="6A80B592"/>
    <w:rsid w:val="73D15858"/>
    <w:rsid w:val="7A5D82B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587E865"/>
  <w15:chartTrackingRefBased/>
  <w15:docId w15:val="{2C63503F-172D-4FA8-8699-A5904FF01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BC0A260"/>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faadfe4d2fa2419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Fatima Bibi (2419139)</dc:creator>
  <keywords/>
  <dc:description/>
  <lastModifiedBy>Fatima Bibi (2419139)</lastModifiedBy>
  <revision>5</revision>
  <dcterms:created xsi:type="dcterms:W3CDTF">2026-07-22T14:13:00.0000000Z</dcterms:created>
  <dcterms:modified xsi:type="dcterms:W3CDTF">2026-07-22T14:28:36.6923638Z</dcterms:modified>
</coreProperties>
</file>