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spacing w:val="0"/>
          <w:kern w:val="0"/>
          <w:sz w:val="48"/>
          <w:szCs w:val="48"/>
        </w:rPr>
        <w:id w:val="-231393465"/>
        <w:docPartObj>
          <w:docPartGallery w:val="Cover Pages"/>
          <w:docPartUnique/>
        </w:docPartObj>
      </w:sdtPr>
      <w:sdtEndPr>
        <w:rPr>
          <w:rFonts w:ascii="Times New Roman" w:hAnsi="Times New Roman" w:cs="Times New Roman"/>
        </w:rPr>
      </w:sdtEndPr>
      <w:sdtContent>
        <w:p w14:paraId="4CA632EB" w14:textId="41B42098" w:rsidR="005234A2" w:rsidRDefault="005234A2" w:rsidP="005234A2">
          <w:pPr>
            <w:pStyle w:val="Title"/>
            <w:jc w:val="center"/>
            <w:rPr>
              <w:rFonts w:asciiTheme="minorHAnsi" w:eastAsiaTheme="minorHAnsi" w:hAnsiTheme="minorHAnsi" w:cstheme="minorBidi"/>
              <w:spacing w:val="0"/>
              <w:kern w:val="0"/>
              <w:sz w:val="48"/>
              <w:szCs w:val="48"/>
            </w:rPr>
          </w:pPr>
          <w:r w:rsidRPr="005234A2">
            <w:rPr>
              <w:rFonts w:asciiTheme="minorHAnsi" w:eastAsiaTheme="minorHAnsi" w:hAnsiTheme="minorHAnsi" w:cstheme="minorBidi"/>
              <w:spacing w:val="0"/>
              <w:kern w:val="0"/>
              <w:sz w:val="48"/>
              <w:szCs w:val="48"/>
            </w:rPr>
            <w:t xml:space="preserve">Academic Skills </w:t>
          </w:r>
        </w:p>
        <w:p w14:paraId="372FC1D5" w14:textId="2B1509AC" w:rsidR="005234A2" w:rsidRPr="001E79D0" w:rsidRDefault="00162A85" w:rsidP="001E79D0">
          <w:pPr>
            <w:jc w:val="center"/>
            <w:rPr>
              <w:sz w:val="28"/>
              <w:szCs w:val="28"/>
            </w:rPr>
          </w:pPr>
          <w:proofErr w:type="spellStart"/>
          <w:r w:rsidRPr="001E79D0">
            <w:rPr>
              <w:sz w:val="28"/>
              <w:szCs w:val="28"/>
            </w:rPr>
            <w:t>Assigment</w:t>
          </w:r>
          <w:proofErr w:type="spellEnd"/>
          <w:r w:rsidRPr="001E79D0">
            <w:rPr>
              <w:sz w:val="28"/>
              <w:szCs w:val="28"/>
            </w:rPr>
            <w:t xml:space="preserve"> 1</w:t>
          </w:r>
        </w:p>
        <w:p w14:paraId="0EE49059" w14:textId="362899A9" w:rsidR="00E35AE4" w:rsidRPr="001E79D0" w:rsidRDefault="00E35AE4" w:rsidP="00E35AE4">
          <w:pPr>
            <w:rPr>
              <w:sz w:val="24"/>
              <w:szCs w:val="24"/>
            </w:rPr>
          </w:pPr>
          <w:r w:rsidRPr="001E79D0">
            <w:rPr>
              <w:sz w:val="24"/>
              <w:szCs w:val="24"/>
            </w:rPr>
            <w:t>Name: Ivan Georgiev</w:t>
          </w:r>
        </w:p>
        <w:p w14:paraId="49D039F3" w14:textId="10A5A94F" w:rsidR="00E35AE4" w:rsidRPr="001E79D0" w:rsidRDefault="00E35AE4" w:rsidP="00E35AE4">
          <w:pPr>
            <w:rPr>
              <w:sz w:val="24"/>
              <w:szCs w:val="24"/>
            </w:rPr>
          </w:pPr>
          <w:r w:rsidRPr="001E79D0">
            <w:rPr>
              <w:sz w:val="24"/>
              <w:szCs w:val="24"/>
            </w:rPr>
            <w:t>Student ID: 22</w:t>
          </w:r>
          <w:r w:rsidR="00DA69F2">
            <w:rPr>
              <w:sz w:val="24"/>
              <w:szCs w:val="24"/>
            </w:rPr>
            <w:t>13140</w:t>
          </w:r>
        </w:p>
        <w:p w14:paraId="3C09DDB8" w14:textId="65ABF9C8" w:rsidR="00E35AE4" w:rsidRPr="001E79D0" w:rsidRDefault="00E35AE4" w:rsidP="00E35AE4">
          <w:pPr>
            <w:rPr>
              <w:sz w:val="24"/>
              <w:szCs w:val="24"/>
            </w:rPr>
          </w:pPr>
          <w:r w:rsidRPr="001E79D0">
            <w:rPr>
              <w:sz w:val="24"/>
              <w:szCs w:val="24"/>
            </w:rPr>
            <w:t>Module code: LCBB</w:t>
          </w:r>
          <w:r w:rsidR="001E79D0" w:rsidRPr="001E79D0">
            <w:rPr>
              <w:sz w:val="24"/>
              <w:szCs w:val="24"/>
            </w:rPr>
            <w:t>4006</w:t>
          </w:r>
        </w:p>
        <w:p w14:paraId="68C68D03" w14:textId="2DC7BCF5" w:rsidR="001E79D0" w:rsidRPr="001E79D0" w:rsidRDefault="001E79D0" w:rsidP="00E35AE4">
          <w:pPr>
            <w:rPr>
              <w:sz w:val="24"/>
              <w:szCs w:val="24"/>
            </w:rPr>
          </w:pPr>
          <w:r w:rsidRPr="001E79D0">
            <w:rPr>
              <w:sz w:val="24"/>
              <w:szCs w:val="24"/>
            </w:rPr>
            <w:t xml:space="preserve">Lecturer: </w:t>
          </w:r>
          <w:proofErr w:type="spellStart"/>
          <w:r w:rsidRPr="001E79D0">
            <w:rPr>
              <w:sz w:val="24"/>
              <w:szCs w:val="24"/>
            </w:rPr>
            <w:t>Lizeta</w:t>
          </w:r>
          <w:proofErr w:type="spellEnd"/>
          <w:r w:rsidRPr="001E79D0">
            <w:rPr>
              <w:sz w:val="24"/>
              <w:szCs w:val="24"/>
            </w:rPr>
            <w:t xml:space="preserve"> </w:t>
          </w:r>
          <w:proofErr w:type="spellStart"/>
          <w:r w:rsidRPr="001E79D0">
            <w:rPr>
              <w:sz w:val="24"/>
              <w:szCs w:val="24"/>
            </w:rPr>
            <w:t>Demetriou</w:t>
          </w:r>
          <w:proofErr w:type="spellEnd"/>
        </w:p>
        <w:p w14:paraId="72D0BAE6" w14:textId="4D5E7974" w:rsidR="00D34547" w:rsidRPr="005234A2" w:rsidRDefault="00396147" w:rsidP="005234A2"/>
      </w:sdtContent>
    </w:sdt>
    <w:p w14:paraId="72D0BAE7" w14:textId="77777777" w:rsidR="00D34547" w:rsidRPr="002507F8" w:rsidRDefault="00D34547" w:rsidP="002507F8">
      <w:pPr>
        <w:spacing w:line="360" w:lineRule="auto"/>
        <w:jc w:val="both"/>
        <w:rPr>
          <w:rFonts w:ascii="Times New Roman" w:hAnsi="Times New Roman" w:cs="Times New Roman"/>
          <w:sz w:val="24"/>
        </w:rPr>
      </w:pPr>
    </w:p>
    <w:p w14:paraId="72D0BAE8" w14:textId="77777777" w:rsidR="00D34547" w:rsidRDefault="00D34547" w:rsidP="002507F8">
      <w:pPr>
        <w:pStyle w:val="Title"/>
      </w:pPr>
      <w:r w:rsidRPr="002507F8">
        <w:t xml:space="preserve">Table of Content </w:t>
      </w:r>
    </w:p>
    <w:p w14:paraId="72D0BAE9" w14:textId="77777777" w:rsidR="0090321A" w:rsidRPr="0090321A" w:rsidRDefault="0090321A" w:rsidP="0090321A"/>
    <w:p w14:paraId="72D0BAEA" w14:textId="77777777" w:rsidR="0090321A" w:rsidRPr="0090321A" w:rsidRDefault="002507F8" w:rsidP="0090321A">
      <w:pPr>
        <w:pStyle w:val="TOC1"/>
        <w:tabs>
          <w:tab w:val="right" w:leader="dot" w:pos="9350"/>
        </w:tabs>
        <w:spacing w:line="360" w:lineRule="auto"/>
        <w:jc w:val="both"/>
        <w:rPr>
          <w:rFonts w:ascii="Times New Roman" w:eastAsiaTheme="minorEastAsia" w:hAnsi="Times New Roman" w:cs="Times New Roman"/>
          <w:noProof/>
          <w:sz w:val="24"/>
          <w:szCs w:val="24"/>
        </w:rPr>
      </w:pPr>
      <w:r w:rsidRPr="0090321A">
        <w:rPr>
          <w:rFonts w:ascii="Times New Roman" w:hAnsi="Times New Roman" w:cs="Times New Roman"/>
          <w:sz w:val="24"/>
          <w:szCs w:val="24"/>
        </w:rPr>
        <w:fldChar w:fldCharType="begin"/>
      </w:r>
      <w:r w:rsidRPr="0090321A">
        <w:rPr>
          <w:rFonts w:ascii="Times New Roman" w:hAnsi="Times New Roman" w:cs="Times New Roman"/>
          <w:sz w:val="24"/>
          <w:szCs w:val="24"/>
        </w:rPr>
        <w:instrText xml:space="preserve"> TOC \o "1-3" \h \z \u </w:instrText>
      </w:r>
      <w:r w:rsidRPr="0090321A">
        <w:rPr>
          <w:rFonts w:ascii="Times New Roman" w:hAnsi="Times New Roman" w:cs="Times New Roman"/>
          <w:sz w:val="24"/>
          <w:szCs w:val="24"/>
        </w:rPr>
        <w:fldChar w:fldCharType="separate"/>
      </w:r>
      <w:hyperlink w:anchor="_Toc118929975" w:history="1">
        <w:r w:rsidR="0090321A" w:rsidRPr="0090321A">
          <w:rPr>
            <w:rStyle w:val="Hyperlink"/>
            <w:rFonts w:ascii="Times New Roman" w:hAnsi="Times New Roman" w:cs="Times New Roman"/>
            <w:noProof/>
            <w:sz w:val="24"/>
            <w:szCs w:val="24"/>
          </w:rPr>
          <w:t>Identifying skills</w:t>
        </w:r>
        <w:r w:rsidR="0090321A" w:rsidRPr="0090321A">
          <w:rPr>
            <w:rFonts w:ascii="Times New Roman" w:hAnsi="Times New Roman" w:cs="Times New Roman"/>
            <w:noProof/>
            <w:webHidden/>
            <w:sz w:val="24"/>
            <w:szCs w:val="24"/>
          </w:rPr>
          <w:tab/>
        </w:r>
        <w:r w:rsidR="0090321A" w:rsidRPr="0090321A">
          <w:rPr>
            <w:rFonts w:ascii="Times New Roman" w:hAnsi="Times New Roman" w:cs="Times New Roman"/>
            <w:noProof/>
            <w:webHidden/>
            <w:sz w:val="24"/>
            <w:szCs w:val="24"/>
          </w:rPr>
          <w:fldChar w:fldCharType="begin"/>
        </w:r>
        <w:r w:rsidR="0090321A" w:rsidRPr="0090321A">
          <w:rPr>
            <w:rFonts w:ascii="Times New Roman" w:hAnsi="Times New Roman" w:cs="Times New Roman"/>
            <w:noProof/>
            <w:webHidden/>
            <w:sz w:val="24"/>
            <w:szCs w:val="24"/>
          </w:rPr>
          <w:instrText xml:space="preserve"> PAGEREF _Toc118929975 \h </w:instrText>
        </w:r>
        <w:r w:rsidR="0090321A" w:rsidRPr="0090321A">
          <w:rPr>
            <w:rFonts w:ascii="Times New Roman" w:hAnsi="Times New Roman" w:cs="Times New Roman"/>
            <w:noProof/>
            <w:webHidden/>
            <w:sz w:val="24"/>
            <w:szCs w:val="24"/>
          </w:rPr>
        </w:r>
        <w:r w:rsidR="0090321A" w:rsidRPr="0090321A">
          <w:rPr>
            <w:rFonts w:ascii="Times New Roman" w:hAnsi="Times New Roman" w:cs="Times New Roman"/>
            <w:noProof/>
            <w:webHidden/>
            <w:sz w:val="24"/>
            <w:szCs w:val="24"/>
          </w:rPr>
          <w:fldChar w:fldCharType="separate"/>
        </w:r>
        <w:r w:rsidR="0090321A" w:rsidRPr="0090321A">
          <w:rPr>
            <w:rFonts w:ascii="Times New Roman" w:hAnsi="Times New Roman" w:cs="Times New Roman"/>
            <w:noProof/>
            <w:webHidden/>
            <w:sz w:val="24"/>
            <w:szCs w:val="24"/>
          </w:rPr>
          <w:t>5</w:t>
        </w:r>
        <w:r w:rsidR="0090321A" w:rsidRPr="0090321A">
          <w:rPr>
            <w:rFonts w:ascii="Times New Roman" w:hAnsi="Times New Roman" w:cs="Times New Roman"/>
            <w:noProof/>
            <w:webHidden/>
            <w:sz w:val="24"/>
            <w:szCs w:val="24"/>
          </w:rPr>
          <w:fldChar w:fldCharType="end"/>
        </w:r>
      </w:hyperlink>
    </w:p>
    <w:p w14:paraId="72D0BAEB" w14:textId="77777777" w:rsidR="0090321A" w:rsidRPr="0090321A" w:rsidRDefault="00396147" w:rsidP="0090321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8929976" w:history="1">
        <w:r w:rsidR="0090321A" w:rsidRPr="0090321A">
          <w:rPr>
            <w:rStyle w:val="Hyperlink"/>
            <w:rFonts w:ascii="Times New Roman" w:hAnsi="Times New Roman" w:cs="Times New Roman"/>
            <w:noProof/>
            <w:sz w:val="24"/>
            <w:szCs w:val="24"/>
          </w:rPr>
          <w:t>Developing Skills</w:t>
        </w:r>
        <w:r w:rsidR="0090321A" w:rsidRPr="0090321A">
          <w:rPr>
            <w:rFonts w:ascii="Times New Roman" w:hAnsi="Times New Roman" w:cs="Times New Roman"/>
            <w:noProof/>
            <w:webHidden/>
            <w:sz w:val="24"/>
            <w:szCs w:val="24"/>
          </w:rPr>
          <w:tab/>
        </w:r>
        <w:r w:rsidR="0090321A" w:rsidRPr="0090321A">
          <w:rPr>
            <w:rFonts w:ascii="Times New Roman" w:hAnsi="Times New Roman" w:cs="Times New Roman"/>
            <w:noProof/>
            <w:webHidden/>
            <w:sz w:val="24"/>
            <w:szCs w:val="24"/>
          </w:rPr>
          <w:fldChar w:fldCharType="begin"/>
        </w:r>
        <w:r w:rsidR="0090321A" w:rsidRPr="0090321A">
          <w:rPr>
            <w:rFonts w:ascii="Times New Roman" w:hAnsi="Times New Roman" w:cs="Times New Roman"/>
            <w:noProof/>
            <w:webHidden/>
            <w:sz w:val="24"/>
            <w:szCs w:val="24"/>
          </w:rPr>
          <w:instrText xml:space="preserve"> PAGEREF _Toc118929976 \h </w:instrText>
        </w:r>
        <w:r w:rsidR="0090321A" w:rsidRPr="0090321A">
          <w:rPr>
            <w:rFonts w:ascii="Times New Roman" w:hAnsi="Times New Roman" w:cs="Times New Roman"/>
            <w:noProof/>
            <w:webHidden/>
            <w:sz w:val="24"/>
            <w:szCs w:val="24"/>
          </w:rPr>
        </w:r>
        <w:r w:rsidR="0090321A" w:rsidRPr="0090321A">
          <w:rPr>
            <w:rFonts w:ascii="Times New Roman" w:hAnsi="Times New Roman" w:cs="Times New Roman"/>
            <w:noProof/>
            <w:webHidden/>
            <w:sz w:val="24"/>
            <w:szCs w:val="24"/>
          </w:rPr>
          <w:fldChar w:fldCharType="separate"/>
        </w:r>
        <w:r w:rsidR="0090321A" w:rsidRPr="0090321A">
          <w:rPr>
            <w:rFonts w:ascii="Times New Roman" w:hAnsi="Times New Roman" w:cs="Times New Roman"/>
            <w:noProof/>
            <w:webHidden/>
            <w:sz w:val="24"/>
            <w:szCs w:val="24"/>
          </w:rPr>
          <w:t>6</w:t>
        </w:r>
        <w:r w:rsidR="0090321A" w:rsidRPr="0090321A">
          <w:rPr>
            <w:rFonts w:ascii="Times New Roman" w:hAnsi="Times New Roman" w:cs="Times New Roman"/>
            <w:noProof/>
            <w:webHidden/>
            <w:sz w:val="24"/>
            <w:szCs w:val="24"/>
          </w:rPr>
          <w:fldChar w:fldCharType="end"/>
        </w:r>
      </w:hyperlink>
    </w:p>
    <w:p w14:paraId="72D0BAEC" w14:textId="77777777" w:rsidR="0090321A" w:rsidRPr="0090321A" w:rsidRDefault="00396147" w:rsidP="0090321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8929977" w:history="1">
        <w:r w:rsidR="0090321A" w:rsidRPr="0090321A">
          <w:rPr>
            <w:rStyle w:val="Hyperlink"/>
            <w:rFonts w:ascii="Times New Roman" w:hAnsi="Times New Roman" w:cs="Times New Roman"/>
            <w:noProof/>
            <w:sz w:val="24"/>
            <w:szCs w:val="24"/>
          </w:rPr>
          <w:t>Conclusion</w:t>
        </w:r>
        <w:r w:rsidR="0090321A" w:rsidRPr="0090321A">
          <w:rPr>
            <w:rFonts w:ascii="Times New Roman" w:hAnsi="Times New Roman" w:cs="Times New Roman"/>
            <w:noProof/>
            <w:webHidden/>
            <w:sz w:val="24"/>
            <w:szCs w:val="24"/>
          </w:rPr>
          <w:tab/>
        </w:r>
        <w:r w:rsidR="0090321A" w:rsidRPr="0090321A">
          <w:rPr>
            <w:rFonts w:ascii="Times New Roman" w:hAnsi="Times New Roman" w:cs="Times New Roman"/>
            <w:noProof/>
            <w:webHidden/>
            <w:sz w:val="24"/>
            <w:szCs w:val="24"/>
          </w:rPr>
          <w:fldChar w:fldCharType="begin"/>
        </w:r>
        <w:r w:rsidR="0090321A" w:rsidRPr="0090321A">
          <w:rPr>
            <w:rFonts w:ascii="Times New Roman" w:hAnsi="Times New Roman" w:cs="Times New Roman"/>
            <w:noProof/>
            <w:webHidden/>
            <w:sz w:val="24"/>
            <w:szCs w:val="24"/>
          </w:rPr>
          <w:instrText xml:space="preserve"> PAGEREF _Toc118929977 \h </w:instrText>
        </w:r>
        <w:r w:rsidR="0090321A" w:rsidRPr="0090321A">
          <w:rPr>
            <w:rFonts w:ascii="Times New Roman" w:hAnsi="Times New Roman" w:cs="Times New Roman"/>
            <w:noProof/>
            <w:webHidden/>
            <w:sz w:val="24"/>
            <w:szCs w:val="24"/>
          </w:rPr>
        </w:r>
        <w:r w:rsidR="0090321A" w:rsidRPr="0090321A">
          <w:rPr>
            <w:rFonts w:ascii="Times New Roman" w:hAnsi="Times New Roman" w:cs="Times New Roman"/>
            <w:noProof/>
            <w:webHidden/>
            <w:sz w:val="24"/>
            <w:szCs w:val="24"/>
          </w:rPr>
          <w:fldChar w:fldCharType="separate"/>
        </w:r>
        <w:r w:rsidR="0090321A" w:rsidRPr="0090321A">
          <w:rPr>
            <w:rFonts w:ascii="Times New Roman" w:hAnsi="Times New Roman" w:cs="Times New Roman"/>
            <w:noProof/>
            <w:webHidden/>
            <w:sz w:val="24"/>
            <w:szCs w:val="24"/>
          </w:rPr>
          <w:t>6</w:t>
        </w:r>
        <w:r w:rsidR="0090321A" w:rsidRPr="0090321A">
          <w:rPr>
            <w:rFonts w:ascii="Times New Roman" w:hAnsi="Times New Roman" w:cs="Times New Roman"/>
            <w:noProof/>
            <w:webHidden/>
            <w:sz w:val="24"/>
            <w:szCs w:val="24"/>
          </w:rPr>
          <w:fldChar w:fldCharType="end"/>
        </w:r>
      </w:hyperlink>
    </w:p>
    <w:p w14:paraId="72D0BAED" w14:textId="77777777" w:rsidR="0090321A" w:rsidRPr="0090321A" w:rsidRDefault="00396147" w:rsidP="0090321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8929978" w:history="1">
        <w:r w:rsidR="0090321A" w:rsidRPr="0090321A">
          <w:rPr>
            <w:rStyle w:val="Hyperlink"/>
            <w:rFonts w:ascii="Times New Roman" w:hAnsi="Times New Roman" w:cs="Times New Roman"/>
            <w:noProof/>
            <w:sz w:val="24"/>
            <w:szCs w:val="24"/>
          </w:rPr>
          <w:t>References</w:t>
        </w:r>
        <w:r w:rsidR="0090321A" w:rsidRPr="0090321A">
          <w:rPr>
            <w:rFonts w:ascii="Times New Roman" w:hAnsi="Times New Roman" w:cs="Times New Roman"/>
            <w:noProof/>
            <w:webHidden/>
            <w:sz w:val="24"/>
            <w:szCs w:val="24"/>
          </w:rPr>
          <w:tab/>
        </w:r>
        <w:r w:rsidR="0090321A" w:rsidRPr="0090321A">
          <w:rPr>
            <w:rFonts w:ascii="Times New Roman" w:hAnsi="Times New Roman" w:cs="Times New Roman"/>
            <w:noProof/>
            <w:webHidden/>
            <w:sz w:val="24"/>
            <w:szCs w:val="24"/>
          </w:rPr>
          <w:fldChar w:fldCharType="begin"/>
        </w:r>
        <w:r w:rsidR="0090321A" w:rsidRPr="0090321A">
          <w:rPr>
            <w:rFonts w:ascii="Times New Roman" w:hAnsi="Times New Roman" w:cs="Times New Roman"/>
            <w:noProof/>
            <w:webHidden/>
            <w:sz w:val="24"/>
            <w:szCs w:val="24"/>
          </w:rPr>
          <w:instrText xml:space="preserve"> PAGEREF _Toc118929978 \h </w:instrText>
        </w:r>
        <w:r w:rsidR="0090321A" w:rsidRPr="0090321A">
          <w:rPr>
            <w:rFonts w:ascii="Times New Roman" w:hAnsi="Times New Roman" w:cs="Times New Roman"/>
            <w:noProof/>
            <w:webHidden/>
            <w:sz w:val="24"/>
            <w:szCs w:val="24"/>
          </w:rPr>
        </w:r>
        <w:r w:rsidR="0090321A" w:rsidRPr="0090321A">
          <w:rPr>
            <w:rFonts w:ascii="Times New Roman" w:hAnsi="Times New Roman" w:cs="Times New Roman"/>
            <w:noProof/>
            <w:webHidden/>
            <w:sz w:val="24"/>
            <w:szCs w:val="24"/>
          </w:rPr>
          <w:fldChar w:fldCharType="separate"/>
        </w:r>
        <w:r w:rsidR="0090321A" w:rsidRPr="0090321A">
          <w:rPr>
            <w:rFonts w:ascii="Times New Roman" w:hAnsi="Times New Roman" w:cs="Times New Roman"/>
            <w:noProof/>
            <w:webHidden/>
            <w:sz w:val="24"/>
            <w:szCs w:val="24"/>
          </w:rPr>
          <w:t>7</w:t>
        </w:r>
        <w:r w:rsidR="0090321A" w:rsidRPr="0090321A">
          <w:rPr>
            <w:rFonts w:ascii="Times New Roman" w:hAnsi="Times New Roman" w:cs="Times New Roman"/>
            <w:noProof/>
            <w:webHidden/>
            <w:sz w:val="24"/>
            <w:szCs w:val="24"/>
          </w:rPr>
          <w:fldChar w:fldCharType="end"/>
        </w:r>
      </w:hyperlink>
    </w:p>
    <w:p w14:paraId="72D0BAEE" w14:textId="2CD82032" w:rsidR="00D34547" w:rsidRPr="002507F8" w:rsidRDefault="002507F8" w:rsidP="00E10B57">
      <w:pPr>
        <w:tabs>
          <w:tab w:val="left" w:pos="5430"/>
        </w:tabs>
        <w:spacing w:line="360" w:lineRule="auto"/>
        <w:jc w:val="both"/>
        <w:rPr>
          <w:rFonts w:ascii="Times New Roman" w:hAnsi="Times New Roman" w:cs="Times New Roman"/>
          <w:sz w:val="24"/>
        </w:rPr>
      </w:pPr>
      <w:r w:rsidRPr="0090321A">
        <w:rPr>
          <w:rFonts w:ascii="Times New Roman" w:hAnsi="Times New Roman" w:cs="Times New Roman"/>
          <w:sz w:val="24"/>
          <w:szCs w:val="24"/>
        </w:rPr>
        <w:fldChar w:fldCharType="end"/>
      </w:r>
      <w:r w:rsidR="00E10B57">
        <w:rPr>
          <w:rFonts w:ascii="Times New Roman" w:hAnsi="Times New Roman" w:cs="Times New Roman"/>
          <w:sz w:val="24"/>
          <w:szCs w:val="24"/>
        </w:rPr>
        <w:tab/>
      </w:r>
    </w:p>
    <w:p w14:paraId="72D0BAEF" w14:textId="77777777" w:rsidR="00D34547" w:rsidRPr="00A41B7F" w:rsidRDefault="00D34547" w:rsidP="00A41B7F">
      <w:pPr>
        <w:pStyle w:val="Heading1"/>
        <w:rPr>
          <w:rFonts w:ascii="Times New Roman" w:hAnsi="Times New Roman" w:cs="Times New Roman"/>
        </w:rPr>
      </w:pPr>
      <w:r w:rsidRPr="00A41B7F">
        <w:rPr>
          <w:rFonts w:ascii="Times New Roman" w:hAnsi="Times New Roman" w:cs="Times New Roman"/>
        </w:rPr>
        <w:t>Introduction</w:t>
      </w:r>
    </w:p>
    <w:p w14:paraId="72D0BAF0"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The term "community engagement" refers to the process of tackling issues affecting people's well-being by working cooperatively with and through groups of people connected by geographical proximity, shared interests, or shared situations. It's an effective method for bringing about lifestyle and policy changes that will improve the health of the community as a whole. Coalitions and partnerships are widely used as instruments for facilitating the mobilization of resources and influencing institutions, altering the dynamics of partner relationships, and acting as instigators for new approaches to policymaking and practice. Partners in community participation might be anything from formally organized organizations to unnamed individuals or even larger institutions. Collaborators may be engaged in health education, scientific inquiry, or policy formulation.</w:t>
      </w:r>
    </w:p>
    <w:p w14:paraId="72D0BAF1"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Engaging with a community is most successful when it is an ongoing process that fosters the development of deeper relationships and greater levels of trust. It is important to keep the overarching objectives of the engagement process in mind while you design and create individual engagement events. Community or volunteer organizations may opt to participate in the process in a number of ways, including offering direction, co-designing elements of the engagement, or even carrying out the engagement itself or the activities necessary to achieve certain results.</w:t>
      </w:r>
    </w:p>
    <w:p w14:paraId="72D0BAF2"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The goals, expected results, and scope and depth of an interaction may be better defined with the help of a defined purpose. For example, community and volunteer organizations may be asked for input or invited to take part in the making of decisions or the implementation of programs and services. While informing people about upcoming initiatives is crucial to fostering their involvement, this is not community engagement in and of itself. Help is often necessary if communities are to participate actively. Knowing where we are in the engagement process and how each step or event contributes to the overall engagement objectives is essential, since different forms of communication, information, and engagement tactics will be more suitable at certain stages. Even though the United Kingdom has the world's sixth-largest economy, many of its citizens are homeless. The total number of homeless persons in the UK is unknown.</w:t>
      </w:r>
    </w:p>
    <w:p w14:paraId="72D0BAF3"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Tens of thousands of British families and people face extreme homelessness every night. In England, the number of people experiencing homelessness due to loss of a permanent place to live has been growing steadily over the last five years.</w:t>
      </w:r>
    </w:p>
    <w:p w14:paraId="72D0BAF4"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Homelessness charity Crisis estimates that as many as 62% of homeless individuals are not included in government statistics. Lockdown restrictions make living with friends or family difficult, and as a result, the effects of the Covid-19 epidemic have exposed previously concealed homelessness. In England, between January and March 2021, one-third of all instances indicating a need for assistance from local authorities cited an inability to stay with family or friends as the cause of their homelessness.</w:t>
      </w:r>
    </w:p>
    <w:p w14:paraId="72D0BAF5"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Homelessness raises the risk of substance abuse and other health issues because of the social isolation it causes. There is some evidence to show that the longer someone is in this predicament, the more difficult it may become to get back on their feet. Antisocial behavior, court involvement, and the need for emergency care from the National Health Service all rise in tandem with the complexity of an individual's issues. Organizations with a focus on the local community play an important role in ending homelessness by building trust among residents and bringing them together to fight a shared enemy. The role of communities in avoiding homelessness should not be undervalued as we go into the colder months of autumn and winter.</w:t>
      </w:r>
    </w:p>
    <w:p w14:paraId="72D0BAF6"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Local initiatives have the ability to have an immediate and far-reaching impact. Communities may choose to ignore the fact that homelessness is a predictable social outcome of the housing shortage and market dynamics. By mobilizing community engagement and motivating people to join together to proactively combat homelessness, we can set in motion a transition in which communities are a part of the solution. The goal of our initiative should be to help the person sleeping outside build and maintain a relationship of trust with the local community. Creating these bonds has the ability to reduce the negative effects of disrespectful behavior and attitudes and the resulting distrust of service providers.</w:t>
      </w:r>
    </w:p>
    <w:p w14:paraId="72D0BAF7"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The success of our initiative hinges on how well we can include the people who will be directly affected by it. Contributions from the community and key stakeholders are essential to shaping the project's direction, addressing concerns, and winning over the public. Assuring that our development will be a welcome addition to the area and something that the whole community can be proud of requires early and ongoing participation from the community.</w:t>
      </w:r>
    </w:p>
    <w:p w14:paraId="72D0BAF8"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We want to build trust with everyone involved, encourage them to support our project, and take their wants and needs into account when making choices. Stakeholder participation is an ongoing process that starts before any construction has ever started and continues long after the last brick is laid. Artscape thinks that community discussions should be ongoing and periodic.</w:t>
      </w:r>
    </w:p>
    <w:p w14:paraId="72D0BAF9"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When beginning our project, we must appreciate the significance of establishing a solid foundation by learning about local demographics and the amount of people who are forced to sleep outside in that area. Take into account the wide range of people who fall into the category of "primary homeless," including those who have been living on the streets for a long time, those with special needs, those who are new to main homelessness but have a wide range of needs, and those who are new to rough sleeping but are experiencing primary homelessness due to situational factors despite the fact that they may not have complex needs.</w:t>
      </w:r>
    </w:p>
    <w:p w14:paraId="72D0BAFA"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Maintaining consistent contact with initially indifferent individuals is crucial to the success of street-based outreach. Assertive outreach requires support mechanisms to ensure a consistent approach, such as attracting employees with the skills and personal attributes to successfully engage with people, providing appropriate training to employees throughout the recruitment process, and maintaining regular contact between outreach workers and individuals.</w:t>
      </w:r>
    </w:p>
    <w:p w14:paraId="72D0BAFB"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Because of the challenges that people living on the streets face when trying to access services, it is essential that proactive outreach be planned for certain times, days, and places. Having a system like this in place streamlines the service delivery process and encourages mutual trust among users. As important as it is to plan ahead, outreach efforts also need to be adaptable in case of surprises, such as larger-than-expected crowds in high-risk areas or the need to accommodate people sleeping on the streets while they look for permanent housing. By consulting with locals on the project's details, we may build rapport with influential members of the community and make use of their skills, networks, and resources. While doing so, we can identify possible risks, such as individuals or groups that have doubts about our project or any external problems that might threaten its success. Involving local community stakeholders in the vision creation process is vital to ensuring that our project's vision is known, shared, and supported in the community.</w:t>
      </w:r>
    </w:p>
    <w:p w14:paraId="72D0BAFC"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We want to consult with and include the local community during all stages of the project's creation. It might be utilized in the feasibility study, architectural design studies, and other stages of project development in addition to the contextual research and cultural asset mapping phase. From the earliest stages of planning, we must ensure that the project vision responds to the community's distinctive character, assets, resources, and needs. Verify our familiarity with the area's history, demography, socioeconomics, culture, and languages before settling on a method for consulting our neighbors. This will help us overcome obstacles to community participation, hone in on the right audience, and determine what variables shape the wants and needs of the people in our area.</w:t>
      </w:r>
    </w:p>
    <w:p w14:paraId="72D0BAFD" w14:textId="77777777" w:rsidR="002507F8" w:rsidRPr="0090321A" w:rsidRDefault="002507F8" w:rsidP="0090321A">
      <w:pPr>
        <w:pStyle w:val="Heading1"/>
        <w:rPr>
          <w:rFonts w:ascii="Times New Roman" w:hAnsi="Times New Roman" w:cs="Times New Roman"/>
        </w:rPr>
      </w:pPr>
      <w:bookmarkStart w:id="0" w:name="_Toc118929975"/>
      <w:r w:rsidRPr="0090321A">
        <w:rPr>
          <w:rFonts w:ascii="Times New Roman" w:hAnsi="Times New Roman" w:cs="Times New Roman"/>
        </w:rPr>
        <w:t>Identifying skills</w:t>
      </w:r>
      <w:bookmarkEnd w:id="0"/>
    </w:p>
    <w:p w14:paraId="72D0BAFE"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A well-managed community involvement initiative will have a substantial effect on the development plan and will entice locals, organizations, companies, developers, and a wide range of agencies to become involved. Trust is built, choices that impact local people and communities are influenced, local concerns are better understood, and communication and understanding across communities improves when physical and social barriers are removed.</w:t>
      </w:r>
    </w:p>
    <w:p w14:paraId="72D0BAFF"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Northampton's HOPE organization helps the city's homeless, addicts, and those with mental health problems get the training and skills they need to break the cycle of poverty and social marginalization.</w:t>
      </w:r>
    </w:p>
    <w:p w14:paraId="72D0BB00" w14:textId="77777777" w:rsidR="00D34547"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At this point, it's crucial that we shift our attention to long-term strategies and help individuals get more permanent housing. No one should have to go back out onto the streets or experience any other type of homelessness because of this virus, and we must work to ensure that individuals who are homeless are included in any new or maintained public health protection measures.</w:t>
      </w:r>
    </w:p>
    <w:p w14:paraId="72D0BB01" w14:textId="77777777" w:rsidR="009B237A" w:rsidRPr="002507F8" w:rsidRDefault="00D34547" w:rsidP="002507F8">
      <w:pPr>
        <w:spacing w:line="360" w:lineRule="auto"/>
        <w:jc w:val="both"/>
        <w:rPr>
          <w:rFonts w:ascii="Times New Roman" w:hAnsi="Times New Roman" w:cs="Times New Roman"/>
          <w:sz w:val="24"/>
        </w:rPr>
      </w:pPr>
      <w:r w:rsidRPr="002507F8">
        <w:rPr>
          <w:rFonts w:ascii="Times New Roman" w:hAnsi="Times New Roman" w:cs="Times New Roman"/>
          <w:sz w:val="24"/>
        </w:rPr>
        <w:t xml:space="preserve">It is essential that this plan draw on the expertise and insights of other agencies that have provided care to people for years, if not decades. Liaison with services such as those for drug addiction and mental health is necessary for the development of individualized plans for </w:t>
      </w:r>
      <w:proofErr w:type="spellStart"/>
      <w:r w:rsidRPr="002507F8">
        <w:rPr>
          <w:rFonts w:ascii="Times New Roman" w:hAnsi="Times New Roman" w:cs="Times New Roman"/>
          <w:sz w:val="24"/>
        </w:rPr>
        <w:t>reaccommodation</w:t>
      </w:r>
      <w:proofErr w:type="spellEnd"/>
      <w:r w:rsidRPr="002507F8">
        <w:rPr>
          <w:rFonts w:ascii="Times New Roman" w:hAnsi="Times New Roman" w:cs="Times New Roman"/>
          <w:sz w:val="24"/>
        </w:rPr>
        <w:t>. Contact should be made to discuss various plans at once rather than individually.</w:t>
      </w:r>
    </w:p>
    <w:p w14:paraId="72D0BB02" w14:textId="77777777" w:rsidR="009B237A" w:rsidRPr="002507F8" w:rsidRDefault="009B237A" w:rsidP="002507F8">
      <w:pPr>
        <w:spacing w:line="360" w:lineRule="auto"/>
        <w:jc w:val="both"/>
        <w:rPr>
          <w:rFonts w:ascii="Times New Roman" w:hAnsi="Times New Roman" w:cs="Times New Roman"/>
          <w:sz w:val="24"/>
        </w:rPr>
      </w:pPr>
      <w:r w:rsidRPr="002507F8">
        <w:rPr>
          <w:rFonts w:ascii="Times New Roman" w:hAnsi="Times New Roman" w:cs="Times New Roman"/>
          <w:sz w:val="24"/>
        </w:rPr>
        <w:t>Those who have been chronically homeless and are now actively engaging with support and/or treatment programs are more vulnerable to negative outcomes after a period of homelessness. We must give them the respect they deserve if we are to build on their successes, make the most of this chance to develop a permanent solution, and prevent them from returning to the streets.</w:t>
      </w:r>
    </w:p>
    <w:p w14:paraId="72D0BB03" w14:textId="77777777" w:rsidR="009B237A" w:rsidRPr="002507F8" w:rsidRDefault="009B237A" w:rsidP="002507F8">
      <w:pPr>
        <w:spacing w:line="360" w:lineRule="auto"/>
        <w:jc w:val="both"/>
        <w:rPr>
          <w:rFonts w:ascii="Times New Roman" w:hAnsi="Times New Roman" w:cs="Times New Roman"/>
          <w:sz w:val="24"/>
        </w:rPr>
      </w:pPr>
      <w:r w:rsidRPr="002507F8">
        <w:rPr>
          <w:rFonts w:ascii="Times New Roman" w:hAnsi="Times New Roman" w:cs="Times New Roman"/>
          <w:sz w:val="24"/>
        </w:rPr>
        <w:t>As part of the planning process, municipalities should work to increase the number of available move-on choices for those currently living in emergency/transitional housing and guarantee that enough of these options are both appropriate and long-term sustainable. This should include a range of accommodations and support methods. Individuals are the primary focus of assistance, which aims to help people get involved with services, find a good fit for tenancy, and then continue to live in the same area for as long as they need to. The other issues are dealt with in a more comprehensive manner, with an emphasis on harm reduction rather than strict adherence to treatment plans. Whether the housing is provided via public or private rental tenancies, it is essential that tenants have as much freedom of choice and control as possible (within usual constraints).</w:t>
      </w:r>
    </w:p>
    <w:p w14:paraId="72D0BB04" w14:textId="77777777" w:rsidR="002507F8" w:rsidRPr="0090321A" w:rsidRDefault="002507F8" w:rsidP="0090321A">
      <w:pPr>
        <w:pStyle w:val="Heading1"/>
        <w:rPr>
          <w:rFonts w:ascii="Times New Roman" w:hAnsi="Times New Roman" w:cs="Times New Roman"/>
        </w:rPr>
      </w:pPr>
      <w:bookmarkStart w:id="1" w:name="_Toc118929976"/>
      <w:r w:rsidRPr="0090321A">
        <w:rPr>
          <w:rFonts w:ascii="Times New Roman" w:hAnsi="Times New Roman" w:cs="Times New Roman"/>
        </w:rPr>
        <w:t>Developing Skills</w:t>
      </w:r>
      <w:bookmarkEnd w:id="1"/>
    </w:p>
    <w:p w14:paraId="72D0BB05" w14:textId="77777777" w:rsidR="009B237A" w:rsidRPr="002507F8" w:rsidRDefault="009B237A" w:rsidP="002507F8">
      <w:pPr>
        <w:spacing w:line="360" w:lineRule="auto"/>
        <w:jc w:val="both"/>
        <w:rPr>
          <w:rFonts w:ascii="Times New Roman" w:hAnsi="Times New Roman" w:cs="Times New Roman"/>
          <w:sz w:val="24"/>
        </w:rPr>
      </w:pPr>
      <w:r w:rsidRPr="002507F8">
        <w:rPr>
          <w:rFonts w:ascii="Times New Roman" w:hAnsi="Times New Roman" w:cs="Times New Roman"/>
          <w:sz w:val="24"/>
        </w:rPr>
        <w:t xml:space="preserve">It is preferable to prevent youth homelessness wherever feasible, whether that means helping them maintain family ties via family mediation or keeping them from losing their housing by providing tenancy support and training. Safe, appropriate, and reasonably priced housing choices, such as youth-specific assisted living facilities, should be made available to young persons in </w:t>
      </w:r>
      <w:proofErr w:type="spellStart"/>
      <w:r w:rsidRPr="002507F8">
        <w:rPr>
          <w:rFonts w:ascii="Times New Roman" w:hAnsi="Times New Roman" w:cs="Times New Roman"/>
          <w:sz w:val="24"/>
        </w:rPr>
        <w:t>need</w:t>
      </w:r>
      <w:r w:rsidR="00C0634E" w:rsidRPr="002507F8">
        <w:rPr>
          <w:rFonts w:ascii="Times New Roman" w:hAnsi="Times New Roman" w:cs="Times New Roman"/>
          <w:sz w:val="24"/>
        </w:rPr>
        <w:t>Health</w:t>
      </w:r>
      <w:proofErr w:type="spellEnd"/>
      <w:r w:rsidR="00C0634E" w:rsidRPr="002507F8">
        <w:rPr>
          <w:rFonts w:ascii="Times New Roman" w:hAnsi="Times New Roman" w:cs="Times New Roman"/>
          <w:sz w:val="24"/>
        </w:rPr>
        <w:t xml:space="preserve"> services, life skills programs, and social support are just some of the areas where young people's specialized talents may be put to good use. </w:t>
      </w:r>
      <w:r w:rsidRPr="002507F8">
        <w:rPr>
          <w:rFonts w:ascii="Times New Roman" w:hAnsi="Times New Roman" w:cs="Times New Roman"/>
          <w:sz w:val="24"/>
        </w:rPr>
        <w:t>Individuals with more complex needs may call for more intensive support. Housing First for Youth is only one example of a project supported by the Welsh Government's innovation fund that local governments may use to meet the housing needs of young people. Principles of effective community engagement include: designing so that it will make a difference, encouraging all members of the community to get involved, planning in a timely and appropriate way, working closely with relevant partners and organizations, informing members of the community about the impact of their contribution, and enabling people to take part effectively. Involvement in one's community is correlated with a greater propensity for resourcefulness, talent, and creativity.</w:t>
      </w:r>
    </w:p>
    <w:p w14:paraId="72D0BB06" w14:textId="77777777" w:rsidR="002507F8" w:rsidRPr="0090321A" w:rsidRDefault="002507F8" w:rsidP="0090321A">
      <w:pPr>
        <w:pStyle w:val="Heading1"/>
        <w:rPr>
          <w:rFonts w:ascii="Times New Roman" w:hAnsi="Times New Roman" w:cs="Times New Roman"/>
        </w:rPr>
      </w:pPr>
      <w:bookmarkStart w:id="2" w:name="_Toc118929977"/>
      <w:r w:rsidRPr="0090321A">
        <w:rPr>
          <w:rFonts w:ascii="Times New Roman" w:hAnsi="Times New Roman" w:cs="Times New Roman"/>
        </w:rPr>
        <w:t>Conclusion</w:t>
      </w:r>
      <w:bookmarkEnd w:id="2"/>
    </w:p>
    <w:p w14:paraId="72D0BB07" w14:textId="77777777" w:rsidR="00D34547" w:rsidRPr="002507F8" w:rsidRDefault="009B237A" w:rsidP="002507F8">
      <w:pPr>
        <w:spacing w:line="360" w:lineRule="auto"/>
        <w:jc w:val="both"/>
        <w:rPr>
          <w:rFonts w:ascii="Times New Roman" w:hAnsi="Times New Roman" w:cs="Times New Roman"/>
          <w:sz w:val="24"/>
        </w:rPr>
      </w:pPr>
      <w:r w:rsidRPr="002507F8">
        <w:rPr>
          <w:rFonts w:ascii="Times New Roman" w:hAnsi="Times New Roman" w:cs="Times New Roman"/>
          <w:sz w:val="24"/>
        </w:rPr>
        <w:t>Connecting with your neighborhood calls for a personalized strategy. Community involvement is figuring out why you're doing it, evaluating what you already know about your residents and city, and then using that information to craft an actionable strategy. This is an iterative procedure with a wide variety of possible aids. If at first you don't succeed, keep trying until you do. Consult your city's employees and other residents for ideas</w:t>
      </w:r>
      <w:r w:rsidR="00C0634E" w:rsidRPr="002507F8">
        <w:rPr>
          <w:rFonts w:ascii="Times New Roman" w:hAnsi="Times New Roman" w:cs="Times New Roman"/>
          <w:sz w:val="24"/>
        </w:rPr>
        <w:t>. Establish ties between educational establishments and community tech residents who are interested in talking to you about community involvement, whether they are timid about speaking out or not. You will be rewarded for your efforts.</w:t>
      </w:r>
      <w:r w:rsidR="00D34547" w:rsidRPr="002507F8">
        <w:rPr>
          <w:rFonts w:ascii="Times New Roman" w:hAnsi="Times New Roman" w:cs="Times New Roman"/>
          <w:sz w:val="24"/>
        </w:rPr>
        <w:br w:type="page"/>
      </w:r>
    </w:p>
    <w:p w14:paraId="72D0BB08" w14:textId="77777777" w:rsidR="001E6CD4" w:rsidRPr="0090321A" w:rsidRDefault="00523F2C" w:rsidP="0090321A">
      <w:pPr>
        <w:pStyle w:val="Heading1"/>
        <w:spacing w:line="276" w:lineRule="auto"/>
        <w:jc w:val="both"/>
        <w:rPr>
          <w:rFonts w:ascii="Times New Roman" w:hAnsi="Times New Roman" w:cs="Times New Roman"/>
        </w:rPr>
      </w:pPr>
      <w:bookmarkStart w:id="3" w:name="_Toc118929978"/>
      <w:r w:rsidRPr="0090321A">
        <w:rPr>
          <w:rFonts w:ascii="Times New Roman" w:hAnsi="Times New Roman" w:cs="Times New Roman"/>
        </w:rPr>
        <w:t>References</w:t>
      </w:r>
      <w:bookmarkEnd w:id="3"/>
    </w:p>
    <w:p w14:paraId="72D0BB09" w14:textId="77777777" w:rsidR="00523F2C" w:rsidRDefault="00967DE6" w:rsidP="002507F8">
      <w:pPr>
        <w:spacing w:line="360" w:lineRule="auto"/>
        <w:jc w:val="both"/>
        <w:rPr>
          <w:rFonts w:ascii="Times New Roman" w:hAnsi="Times New Roman" w:cs="Times New Roman"/>
          <w:sz w:val="24"/>
        </w:rPr>
      </w:pPr>
      <w:r>
        <w:rPr>
          <w:rFonts w:ascii="Times New Roman" w:hAnsi="Times New Roman" w:cs="Times New Roman"/>
          <w:sz w:val="24"/>
        </w:rPr>
        <w:t xml:space="preserve">Bradbury, A. (2006) </w:t>
      </w:r>
      <w:r w:rsidRPr="00967DE6">
        <w:rPr>
          <w:rFonts w:ascii="Times New Roman" w:hAnsi="Times New Roman" w:cs="Times New Roman"/>
          <w:i/>
          <w:sz w:val="24"/>
        </w:rPr>
        <w:t>Successful  Presentation Skills</w:t>
      </w:r>
      <w:r>
        <w:rPr>
          <w:rFonts w:ascii="Times New Roman" w:hAnsi="Times New Roman" w:cs="Times New Roman"/>
          <w:sz w:val="24"/>
        </w:rPr>
        <w:t>. London: Kogan Page.</w:t>
      </w:r>
    </w:p>
    <w:p w14:paraId="72D0BB0A" w14:textId="77777777" w:rsidR="00967DE6" w:rsidRDefault="00967DE6" w:rsidP="002507F8">
      <w:pPr>
        <w:spacing w:line="360" w:lineRule="auto"/>
        <w:jc w:val="both"/>
        <w:rPr>
          <w:rFonts w:ascii="Times New Roman" w:hAnsi="Times New Roman" w:cs="Times New Roman"/>
          <w:sz w:val="24"/>
        </w:rPr>
      </w:pPr>
      <w:r>
        <w:rPr>
          <w:rFonts w:ascii="Times New Roman" w:hAnsi="Times New Roman" w:cs="Times New Roman"/>
          <w:sz w:val="24"/>
        </w:rPr>
        <w:t xml:space="preserve">Haber, J. </w:t>
      </w:r>
      <w:r w:rsidRPr="00967DE6">
        <w:rPr>
          <w:rFonts w:ascii="Times New Roman" w:hAnsi="Times New Roman" w:cs="Times New Roman"/>
          <w:sz w:val="24"/>
        </w:rPr>
        <w:t>(2020)</w:t>
      </w:r>
      <w:r w:rsidRPr="00967DE6">
        <w:rPr>
          <w:rFonts w:ascii="Times New Roman" w:hAnsi="Times New Roman" w:cs="Times New Roman"/>
          <w:i/>
          <w:sz w:val="24"/>
        </w:rPr>
        <w:t xml:space="preserve"> Critical Thinking</w:t>
      </w:r>
      <w:r>
        <w:rPr>
          <w:rFonts w:ascii="Times New Roman" w:hAnsi="Times New Roman" w:cs="Times New Roman"/>
          <w:sz w:val="24"/>
        </w:rPr>
        <w:t>. London &amp; Cambridge, MA: MIT Press.</w:t>
      </w:r>
    </w:p>
    <w:p w14:paraId="72D0BB0B" w14:textId="77777777" w:rsidR="00967DE6" w:rsidRPr="002507F8" w:rsidRDefault="00967DE6" w:rsidP="002507F8">
      <w:pPr>
        <w:spacing w:line="360" w:lineRule="auto"/>
        <w:jc w:val="both"/>
        <w:rPr>
          <w:rFonts w:ascii="Times New Roman" w:hAnsi="Times New Roman" w:cs="Times New Roman"/>
          <w:sz w:val="24"/>
        </w:rPr>
      </w:pPr>
      <w:r>
        <w:rPr>
          <w:rFonts w:ascii="Times New Roman" w:hAnsi="Times New Roman" w:cs="Times New Roman"/>
          <w:sz w:val="24"/>
        </w:rPr>
        <w:t xml:space="preserve">Oliver, P. (2012) </w:t>
      </w:r>
      <w:r w:rsidRPr="00967DE6">
        <w:rPr>
          <w:rFonts w:ascii="Times New Roman" w:hAnsi="Times New Roman" w:cs="Times New Roman"/>
          <w:i/>
          <w:sz w:val="24"/>
        </w:rPr>
        <w:t>Succeeding with Your Literature Review</w:t>
      </w:r>
      <w:r>
        <w:rPr>
          <w:rFonts w:ascii="Times New Roman" w:hAnsi="Times New Roman" w:cs="Times New Roman"/>
          <w:sz w:val="24"/>
        </w:rPr>
        <w:t>: A Handbook for Students. Maidenhead: McGraw-Hill/ Open University Press.</w:t>
      </w:r>
    </w:p>
    <w:sectPr w:rsidR="00967DE6" w:rsidRPr="002507F8" w:rsidSect="00D3454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hideGrammaticalErrors/>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KxMDA3MDE2NzS3NDVW0lEKTi0uzszPAykwqgUAWKsXiCwAAAA="/>
  </w:docVars>
  <w:rsids>
    <w:rsidRoot w:val="00D34547"/>
    <w:rsid w:val="00162A85"/>
    <w:rsid w:val="001E6CD4"/>
    <w:rsid w:val="001E79D0"/>
    <w:rsid w:val="002507F8"/>
    <w:rsid w:val="00396147"/>
    <w:rsid w:val="005234A2"/>
    <w:rsid w:val="00523F2C"/>
    <w:rsid w:val="00865F8C"/>
    <w:rsid w:val="0090321A"/>
    <w:rsid w:val="00967DE6"/>
    <w:rsid w:val="009B237A"/>
    <w:rsid w:val="00A41B7F"/>
    <w:rsid w:val="00C0634E"/>
    <w:rsid w:val="00D31EB2"/>
    <w:rsid w:val="00D34547"/>
    <w:rsid w:val="00DA69F2"/>
    <w:rsid w:val="00E10B57"/>
    <w:rsid w:val="00E35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0BAE2"/>
  <w15:chartTrackingRefBased/>
  <w15:docId w15:val="{C38EBEE9-EC86-4451-AA04-F13FE72F1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5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4547"/>
    <w:pPr>
      <w:spacing w:after="0" w:line="240" w:lineRule="auto"/>
    </w:pPr>
    <w:rPr>
      <w:rFonts w:eastAsiaTheme="minorEastAsia"/>
    </w:rPr>
  </w:style>
  <w:style w:type="character" w:customStyle="1" w:styleId="NoSpacingChar">
    <w:name w:val="No Spacing Char"/>
    <w:basedOn w:val="DefaultParagraphFont"/>
    <w:link w:val="NoSpacing"/>
    <w:uiPriority w:val="1"/>
    <w:rsid w:val="00D34547"/>
    <w:rPr>
      <w:rFonts w:eastAsiaTheme="minorEastAsia"/>
    </w:rPr>
  </w:style>
  <w:style w:type="paragraph" w:styleId="Title">
    <w:name w:val="Title"/>
    <w:basedOn w:val="Normal"/>
    <w:next w:val="Normal"/>
    <w:link w:val="TitleChar"/>
    <w:uiPriority w:val="10"/>
    <w:qFormat/>
    <w:rsid w:val="00D345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54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34547"/>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2507F8"/>
    <w:pPr>
      <w:spacing w:after="100"/>
    </w:pPr>
  </w:style>
  <w:style w:type="character" w:styleId="Hyperlink">
    <w:name w:val="Hyperlink"/>
    <w:basedOn w:val="DefaultParagraphFont"/>
    <w:uiPriority w:val="99"/>
    <w:unhideWhenUsed/>
    <w:rsid w:val="002507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6E51B-44B6-415F-9AAF-8F09F7AF02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2053</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LCBB4006       Academic Skills</vt:lpstr>
    </vt:vector>
  </TitlesOfParts>
  <Company/>
  <LinksUpToDate>false</LinksUpToDate>
  <CharactersWithSpaces>13734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dc:title>
  <dc:subject/>
  <dc:creator>User</dc:creator>
  <cp:keywords/>
  <dc:description/>
  <cp:lastModifiedBy>Ivan Georgiev (2213140)</cp:lastModifiedBy>
  <cp:revision>2</cp:revision>
  <dcterms:created xsi:type="dcterms:W3CDTF">2022-11-25T20:02:00Z</dcterms:created>
  <dcterms:modified xsi:type="dcterms:W3CDTF">2022-11-25T20:02:00Z</dcterms:modified>
</cp:coreProperties>
</file>