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E7130C">
      <w:pPr>
        <w:jc w:val="center"/>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490D51F1" w14:textId="77777777" w:rsidR="00E7130C" w:rsidRDefault="00E7130C"/>
    <w:p w14:paraId="6035BD79" w14:textId="77777777" w:rsidR="00E7130C" w:rsidRDefault="00E7130C"/>
    <w:p w14:paraId="49B948A6" w14:textId="77777777" w:rsidR="00E7130C" w:rsidRDefault="00E7130C"/>
    <w:p w14:paraId="786E7B4E" w14:textId="77777777" w:rsidR="00E7130C" w:rsidRDefault="00E7130C"/>
    <w:p w14:paraId="0128E9EC" w14:textId="77777777" w:rsidR="00E7130C" w:rsidRDefault="00E7130C"/>
    <w:p w14:paraId="168F467C" w14:textId="77777777" w:rsidR="006A5CFC" w:rsidRDefault="006A5CFC"/>
    <w:p w14:paraId="3BEDB360" w14:textId="77777777" w:rsidR="00ED5964" w:rsidRDefault="00ED5964"/>
    <w:p w14:paraId="2EF804A0" w14:textId="3FDD4772" w:rsidR="00ED5964" w:rsidRDefault="00ED5964" w:rsidP="00E7130C">
      <w:pPr>
        <w:jc w:val="center"/>
        <w:rPr>
          <w:rFonts w:asciiTheme="minorBidi" w:hAnsiTheme="minorBidi"/>
          <w:sz w:val="28"/>
          <w:szCs w:val="28"/>
        </w:rPr>
      </w:pPr>
      <w:r>
        <w:rPr>
          <w:rFonts w:asciiTheme="minorBidi" w:hAnsiTheme="minorBidi"/>
          <w:sz w:val="28"/>
          <w:szCs w:val="28"/>
        </w:rPr>
        <w:t xml:space="preserve">Name: </w:t>
      </w:r>
      <w:r w:rsidR="00E7130C">
        <w:rPr>
          <w:rFonts w:asciiTheme="minorBidi" w:hAnsiTheme="minorBidi"/>
          <w:sz w:val="28"/>
          <w:szCs w:val="28"/>
        </w:rPr>
        <w:t>Lamaiya Smith</w:t>
      </w:r>
    </w:p>
    <w:p w14:paraId="485B6F49" w14:textId="034F825F" w:rsidR="00ED5964" w:rsidRDefault="00ED5964" w:rsidP="00E7130C">
      <w:pPr>
        <w:jc w:val="center"/>
        <w:rPr>
          <w:rFonts w:asciiTheme="minorBidi" w:hAnsiTheme="minorBidi"/>
          <w:sz w:val="28"/>
          <w:szCs w:val="28"/>
        </w:rPr>
      </w:pPr>
      <w:r>
        <w:rPr>
          <w:rFonts w:asciiTheme="minorBidi" w:hAnsiTheme="minorBidi"/>
          <w:sz w:val="28"/>
          <w:szCs w:val="28"/>
        </w:rPr>
        <w:t xml:space="preserve">Student ID: </w:t>
      </w:r>
      <w:r w:rsidR="00E7130C">
        <w:rPr>
          <w:rFonts w:asciiTheme="minorBidi" w:hAnsiTheme="minorBidi"/>
          <w:sz w:val="28"/>
          <w:szCs w:val="28"/>
        </w:rPr>
        <w:t>1815074</w:t>
      </w:r>
    </w:p>
    <w:p w14:paraId="3C1E7A20" w14:textId="508F85D2" w:rsidR="00ED5964" w:rsidRDefault="00ED5964" w:rsidP="00E7130C">
      <w:pPr>
        <w:jc w:val="center"/>
        <w:rPr>
          <w:rFonts w:asciiTheme="minorBidi" w:hAnsiTheme="minorBidi"/>
          <w:sz w:val="28"/>
          <w:szCs w:val="28"/>
        </w:rPr>
      </w:pPr>
      <w:r>
        <w:rPr>
          <w:rFonts w:asciiTheme="minorBidi" w:hAnsiTheme="minorBidi"/>
          <w:sz w:val="28"/>
          <w:szCs w:val="28"/>
        </w:rPr>
        <w:t xml:space="preserve">Module Code: </w:t>
      </w:r>
      <w:r w:rsidR="00E7130C">
        <w:rPr>
          <w:rFonts w:asciiTheme="minorBidi" w:hAnsiTheme="minorBidi"/>
          <w:sz w:val="28"/>
          <w:szCs w:val="28"/>
        </w:rPr>
        <w:t>LCHS4008</w:t>
      </w:r>
    </w:p>
    <w:p w14:paraId="4EEB2DA3" w14:textId="3448032F" w:rsidR="00ED5964" w:rsidRDefault="00ED5964" w:rsidP="00E7130C">
      <w:pPr>
        <w:jc w:val="center"/>
        <w:rPr>
          <w:rFonts w:asciiTheme="minorBidi" w:hAnsiTheme="minorBidi"/>
          <w:sz w:val="28"/>
          <w:szCs w:val="28"/>
        </w:rPr>
      </w:pPr>
      <w:r>
        <w:rPr>
          <w:rFonts w:asciiTheme="minorBidi" w:hAnsiTheme="minorBidi"/>
          <w:sz w:val="28"/>
          <w:szCs w:val="28"/>
        </w:rPr>
        <w:t xml:space="preserve">Module: </w:t>
      </w:r>
      <w:r w:rsidR="00E7130C">
        <w:rPr>
          <w:rFonts w:asciiTheme="minorBidi" w:hAnsiTheme="minorBidi"/>
          <w:sz w:val="28"/>
          <w:szCs w:val="28"/>
        </w:rPr>
        <w:t>Introduction to Public Health – Assessment 2 – Report on a Health Issue</w:t>
      </w:r>
    </w:p>
    <w:p w14:paraId="112342CB" w14:textId="58C0F9A1" w:rsidR="00ED5964" w:rsidRDefault="00ED5964" w:rsidP="00E7130C">
      <w:pPr>
        <w:jc w:val="center"/>
        <w:rPr>
          <w:rFonts w:asciiTheme="minorBidi" w:hAnsiTheme="minorBidi"/>
          <w:sz w:val="28"/>
          <w:szCs w:val="28"/>
        </w:rPr>
      </w:pPr>
      <w:r>
        <w:rPr>
          <w:rFonts w:asciiTheme="minorBidi" w:hAnsiTheme="minorBidi"/>
          <w:sz w:val="28"/>
          <w:szCs w:val="28"/>
        </w:rPr>
        <w:t xml:space="preserve">Lecturer: </w:t>
      </w:r>
      <w:r w:rsidR="00E7130C">
        <w:rPr>
          <w:rFonts w:asciiTheme="minorBidi" w:hAnsiTheme="minorBidi"/>
          <w:sz w:val="28"/>
          <w:szCs w:val="28"/>
        </w:rPr>
        <w:t>Daniel Haruna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247D3E5" w:rsidR="00ED5964" w:rsidRDefault="00ED5964" w:rsidP="00E7130C">
      <w:pPr>
        <w:jc w:val="center"/>
        <w:rPr>
          <w:rFonts w:asciiTheme="minorBidi" w:hAnsiTheme="minorBidi"/>
          <w:sz w:val="28"/>
          <w:szCs w:val="28"/>
        </w:rPr>
      </w:pPr>
      <w:r>
        <w:rPr>
          <w:rFonts w:asciiTheme="minorBidi" w:hAnsiTheme="minorBidi"/>
          <w:sz w:val="28"/>
          <w:szCs w:val="28"/>
        </w:rPr>
        <w:t xml:space="preserve">Submitted on: </w:t>
      </w:r>
      <w:r w:rsidR="00E7130C">
        <w:rPr>
          <w:rFonts w:asciiTheme="minorBidi" w:hAnsiTheme="minorBidi"/>
          <w:sz w:val="28"/>
          <w:szCs w:val="28"/>
        </w:rPr>
        <w:t>17</w:t>
      </w:r>
      <w:r w:rsidR="00E7130C" w:rsidRPr="00E7130C">
        <w:rPr>
          <w:rFonts w:asciiTheme="minorBidi" w:hAnsiTheme="minorBidi"/>
          <w:sz w:val="28"/>
          <w:szCs w:val="28"/>
          <w:vertAlign w:val="superscript"/>
        </w:rPr>
        <w:t>th</w:t>
      </w:r>
      <w:r w:rsidR="00E7130C">
        <w:rPr>
          <w:rFonts w:asciiTheme="minorBidi" w:hAnsiTheme="minorBidi"/>
          <w:sz w:val="28"/>
          <w:szCs w:val="28"/>
        </w:rPr>
        <w:t xml:space="preserve"> November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Pr="00E7130C" w:rsidRDefault="00ED5964" w:rsidP="00E7130C">
      <w:pPr>
        <w:spacing w:line="360" w:lineRule="auto"/>
        <w:jc w:val="both"/>
        <w:rPr>
          <w:rFonts w:ascii="Arial" w:hAnsi="Arial" w:cs="Arial"/>
          <w:sz w:val="22"/>
        </w:rPr>
      </w:pPr>
    </w:p>
    <w:p w14:paraId="46CAA997"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 xml:space="preserve">Introduction </w:t>
      </w:r>
    </w:p>
    <w:p w14:paraId="04781372" w14:textId="77777777" w:rsidR="00E7130C" w:rsidRPr="00E7130C" w:rsidRDefault="00E7130C" w:rsidP="00E7130C">
      <w:pPr>
        <w:spacing w:line="360" w:lineRule="auto"/>
        <w:rPr>
          <w:rFonts w:ascii="Arial" w:hAnsi="Arial" w:cs="Arial"/>
          <w:sz w:val="22"/>
        </w:rPr>
      </w:pPr>
      <w:r w:rsidRPr="00E7130C">
        <w:rPr>
          <w:rFonts w:ascii="Arial" w:hAnsi="Arial" w:cs="Arial"/>
          <w:sz w:val="22"/>
        </w:rPr>
        <w:t>Type 2 diabetes is a chronic metabolic condition where the body struggles to regulate blood glucose levels. It happens because the pancreas does not produce enough insulin, or the body becomes resistant to insulin, meaning it cannot use it effectively (NHS, 2023). Insulin is necessary for moving glucose into cells so it can be used as energy. When this process fails, glucose stays in the bloodstream and builds up to harmful levels over time. Unlike Type 1 diabetes, Type 2 is strongly linked to lifestyle factors and usually develops gradually in adulthood.</w:t>
      </w:r>
    </w:p>
    <w:p w14:paraId="3626CDB1" w14:textId="77777777" w:rsidR="00E7130C" w:rsidRPr="00E7130C" w:rsidRDefault="00E7130C" w:rsidP="00E7130C">
      <w:pPr>
        <w:spacing w:line="360" w:lineRule="auto"/>
        <w:rPr>
          <w:rFonts w:ascii="Arial" w:hAnsi="Arial" w:cs="Arial"/>
          <w:sz w:val="22"/>
        </w:rPr>
      </w:pPr>
      <w:r w:rsidRPr="00E7130C">
        <w:rPr>
          <w:rFonts w:ascii="Arial" w:hAnsi="Arial" w:cs="Arial"/>
          <w:sz w:val="22"/>
        </w:rPr>
        <w:t>The symptoms of Type 2 diabetes can develop slowly and may be easy to miss at first. Common signs include increased thirst, frequent urination, tiredness, slow-healing cuts, blurred vision, and repeated infections such as thrush (Diabetes UK, 2024). Some people experience no noticeable symptoms and are only diagnosed through routine blood tests. Because of this, many people can live with Type 2 diabetes for years without realising it, which increases the risk of complications such as nerve damage, kidney problems and cardiovascular disease.</w:t>
      </w:r>
    </w:p>
    <w:p w14:paraId="6A792DE4" w14:textId="77777777" w:rsidR="00E7130C" w:rsidRPr="00E7130C" w:rsidRDefault="00E7130C" w:rsidP="00E7130C">
      <w:pPr>
        <w:spacing w:line="360" w:lineRule="auto"/>
        <w:rPr>
          <w:rFonts w:ascii="Arial" w:hAnsi="Arial" w:cs="Arial"/>
          <w:sz w:val="22"/>
        </w:rPr>
      </w:pPr>
      <w:r w:rsidRPr="00E7130C">
        <w:rPr>
          <w:rFonts w:ascii="Arial" w:hAnsi="Arial" w:cs="Arial"/>
          <w:sz w:val="22"/>
        </w:rPr>
        <w:t>Type 2 diabetes affects around 462 million people globally, representing roughly 6% of the world population (Khan et al., 2020). The World Health Organization reports that diabetes contributes to approximately 1.5 million deaths per year, making it one of the leading causes of premature mortality (WHO, 2023).</w:t>
      </w:r>
    </w:p>
    <w:p w14:paraId="1A2FE3C7" w14:textId="77777777" w:rsidR="00E7130C" w:rsidRPr="00E7130C" w:rsidRDefault="00E7130C" w:rsidP="00E7130C">
      <w:pPr>
        <w:spacing w:line="360" w:lineRule="auto"/>
        <w:rPr>
          <w:rFonts w:ascii="Arial" w:hAnsi="Arial" w:cs="Arial"/>
          <w:sz w:val="22"/>
        </w:rPr>
      </w:pPr>
      <w:r w:rsidRPr="00E7130C">
        <w:rPr>
          <w:rFonts w:ascii="Arial" w:hAnsi="Arial" w:cs="Arial"/>
          <w:sz w:val="22"/>
        </w:rPr>
        <w:t>In the UK, the condition has risen sharply. Latest NHS figures show that over 4.4 million people live with diabetes, and around 90% of these cases are Type 2 (NHS Digital, 2023). Diabetes UK (2024) estimates that a further 850,000 people may have undiagnosed Type 2 diabetes. Incidence is also higher in deprived communities, older adults, and certain ethnic groups, including South Asian, African-Caribbean and Black communities. These statistics highlight the seriousness of Type 2 diabetes as a national health challenge.</w:t>
      </w:r>
    </w:p>
    <w:p w14:paraId="3A41F7AD" w14:textId="77777777" w:rsidR="00E7130C" w:rsidRPr="00E7130C" w:rsidRDefault="00E7130C" w:rsidP="00E7130C">
      <w:pPr>
        <w:spacing w:line="360" w:lineRule="auto"/>
        <w:rPr>
          <w:rFonts w:ascii="Arial" w:hAnsi="Arial" w:cs="Arial"/>
          <w:sz w:val="22"/>
        </w:rPr>
      </w:pPr>
    </w:p>
    <w:p w14:paraId="0FC76C09" w14:textId="2D4671DB" w:rsidR="00E7130C" w:rsidRPr="00E7130C" w:rsidRDefault="00E7130C" w:rsidP="00E7130C">
      <w:pPr>
        <w:spacing w:line="360" w:lineRule="auto"/>
        <w:rPr>
          <w:rFonts w:ascii="Arial" w:hAnsi="Arial" w:cs="Arial"/>
          <w:b/>
          <w:bCs/>
          <w:sz w:val="22"/>
        </w:rPr>
      </w:pPr>
      <w:r w:rsidRPr="00E7130C">
        <w:rPr>
          <w:rFonts w:ascii="Arial" w:hAnsi="Arial" w:cs="Arial"/>
          <w:b/>
          <w:bCs/>
          <w:sz w:val="22"/>
        </w:rPr>
        <w:t xml:space="preserve">Main Body </w:t>
      </w:r>
    </w:p>
    <w:p w14:paraId="6D4DB970" w14:textId="1CB76AEA" w:rsidR="00E7130C" w:rsidRPr="00E7130C" w:rsidRDefault="00E7130C" w:rsidP="00E7130C">
      <w:pPr>
        <w:spacing w:line="360" w:lineRule="auto"/>
        <w:rPr>
          <w:rFonts w:ascii="Arial" w:hAnsi="Arial" w:cs="Arial"/>
          <w:sz w:val="22"/>
        </w:rPr>
      </w:pPr>
      <w:r w:rsidRPr="00E7130C">
        <w:rPr>
          <w:rFonts w:ascii="Arial" w:hAnsi="Arial" w:cs="Arial"/>
          <w:sz w:val="22"/>
        </w:rPr>
        <w:t xml:space="preserve">Living with Type 2 diabetes can affect many areas of daily life. People often need to make long-term changes such as adjusting their diet, increasing physical activity, attending regular medical appointments and monitoring their blood glucose levels. This can be stressful and may affect emotional wellbeing, especially if the person struggles with motivation, confidence or access to healthy food. Complications such as nerve damage (neuropathy), vision loss, </w:t>
      </w:r>
      <w:r w:rsidRPr="00E7130C">
        <w:rPr>
          <w:rFonts w:ascii="Arial" w:hAnsi="Arial" w:cs="Arial"/>
          <w:sz w:val="22"/>
        </w:rPr>
        <w:lastRenderedPageBreak/>
        <w:t>and foot ulcers can reduce independence, sometimes leading to disability or reduced mobility.</w:t>
      </w:r>
    </w:p>
    <w:p w14:paraId="167ABCFC" w14:textId="438D4969" w:rsidR="00E7130C" w:rsidRPr="00E7130C" w:rsidRDefault="00E7130C" w:rsidP="00E7130C">
      <w:pPr>
        <w:spacing w:line="360" w:lineRule="auto"/>
        <w:rPr>
          <w:rFonts w:ascii="Arial" w:hAnsi="Arial" w:cs="Arial"/>
          <w:sz w:val="22"/>
        </w:rPr>
      </w:pPr>
      <w:r w:rsidRPr="00E7130C">
        <w:rPr>
          <w:rFonts w:ascii="Arial" w:hAnsi="Arial" w:cs="Arial"/>
          <w:sz w:val="22"/>
        </w:rPr>
        <w:t>Families may also be affected. Partners or relatives often become informal carers, helping with medication, diet planning or attending appointments. This can create emotional pressure, financial challenges, or role changes within the household.</w:t>
      </w:r>
    </w:p>
    <w:p w14:paraId="01A0EA12" w14:textId="1E4606AE" w:rsidR="00E7130C" w:rsidRPr="00E7130C" w:rsidRDefault="00E7130C" w:rsidP="00E7130C">
      <w:pPr>
        <w:spacing w:line="360" w:lineRule="auto"/>
        <w:rPr>
          <w:rFonts w:ascii="Arial" w:hAnsi="Arial" w:cs="Arial"/>
          <w:sz w:val="22"/>
        </w:rPr>
      </w:pPr>
      <w:r w:rsidRPr="00E7130C">
        <w:rPr>
          <w:rFonts w:ascii="Arial" w:hAnsi="Arial" w:cs="Arial"/>
          <w:sz w:val="22"/>
        </w:rPr>
        <w:t>High levels of Type 2 diabetes can influence communities in several ways. In areas with limited access to healthy foods, fewer green spaces or higher poverty, residents may be more vulnerable to developing the condition. This means that entire communities can experience higher levels of ill health, reduced productivity and increased sickness absence from work. Public services, including social care, may also face higher demand for support.</w:t>
      </w:r>
    </w:p>
    <w:p w14:paraId="62FA3217" w14:textId="7F7B0A43" w:rsidR="00E7130C" w:rsidRPr="00E7130C" w:rsidRDefault="00E7130C" w:rsidP="00E7130C">
      <w:pPr>
        <w:spacing w:line="360" w:lineRule="auto"/>
        <w:rPr>
          <w:rFonts w:ascii="Arial" w:hAnsi="Arial" w:cs="Arial"/>
          <w:sz w:val="22"/>
        </w:rPr>
      </w:pPr>
      <w:r w:rsidRPr="00E7130C">
        <w:rPr>
          <w:rFonts w:ascii="Arial" w:hAnsi="Arial" w:cs="Arial"/>
          <w:sz w:val="22"/>
        </w:rPr>
        <w:t>Community health programmes, such as walking groups or diabetes prevention schemes, play an important role in responding to this issue. When communities work together to promote healthier lifestyles, the overall incidence of the condition can be reduced.</w:t>
      </w:r>
    </w:p>
    <w:p w14:paraId="336086A4" w14:textId="77777777" w:rsidR="00E7130C" w:rsidRPr="00E7130C" w:rsidRDefault="00E7130C" w:rsidP="00E7130C">
      <w:pPr>
        <w:spacing w:line="360" w:lineRule="auto"/>
        <w:rPr>
          <w:rFonts w:ascii="Arial" w:hAnsi="Arial" w:cs="Arial"/>
          <w:sz w:val="22"/>
        </w:rPr>
      </w:pPr>
      <w:r w:rsidRPr="00E7130C">
        <w:rPr>
          <w:rFonts w:ascii="Arial" w:hAnsi="Arial" w:cs="Arial"/>
          <w:sz w:val="22"/>
        </w:rPr>
        <w:t>Type 2 diabetes places a significant financial and organisational burden on the NHS. Diabetes-related care uses around 10% of the total NHS budget, which equals more than £10 billion per year (Diabetes UK, 2024). A large proportion of this spending is linked to the treatment of complications such as heart disease, stroke, kidney failure and amputations. These complications can require long hospital stays, specialist treatment and long-term monitoring.</w:t>
      </w:r>
    </w:p>
    <w:p w14:paraId="1A837F12" w14:textId="77777777" w:rsidR="00E7130C" w:rsidRPr="00E7130C" w:rsidRDefault="00E7130C" w:rsidP="00E7130C">
      <w:pPr>
        <w:spacing w:line="360" w:lineRule="auto"/>
        <w:rPr>
          <w:rFonts w:ascii="Arial" w:hAnsi="Arial" w:cs="Arial"/>
          <w:sz w:val="22"/>
        </w:rPr>
      </w:pPr>
      <w:r w:rsidRPr="00E7130C">
        <w:rPr>
          <w:rFonts w:ascii="Arial" w:hAnsi="Arial" w:cs="Arial"/>
          <w:sz w:val="22"/>
        </w:rPr>
        <w:t>Primary care services, such as GP practices and community nurses, also play a major role. They provide regular reviews, blood tests, medication checks and lifestyle advice. The growing number of people diagnosed each year means that waiting times, workloads and clinic pressures can increase. From a public health perspective, the NHS aims to focus more on prevention and early intervention to reduce the long-term strain on services.</w:t>
      </w:r>
    </w:p>
    <w:p w14:paraId="41AE9408" w14:textId="77777777" w:rsidR="00E7130C" w:rsidRPr="00E7130C" w:rsidRDefault="00E7130C" w:rsidP="00E7130C">
      <w:pPr>
        <w:spacing w:line="360" w:lineRule="auto"/>
        <w:rPr>
          <w:rFonts w:ascii="Arial" w:hAnsi="Arial" w:cs="Arial"/>
          <w:sz w:val="22"/>
        </w:rPr>
      </w:pPr>
    </w:p>
    <w:p w14:paraId="6171BD1D" w14:textId="77777777" w:rsidR="00E7130C" w:rsidRPr="00E7130C" w:rsidRDefault="00E7130C" w:rsidP="00E7130C">
      <w:pPr>
        <w:spacing w:line="360" w:lineRule="auto"/>
        <w:rPr>
          <w:rFonts w:ascii="Arial" w:hAnsi="Arial" w:cs="Arial"/>
          <w:sz w:val="22"/>
        </w:rPr>
      </w:pPr>
      <w:r w:rsidRPr="00E7130C">
        <w:rPr>
          <w:rFonts w:ascii="Arial" w:hAnsi="Arial" w:cs="Arial"/>
          <w:sz w:val="22"/>
        </w:rPr>
        <w:t>Type 2 diabetes is usually controlled with a combination of lifestyle changes and medication.</w:t>
      </w:r>
    </w:p>
    <w:p w14:paraId="6370E2F1" w14:textId="77777777" w:rsidR="00E7130C" w:rsidRPr="00E7130C" w:rsidRDefault="00E7130C" w:rsidP="00E7130C">
      <w:pPr>
        <w:spacing w:line="360" w:lineRule="auto"/>
        <w:rPr>
          <w:rFonts w:ascii="Arial" w:hAnsi="Arial" w:cs="Arial"/>
          <w:sz w:val="22"/>
        </w:rPr>
      </w:pPr>
      <w:r w:rsidRPr="00E7130C">
        <w:rPr>
          <w:rFonts w:ascii="Arial" w:hAnsi="Arial" w:cs="Arial"/>
          <w:sz w:val="22"/>
        </w:rPr>
        <w:t>    •    Diet and exercise: Eating balanced meals with reduced sugar and fat helps stabilise blood glucose. Regular physical activity increases insulin sensitivity, allowing the body to use glucose more effectively.</w:t>
      </w:r>
    </w:p>
    <w:p w14:paraId="7CBF167B" w14:textId="77777777" w:rsidR="00E7130C" w:rsidRPr="00E7130C" w:rsidRDefault="00E7130C" w:rsidP="00E7130C">
      <w:pPr>
        <w:spacing w:line="360" w:lineRule="auto"/>
        <w:rPr>
          <w:rFonts w:ascii="Arial" w:hAnsi="Arial" w:cs="Arial"/>
          <w:sz w:val="22"/>
        </w:rPr>
      </w:pPr>
      <w:r w:rsidRPr="00E7130C">
        <w:rPr>
          <w:rFonts w:ascii="Arial" w:hAnsi="Arial" w:cs="Arial"/>
          <w:sz w:val="22"/>
        </w:rPr>
        <w:t>    •    Medication: Metformin is often the first-choice medication, and other tablets or injectable treatments may be used if blood glucose is not controlled (NICE, 2022).</w:t>
      </w:r>
    </w:p>
    <w:p w14:paraId="49CE7235" w14:textId="77777777" w:rsidR="00E7130C" w:rsidRPr="00E7130C" w:rsidRDefault="00E7130C" w:rsidP="00E7130C">
      <w:pPr>
        <w:spacing w:line="360" w:lineRule="auto"/>
        <w:rPr>
          <w:rFonts w:ascii="Arial" w:hAnsi="Arial" w:cs="Arial"/>
          <w:sz w:val="22"/>
        </w:rPr>
      </w:pPr>
      <w:r w:rsidRPr="00E7130C">
        <w:rPr>
          <w:rFonts w:ascii="Arial" w:hAnsi="Arial" w:cs="Arial"/>
          <w:sz w:val="22"/>
        </w:rPr>
        <w:lastRenderedPageBreak/>
        <w:t>    •    Monitoring: Regular blood glucose checks and HbA1c tests are essential for tracking progress and adjusting treatment.</w:t>
      </w:r>
    </w:p>
    <w:p w14:paraId="100028F5" w14:textId="77777777" w:rsidR="00E7130C" w:rsidRPr="00E7130C" w:rsidRDefault="00E7130C" w:rsidP="00E7130C">
      <w:pPr>
        <w:spacing w:line="360" w:lineRule="auto"/>
        <w:rPr>
          <w:rFonts w:ascii="Arial" w:hAnsi="Arial" w:cs="Arial"/>
          <w:sz w:val="22"/>
        </w:rPr>
      </w:pPr>
    </w:p>
    <w:p w14:paraId="71300057"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Public Health Approaches:</w:t>
      </w:r>
    </w:p>
    <w:p w14:paraId="1C26444C" w14:textId="77777777" w:rsidR="00E7130C" w:rsidRPr="00E7130C" w:rsidRDefault="00E7130C" w:rsidP="00E7130C">
      <w:pPr>
        <w:spacing w:line="360" w:lineRule="auto"/>
        <w:rPr>
          <w:rFonts w:ascii="Arial" w:hAnsi="Arial" w:cs="Arial"/>
          <w:sz w:val="22"/>
        </w:rPr>
      </w:pPr>
      <w:r w:rsidRPr="00E7130C">
        <w:rPr>
          <w:rFonts w:ascii="Arial" w:hAnsi="Arial" w:cs="Arial"/>
          <w:sz w:val="22"/>
        </w:rPr>
        <w:t>The NHS runs several national programmes to support prevention and management:</w:t>
      </w:r>
    </w:p>
    <w:p w14:paraId="0316E564" w14:textId="77777777" w:rsidR="00E7130C" w:rsidRPr="00E7130C" w:rsidRDefault="00E7130C" w:rsidP="00E7130C">
      <w:pPr>
        <w:spacing w:line="360" w:lineRule="auto"/>
        <w:rPr>
          <w:rFonts w:ascii="Arial" w:hAnsi="Arial" w:cs="Arial"/>
          <w:sz w:val="22"/>
        </w:rPr>
      </w:pPr>
      <w:r w:rsidRPr="00E7130C">
        <w:rPr>
          <w:rFonts w:ascii="Arial" w:hAnsi="Arial" w:cs="Arial"/>
          <w:sz w:val="22"/>
        </w:rPr>
        <w:t>    •    NHS Diabetes Prevention Programme (NDPP): Offers structured lifestyle support to people at risk of developing Type 2 diabetes.</w:t>
      </w:r>
    </w:p>
    <w:p w14:paraId="206ACF46" w14:textId="77777777" w:rsidR="00E7130C" w:rsidRPr="00E7130C" w:rsidRDefault="00E7130C" w:rsidP="00E7130C">
      <w:pPr>
        <w:spacing w:line="360" w:lineRule="auto"/>
        <w:rPr>
          <w:rFonts w:ascii="Arial" w:hAnsi="Arial" w:cs="Arial"/>
          <w:sz w:val="22"/>
        </w:rPr>
      </w:pPr>
      <w:r w:rsidRPr="00E7130C">
        <w:rPr>
          <w:rFonts w:ascii="Arial" w:hAnsi="Arial" w:cs="Arial"/>
          <w:sz w:val="22"/>
        </w:rPr>
        <w:t>    •    Health checks for adults aged 40–74: Identify early signs of diabetes and cardiovascular disease.</w:t>
      </w:r>
    </w:p>
    <w:p w14:paraId="3C9E6EC6" w14:textId="77777777" w:rsidR="00E7130C" w:rsidRPr="00E7130C" w:rsidRDefault="00E7130C" w:rsidP="00E7130C">
      <w:pPr>
        <w:spacing w:line="360" w:lineRule="auto"/>
        <w:rPr>
          <w:rFonts w:ascii="Arial" w:hAnsi="Arial" w:cs="Arial"/>
          <w:sz w:val="22"/>
        </w:rPr>
      </w:pPr>
      <w:r w:rsidRPr="00E7130C">
        <w:rPr>
          <w:rFonts w:ascii="Arial" w:hAnsi="Arial" w:cs="Arial"/>
          <w:sz w:val="22"/>
        </w:rPr>
        <w:t>    •    Community education programmes: Such as DESMOND and X-PERT, which teach people how to manage the condition confidently.</w:t>
      </w:r>
    </w:p>
    <w:p w14:paraId="250C7135" w14:textId="77777777" w:rsidR="00E7130C" w:rsidRPr="00E7130C" w:rsidRDefault="00E7130C" w:rsidP="00E7130C">
      <w:pPr>
        <w:spacing w:line="360" w:lineRule="auto"/>
        <w:rPr>
          <w:rFonts w:ascii="Arial" w:hAnsi="Arial" w:cs="Arial"/>
          <w:sz w:val="22"/>
        </w:rPr>
      </w:pPr>
    </w:p>
    <w:p w14:paraId="695FB879"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Role of Health and Social Care Professionals:</w:t>
      </w:r>
    </w:p>
    <w:p w14:paraId="3E7461DC" w14:textId="77777777" w:rsidR="00E7130C" w:rsidRPr="00E7130C" w:rsidRDefault="00E7130C" w:rsidP="00E7130C">
      <w:pPr>
        <w:spacing w:line="360" w:lineRule="auto"/>
        <w:rPr>
          <w:rFonts w:ascii="Arial" w:hAnsi="Arial" w:cs="Arial"/>
          <w:sz w:val="22"/>
        </w:rPr>
      </w:pPr>
      <w:r w:rsidRPr="00E7130C">
        <w:rPr>
          <w:rFonts w:ascii="Arial" w:hAnsi="Arial" w:cs="Arial"/>
          <w:sz w:val="22"/>
        </w:rPr>
        <w:t>Professionals such as nurses, dietitians, GPs, pharmacists and health coaches play essential roles in helping people control their diabetes. They provide personalised education, medication reviews, emotional support and signposting to local services. Social care workers may help with daily routines, meal planning or mobility issues linked to complications.</w:t>
      </w:r>
    </w:p>
    <w:p w14:paraId="05A7BD70" w14:textId="77777777" w:rsidR="00E7130C" w:rsidRDefault="00E7130C" w:rsidP="00E7130C">
      <w:pPr>
        <w:spacing w:line="360" w:lineRule="auto"/>
        <w:rPr>
          <w:rFonts w:ascii="Arial" w:hAnsi="Arial" w:cs="Arial"/>
          <w:sz w:val="22"/>
        </w:rPr>
      </w:pPr>
    </w:p>
    <w:p w14:paraId="5605E168" w14:textId="428BBB93" w:rsidR="00E7130C" w:rsidRPr="00E7130C" w:rsidRDefault="00E7130C" w:rsidP="00E7130C">
      <w:pPr>
        <w:spacing w:line="360" w:lineRule="auto"/>
        <w:rPr>
          <w:rFonts w:ascii="Arial" w:hAnsi="Arial" w:cs="Arial"/>
          <w:sz w:val="22"/>
        </w:rPr>
      </w:pPr>
      <w:r w:rsidRPr="00E7130C">
        <w:rPr>
          <w:rFonts w:ascii="Arial" w:hAnsi="Arial" w:cs="Arial"/>
          <w:sz w:val="22"/>
        </w:rPr>
        <w:t>Below, I will discuss the factors influencing health and well-being:</w:t>
      </w:r>
    </w:p>
    <w:p w14:paraId="3AA541E7"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Biological Factors</w:t>
      </w:r>
    </w:p>
    <w:p w14:paraId="0F3471AA" w14:textId="77777777" w:rsidR="00E7130C" w:rsidRPr="00E7130C" w:rsidRDefault="00E7130C" w:rsidP="00E7130C">
      <w:pPr>
        <w:spacing w:line="360" w:lineRule="auto"/>
        <w:rPr>
          <w:rFonts w:ascii="Arial" w:hAnsi="Arial" w:cs="Arial"/>
          <w:sz w:val="22"/>
        </w:rPr>
      </w:pPr>
      <w:r w:rsidRPr="00E7130C">
        <w:rPr>
          <w:rFonts w:ascii="Arial" w:hAnsi="Arial" w:cs="Arial"/>
          <w:sz w:val="22"/>
        </w:rPr>
        <w:t>Age, genetics and ethnicity all influence the likelihood of developing Type 2 diabetes. Older adults and people with a family history of the condition are at greater risk. Certain ethnic groups are more likely to develop Type 2 diabetes at a younger age and at lower body weights.</w:t>
      </w:r>
    </w:p>
    <w:p w14:paraId="69F94C5D" w14:textId="77777777" w:rsidR="00E7130C" w:rsidRPr="00E7130C" w:rsidRDefault="00E7130C" w:rsidP="00E7130C">
      <w:pPr>
        <w:spacing w:line="360" w:lineRule="auto"/>
        <w:rPr>
          <w:rFonts w:ascii="Arial" w:hAnsi="Arial" w:cs="Arial"/>
          <w:sz w:val="22"/>
        </w:rPr>
      </w:pPr>
    </w:p>
    <w:p w14:paraId="1BF3822D"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Lifestyle Factors</w:t>
      </w:r>
    </w:p>
    <w:p w14:paraId="0B220FD8" w14:textId="77777777" w:rsidR="00E7130C" w:rsidRPr="00E7130C" w:rsidRDefault="00E7130C" w:rsidP="00E7130C">
      <w:pPr>
        <w:spacing w:line="360" w:lineRule="auto"/>
        <w:rPr>
          <w:rFonts w:ascii="Arial" w:hAnsi="Arial" w:cs="Arial"/>
          <w:sz w:val="22"/>
        </w:rPr>
      </w:pPr>
      <w:r w:rsidRPr="00E7130C">
        <w:rPr>
          <w:rFonts w:ascii="Arial" w:hAnsi="Arial" w:cs="Arial"/>
          <w:sz w:val="22"/>
        </w:rPr>
        <w:t>Diet, physical activity and smoking all contribute to the development and management of the condition. Unhealthy diets high in processed foods, low physical activity levels and obesity are key risk factors. People with busy lives or limited financial resources may find it harder to maintain healthy habits.</w:t>
      </w:r>
    </w:p>
    <w:p w14:paraId="34C694FB" w14:textId="77777777" w:rsidR="00E7130C" w:rsidRPr="00E7130C" w:rsidRDefault="00E7130C" w:rsidP="00E7130C">
      <w:pPr>
        <w:spacing w:line="360" w:lineRule="auto"/>
        <w:rPr>
          <w:rFonts w:ascii="Arial" w:hAnsi="Arial" w:cs="Arial"/>
          <w:sz w:val="22"/>
        </w:rPr>
      </w:pPr>
    </w:p>
    <w:p w14:paraId="414E2DE9"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Social and Economic Factors</w:t>
      </w:r>
    </w:p>
    <w:p w14:paraId="232BEFB9" w14:textId="77777777" w:rsidR="00E7130C" w:rsidRPr="00E7130C" w:rsidRDefault="00E7130C" w:rsidP="00E7130C">
      <w:pPr>
        <w:spacing w:line="360" w:lineRule="auto"/>
        <w:rPr>
          <w:rFonts w:ascii="Arial" w:hAnsi="Arial" w:cs="Arial"/>
          <w:sz w:val="22"/>
        </w:rPr>
      </w:pPr>
      <w:r w:rsidRPr="00E7130C">
        <w:rPr>
          <w:rFonts w:ascii="Arial" w:hAnsi="Arial" w:cs="Arial"/>
          <w:sz w:val="22"/>
        </w:rPr>
        <w:t>People living in deprived areas often have less access to affordable healthy foods and safe outdoor spaces and may face higher stress levels. These factors can make it harder to prevent or manage diabetes. Health inequalities remain a major concern in the UK.</w:t>
      </w:r>
    </w:p>
    <w:p w14:paraId="67983F3B" w14:textId="77777777" w:rsidR="00E7130C" w:rsidRPr="00E7130C" w:rsidRDefault="00E7130C" w:rsidP="00E7130C">
      <w:pPr>
        <w:spacing w:line="360" w:lineRule="auto"/>
        <w:rPr>
          <w:rFonts w:ascii="Arial" w:hAnsi="Arial" w:cs="Arial"/>
          <w:sz w:val="22"/>
        </w:rPr>
      </w:pPr>
    </w:p>
    <w:p w14:paraId="56BEAF05"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Environmental and Community Influences</w:t>
      </w:r>
    </w:p>
    <w:p w14:paraId="6B5A50CD" w14:textId="77777777" w:rsidR="00E7130C" w:rsidRPr="00E7130C" w:rsidRDefault="00E7130C" w:rsidP="00E7130C">
      <w:pPr>
        <w:spacing w:line="360" w:lineRule="auto"/>
        <w:rPr>
          <w:rFonts w:ascii="Arial" w:hAnsi="Arial" w:cs="Arial"/>
          <w:sz w:val="22"/>
        </w:rPr>
      </w:pPr>
      <w:r w:rsidRPr="00E7130C">
        <w:rPr>
          <w:rFonts w:ascii="Arial" w:hAnsi="Arial" w:cs="Arial"/>
          <w:sz w:val="22"/>
        </w:rPr>
        <w:t>Public transport, local services, cultural habits and community support groups can affect how well individuals manage their condition. Supportive communities tend to encourage healthier behaviours and reduce stigma.</w:t>
      </w:r>
    </w:p>
    <w:p w14:paraId="02DAA95C" w14:textId="77777777" w:rsidR="00E7130C" w:rsidRPr="00E7130C" w:rsidRDefault="00E7130C" w:rsidP="00E7130C">
      <w:pPr>
        <w:spacing w:line="360" w:lineRule="auto"/>
        <w:rPr>
          <w:rFonts w:ascii="Arial" w:hAnsi="Arial" w:cs="Arial"/>
          <w:sz w:val="22"/>
        </w:rPr>
      </w:pPr>
    </w:p>
    <w:p w14:paraId="199FDCA8"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Emotional and Psychological Factors</w:t>
      </w:r>
    </w:p>
    <w:p w14:paraId="5F7CDB1D" w14:textId="77777777" w:rsidR="00E7130C" w:rsidRPr="00E7130C" w:rsidRDefault="00E7130C" w:rsidP="00E7130C">
      <w:pPr>
        <w:spacing w:line="360" w:lineRule="auto"/>
        <w:rPr>
          <w:rFonts w:ascii="Arial" w:hAnsi="Arial" w:cs="Arial"/>
          <w:sz w:val="22"/>
        </w:rPr>
      </w:pPr>
      <w:r w:rsidRPr="00E7130C">
        <w:rPr>
          <w:rFonts w:ascii="Arial" w:hAnsi="Arial" w:cs="Arial"/>
          <w:sz w:val="22"/>
        </w:rPr>
        <w:t>A long-term condition like diabetes can affect mental health. Anxiety, low mood and “diabetes burnout” are common, especially when people feel overwhelmed by appointments or lifestyle changes. Support from professionals and family members is essential.</w:t>
      </w:r>
    </w:p>
    <w:p w14:paraId="53EEDF32" w14:textId="77777777" w:rsidR="00E7130C" w:rsidRPr="00E7130C" w:rsidRDefault="00E7130C" w:rsidP="00E7130C">
      <w:pPr>
        <w:spacing w:line="360" w:lineRule="auto"/>
        <w:rPr>
          <w:rFonts w:ascii="Arial" w:hAnsi="Arial" w:cs="Arial"/>
          <w:b/>
          <w:bCs/>
          <w:sz w:val="22"/>
        </w:rPr>
      </w:pPr>
    </w:p>
    <w:p w14:paraId="0DF55E14" w14:textId="77777777" w:rsidR="00E7130C" w:rsidRPr="00E7130C" w:rsidRDefault="00E7130C" w:rsidP="00E7130C">
      <w:pPr>
        <w:spacing w:line="360" w:lineRule="auto"/>
        <w:rPr>
          <w:rFonts w:ascii="Arial" w:hAnsi="Arial" w:cs="Arial"/>
          <w:b/>
          <w:bCs/>
          <w:sz w:val="22"/>
        </w:rPr>
      </w:pPr>
      <w:r w:rsidRPr="00E7130C">
        <w:rPr>
          <w:rFonts w:ascii="Arial" w:hAnsi="Arial" w:cs="Arial"/>
          <w:b/>
          <w:bCs/>
          <w:sz w:val="22"/>
        </w:rPr>
        <w:t>Practical Steps for Professionals to Enhance Well-being</w:t>
      </w:r>
    </w:p>
    <w:p w14:paraId="1926E1BC" w14:textId="77777777" w:rsidR="00E7130C" w:rsidRPr="00E7130C" w:rsidRDefault="00E7130C" w:rsidP="00E7130C">
      <w:pPr>
        <w:spacing w:line="360" w:lineRule="auto"/>
        <w:rPr>
          <w:rFonts w:ascii="Arial" w:hAnsi="Arial" w:cs="Arial"/>
          <w:sz w:val="22"/>
        </w:rPr>
      </w:pPr>
      <w:r w:rsidRPr="00E7130C">
        <w:rPr>
          <w:rFonts w:ascii="Arial" w:hAnsi="Arial" w:cs="Arial"/>
          <w:sz w:val="22"/>
        </w:rPr>
        <w:t>    •    Providing clear, personalised education to build confidence</w:t>
      </w:r>
    </w:p>
    <w:p w14:paraId="03AEB32E" w14:textId="77777777" w:rsidR="00E7130C" w:rsidRPr="00E7130C" w:rsidRDefault="00E7130C" w:rsidP="00E7130C">
      <w:pPr>
        <w:spacing w:line="360" w:lineRule="auto"/>
        <w:rPr>
          <w:rFonts w:ascii="Arial" w:hAnsi="Arial" w:cs="Arial"/>
          <w:sz w:val="22"/>
        </w:rPr>
      </w:pPr>
      <w:r w:rsidRPr="00E7130C">
        <w:rPr>
          <w:rFonts w:ascii="Arial" w:hAnsi="Arial" w:cs="Arial"/>
          <w:sz w:val="22"/>
        </w:rPr>
        <w:t>    •    Encouraging small, achievable lifestyle changes</w:t>
      </w:r>
    </w:p>
    <w:p w14:paraId="601CA2EE" w14:textId="77777777" w:rsidR="00E7130C" w:rsidRPr="00E7130C" w:rsidRDefault="00E7130C" w:rsidP="00E7130C">
      <w:pPr>
        <w:spacing w:line="360" w:lineRule="auto"/>
        <w:rPr>
          <w:rFonts w:ascii="Arial" w:hAnsi="Arial" w:cs="Arial"/>
          <w:sz w:val="22"/>
        </w:rPr>
      </w:pPr>
      <w:r w:rsidRPr="00E7130C">
        <w:rPr>
          <w:rFonts w:ascii="Arial" w:hAnsi="Arial" w:cs="Arial"/>
          <w:sz w:val="22"/>
        </w:rPr>
        <w:t>    •    Offering culturally sensitive advice</w:t>
      </w:r>
    </w:p>
    <w:p w14:paraId="45A37FA5" w14:textId="77777777" w:rsidR="00E7130C" w:rsidRPr="00E7130C" w:rsidRDefault="00E7130C" w:rsidP="00E7130C">
      <w:pPr>
        <w:spacing w:line="360" w:lineRule="auto"/>
        <w:rPr>
          <w:rFonts w:ascii="Arial" w:hAnsi="Arial" w:cs="Arial"/>
          <w:sz w:val="22"/>
        </w:rPr>
      </w:pPr>
      <w:r w:rsidRPr="00E7130C">
        <w:rPr>
          <w:rFonts w:ascii="Arial" w:hAnsi="Arial" w:cs="Arial"/>
          <w:sz w:val="22"/>
        </w:rPr>
        <w:t>    •    Supporting emotional well-being through referrals to counselling</w:t>
      </w:r>
    </w:p>
    <w:p w14:paraId="2C64A819" w14:textId="77777777" w:rsidR="00E7130C" w:rsidRPr="00E7130C" w:rsidRDefault="00E7130C" w:rsidP="00E7130C">
      <w:pPr>
        <w:spacing w:line="360" w:lineRule="auto"/>
        <w:rPr>
          <w:rFonts w:ascii="Arial" w:hAnsi="Arial" w:cs="Arial"/>
          <w:sz w:val="22"/>
        </w:rPr>
      </w:pPr>
      <w:r w:rsidRPr="00E7130C">
        <w:rPr>
          <w:rFonts w:ascii="Arial" w:hAnsi="Arial" w:cs="Arial"/>
          <w:sz w:val="22"/>
        </w:rPr>
        <w:t>    •    Ensuring regular reviews and follow-up appointments</w:t>
      </w:r>
    </w:p>
    <w:p w14:paraId="2C9181AD" w14:textId="77777777" w:rsidR="00E7130C" w:rsidRPr="00E7130C" w:rsidRDefault="00E7130C" w:rsidP="00E7130C">
      <w:pPr>
        <w:spacing w:line="360" w:lineRule="auto"/>
        <w:rPr>
          <w:rFonts w:ascii="Arial" w:hAnsi="Arial" w:cs="Arial"/>
          <w:sz w:val="22"/>
        </w:rPr>
      </w:pPr>
      <w:r w:rsidRPr="00E7130C">
        <w:rPr>
          <w:rFonts w:ascii="Arial" w:hAnsi="Arial" w:cs="Arial"/>
          <w:sz w:val="22"/>
        </w:rPr>
        <w:t>    •    Signposting to community groups, exercise programmes or social activities</w:t>
      </w:r>
    </w:p>
    <w:p w14:paraId="6528A555" w14:textId="77777777" w:rsidR="00E7130C" w:rsidRPr="00E7130C" w:rsidRDefault="00E7130C" w:rsidP="00E7130C">
      <w:pPr>
        <w:spacing w:line="360" w:lineRule="auto"/>
        <w:rPr>
          <w:rFonts w:ascii="Arial" w:hAnsi="Arial" w:cs="Arial"/>
          <w:sz w:val="22"/>
        </w:rPr>
      </w:pPr>
      <w:r w:rsidRPr="00E7130C">
        <w:rPr>
          <w:rFonts w:ascii="Arial" w:hAnsi="Arial" w:cs="Arial"/>
          <w:sz w:val="22"/>
        </w:rPr>
        <w:t>    •    Helping people set realistic goals and track their progress</w:t>
      </w:r>
    </w:p>
    <w:p w14:paraId="635BA5C3" w14:textId="77777777" w:rsidR="00E7130C" w:rsidRPr="00E7130C" w:rsidRDefault="00E7130C" w:rsidP="00E7130C">
      <w:pPr>
        <w:spacing w:line="360" w:lineRule="auto"/>
        <w:rPr>
          <w:rFonts w:ascii="Arial" w:hAnsi="Arial" w:cs="Arial"/>
          <w:sz w:val="22"/>
        </w:rPr>
      </w:pPr>
    </w:p>
    <w:p w14:paraId="4DF31BA8" w14:textId="77777777" w:rsidR="00E7130C" w:rsidRPr="00E7130C" w:rsidRDefault="00E7130C" w:rsidP="00E7130C">
      <w:pPr>
        <w:spacing w:line="360" w:lineRule="auto"/>
        <w:rPr>
          <w:rFonts w:ascii="Arial" w:hAnsi="Arial" w:cs="Arial"/>
          <w:sz w:val="22"/>
        </w:rPr>
      </w:pPr>
      <w:r w:rsidRPr="00E7130C">
        <w:rPr>
          <w:rFonts w:ascii="Arial" w:hAnsi="Arial" w:cs="Arial"/>
          <w:sz w:val="22"/>
        </w:rPr>
        <w:t>These steps help people feel more in control of their condition and reduce long-term risks.</w:t>
      </w:r>
    </w:p>
    <w:p w14:paraId="0278D281" w14:textId="77777777" w:rsidR="00E7130C" w:rsidRPr="00E7130C" w:rsidRDefault="00E7130C" w:rsidP="00E7130C">
      <w:pPr>
        <w:spacing w:line="360" w:lineRule="auto"/>
        <w:rPr>
          <w:rFonts w:ascii="Arial" w:hAnsi="Arial" w:cs="Arial"/>
          <w:sz w:val="22"/>
        </w:rPr>
      </w:pPr>
    </w:p>
    <w:p w14:paraId="70304380" w14:textId="33EAC83E" w:rsidR="00E7130C" w:rsidRPr="00E7130C" w:rsidRDefault="00E7130C" w:rsidP="00E7130C">
      <w:pPr>
        <w:spacing w:line="360" w:lineRule="auto"/>
        <w:rPr>
          <w:rFonts w:ascii="Arial" w:hAnsi="Arial" w:cs="Arial"/>
          <w:sz w:val="22"/>
        </w:rPr>
      </w:pPr>
      <w:r w:rsidRPr="00E7130C">
        <w:rPr>
          <w:rFonts w:ascii="Arial" w:hAnsi="Arial" w:cs="Arial"/>
          <w:sz w:val="22"/>
        </w:rPr>
        <w:lastRenderedPageBreak/>
        <w:t xml:space="preserve">To </w:t>
      </w:r>
      <w:r>
        <w:rPr>
          <w:rFonts w:ascii="Arial" w:hAnsi="Arial" w:cs="Arial"/>
          <w:sz w:val="22"/>
        </w:rPr>
        <w:t>c</w:t>
      </w:r>
      <w:r w:rsidRPr="00E7130C">
        <w:rPr>
          <w:rFonts w:ascii="Arial" w:hAnsi="Arial" w:cs="Arial"/>
          <w:sz w:val="22"/>
        </w:rPr>
        <w:t>onclude, Type 2 diabetes is a growing public health issue in the UK and around the world, with serious consequences for individuals, families and healthcare services. The condition develops due to a mixture of biological, lifestyle and social factors, and it can lead to complications that significantly affect quality of life. The NHS faces increasing pressure as more people are diagnosed each year, highlighting the importance of prevention, education and early intervention. Although Type 2 diabetes cannot always be prevented, many cases can be delayed or well managed through healthy lifestyle choices, regular monitoring and professional support. Health and social care workers play an essential role in helping people understand their condition and make positive changes. By promoting awareness and addressing wider determinants of health, communities and professionals can work together to reduce the impact of Type 2 diabetes.</w:t>
      </w:r>
    </w:p>
    <w:p w14:paraId="069A7EE4" w14:textId="77777777" w:rsidR="00E7130C" w:rsidRPr="00E7130C" w:rsidRDefault="00E7130C" w:rsidP="00E7130C">
      <w:pPr>
        <w:spacing w:line="360" w:lineRule="auto"/>
        <w:rPr>
          <w:rFonts w:ascii="Arial" w:hAnsi="Arial" w:cs="Arial"/>
          <w:sz w:val="22"/>
        </w:rPr>
      </w:pPr>
    </w:p>
    <w:p w14:paraId="70029EC2" w14:textId="77777777" w:rsidR="00E7130C" w:rsidRPr="00E7130C" w:rsidRDefault="00E7130C" w:rsidP="00E7130C">
      <w:pPr>
        <w:spacing w:line="360" w:lineRule="auto"/>
        <w:rPr>
          <w:rFonts w:ascii="Arial" w:hAnsi="Arial" w:cs="Arial"/>
          <w:sz w:val="22"/>
        </w:rPr>
      </w:pPr>
    </w:p>
    <w:p w14:paraId="2F915F94" w14:textId="77777777" w:rsidR="00E7130C" w:rsidRPr="00E7130C" w:rsidRDefault="00E7130C" w:rsidP="00E7130C">
      <w:pPr>
        <w:spacing w:line="360" w:lineRule="auto"/>
        <w:rPr>
          <w:rFonts w:ascii="Arial" w:hAnsi="Arial" w:cs="Arial"/>
          <w:sz w:val="22"/>
        </w:rPr>
      </w:pPr>
    </w:p>
    <w:p w14:paraId="770C8834" w14:textId="77777777" w:rsidR="00E7130C" w:rsidRPr="00E7130C" w:rsidRDefault="00E7130C" w:rsidP="00E7130C">
      <w:pPr>
        <w:spacing w:line="360" w:lineRule="auto"/>
        <w:rPr>
          <w:rFonts w:ascii="Arial" w:hAnsi="Arial" w:cs="Arial"/>
          <w:sz w:val="22"/>
        </w:rPr>
      </w:pPr>
    </w:p>
    <w:p w14:paraId="36D2321F" w14:textId="77777777" w:rsidR="00E7130C" w:rsidRPr="00E7130C" w:rsidRDefault="00E7130C" w:rsidP="00E7130C">
      <w:pPr>
        <w:spacing w:line="360" w:lineRule="auto"/>
        <w:rPr>
          <w:rFonts w:ascii="Arial" w:hAnsi="Arial" w:cs="Arial"/>
          <w:sz w:val="22"/>
        </w:rPr>
      </w:pPr>
    </w:p>
    <w:p w14:paraId="38D99313" w14:textId="77777777" w:rsidR="00E7130C" w:rsidRPr="00E7130C" w:rsidRDefault="00E7130C" w:rsidP="00E7130C">
      <w:pPr>
        <w:spacing w:line="360" w:lineRule="auto"/>
        <w:rPr>
          <w:rFonts w:ascii="Arial" w:hAnsi="Arial" w:cs="Arial"/>
          <w:sz w:val="22"/>
        </w:rPr>
      </w:pPr>
    </w:p>
    <w:p w14:paraId="0DEC0224" w14:textId="77777777" w:rsidR="00E7130C" w:rsidRPr="00E7130C" w:rsidRDefault="00E7130C" w:rsidP="00E7130C">
      <w:pPr>
        <w:spacing w:line="360" w:lineRule="auto"/>
        <w:rPr>
          <w:rFonts w:ascii="Arial" w:hAnsi="Arial" w:cs="Arial"/>
          <w:sz w:val="22"/>
        </w:rPr>
      </w:pPr>
    </w:p>
    <w:p w14:paraId="321AE86F" w14:textId="77777777" w:rsidR="00E7130C" w:rsidRPr="00E7130C" w:rsidRDefault="00E7130C" w:rsidP="00E7130C">
      <w:pPr>
        <w:spacing w:line="360" w:lineRule="auto"/>
        <w:rPr>
          <w:rFonts w:ascii="Arial" w:hAnsi="Arial" w:cs="Arial"/>
          <w:sz w:val="22"/>
        </w:rPr>
      </w:pPr>
    </w:p>
    <w:p w14:paraId="4D53BD7E" w14:textId="77777777" w:rsidR="00E7130C" w:rsidRPr="00E7130C" w:rsidRDefault="00E7130C" w:rsidP="00E7130C">
      <w:pPr>
        <w:spacing w:line="360" w:lineRule="auto"/>
        <w:rPr>
          <w:rFonts w:ascii="Arial" w:hAnsi="Arial" w:cs="Arial"/>
          <w:sz w:val="22"/>
        </w:rPr>
      </w:pPr>
    </w:p>
    <w:p w14:paraId="20997C71" w14:textId="77777777" w:rsidR="00E7130C" w:rsidRPr="00E7130C" w:rsidRDefault="00E7130C" w:rsidP="00E7130C">
      <w:pPr>
        <w:spacing w:line="360" w:lineRule="auto"/>
        <w:rPr>
          <w:rFonts w:ascii="Arial" w:hAnsi="Arial" w:cs="Arial"/>
          <w:sz w:val="22"/>
        </w:rPr>
      </w:pPr>
    </w:p>
    <w:p w14:paraId="3B47C395" w14:textId="77777777" w:rsidR="00E7130C" w:rsidRPr="00E7130C" w:rsidRDefault="00E7130C" w:rsidP="00E7130C">
      <w:pPr>
        <w:spacing w:line="360" w:lineRule="auto"/>
        <w:rPr>
          <w:rFonts w:ascii="Arial" w:hAnsi="Arial" w:cs="Arial"/>
          <w:sz w:val="22"/>
        </w:rPr>
      </w:pPr>
    </w:p>
    <w:p w14:paraId="4B26FE60" w14:textId="77777777" w:rsidR="00E7130C" w:rsidRPr="00E7130C" w:rsidRDefault="00E7130C" w:rsidP="00E7130C">
      <w:pPr>
        <w:spacing w:line="360" w:lineRule="auto"/>
        <w:rPr>
          <w:rFonts w:ascii="Arial" w:hAnsi="Arial" w:cs="Arial"/>
          <w:sz w:val="22"/>
        </w:rPr>
      </w:pPr>
    </w:p>
    <w:p w14:paraId="31F97B26" w14:textId="77777777" w:rsidR="00E7130C" w:rsidRDefault="00E7130C" w:rsidP="00E7130C">
      <w:pPr>
        <w:spacing w:line="360" w:lineRule="auto"/>
        <w:rPr>
          <w:rFonts w:ascii="Arial" w:hAnsi="Arial" w:cs="Arial"/>
          <w:sz w:val="22"/>
        </w:rPr>
      </w:pPr>
    </w:p>
    <w:p w14:paraId="6D833CA7" w14:textId="77777777" w:rsidR="00E7130C" w:rsidRDefault="00E7130C" w:rsidP="00E7130C">
      <w:pPr>
        <w:spacing w:line="360" w:lineRule="auto"/>
        <w:rPr>
          <w:rFonts w:ascii="Arial" w:hAnsi="Arial" w:cs="Arial"/>
          <w:sz w:val="22"/>
        </w:rPr>
      </w:pPr>
    </w:p>
    <w:p w14:paraId="3E3BBD93" w14:textId="77777777" w:rsidR="00E7130C" w:rsidRDefault="00E7130C" w:rsidP="00E7130C">
      <w:pPr>
        <w:spacing w:line="360" w:lineRule="auto"/>
        <w:rPr>
          <w:rFonts w:ascii="Arial" w:hAnsi="Arial" w:cs="Arial"/>
          <w:sz w:val="22"/>
        </w:rPr>
      </w:pPr>
    </w:p>
    <w:p w14:paraId="1E9B1E11" w14:textId="77777777" w:rsidR="00E7130C" w:rsidRPr="00E7130C" w:rsidRDefault="00E7130C" w:rsidP="00E7130C">
      <w:pPr>
        <w:spacing w:line="360" w:lineRule="auto"/>
        <w:rPr>
          <w:rFonts w:ascii="Arial" w:hAnsi="Arial" w:cs="Arial"/>
          <w:sz w:val="22"/>
        </w:rPr>
      </w:pPr>
    </w:p>
    <w:p w14:paraId="4AF62537" w14:textId="77777777" w:rsidR="00E7130C" w:rsidRPr="00E7130C" w:rsidRDefault="00E7130C" w:rsidP="00E7130C">
      <w:pPr>
        <w:spacing w:line="360" w:lineRule="auto"/>
        <w:rPr>
          <w:rFonts w:ascii="Arial" w:hAnsi="Arial" w:cs="Arial"/>
          <w:sz w:val="22"/>
        </w:rPr>
      </w:pPr>
    </w:p>
    <w:p w14:paraId="0C65DE7F" w14:textId="77777777" w:rsidR="00E7130C" w:rsidRDefault="00E7130C" w:rsidP="00E7130C">
      <w:pPr>
        <w:spacing w:line="360" w:lineRule="auto"/>
        <w:rPr>
          <w:rFonts w:ascii="Arial" w:hAnsi="Arial" w:cs="Arial"/>
          <w:sz w:val="22"/>
        </w:rPr>
      </w:pPr>
    </w:p>
    <w:p w14:paraId="33E9BB78" w14:textId="5110CBC3" w:rsidR="00E7130C" w:rsidRPr="00E7130C" w:rsidRDefault="00E7130C" w:rsidP="00E7130C">
      <w:pPr>
        <w:spacing w:line="360" w:lineRule="auto"/>
        <w:rPr>
          <w:rFonts w:ascii="Arial" w:hAnsi="Arial" w:cs="Arial"/>
          <w:b/>
          <w:bCs/>
          <w:sz w:val="22"/>
        </w:rPr>
      </w:pPr>
      <w:r w:rsidRPr="00E7130C">
        <w:rPr>
          <w:rFonts w:ascii="Arial" w:hAnsi="Arial" w:cs="Arial"/>
          <w:b/>
          <w:bCs/>
          <w:sz w:val="22"/>
        </w:rPr>
        <w:lastRenderedPageBreak/>
        <w:t>References:</w:t>
      </w:r>
    </w:p>
    <w:p w14:paraId="5ECF7003" w14:textId="77777777" w:rsidR="00E7130C" w:rsidRPr="00E7130C" w:rsidRDefault="00E7130C" w:rsidP="00E7130C">
      <w:pPr>
        <w:spacing w:line="360" w:lineRule="auto"/>
        <w:rPr>
          <w:rFonts w:ascii="Arial" w:hAnsi="Arial" w:cs="Arial"/>
          <w:sz w:val="22"/>
        </w:rPr>
      </w:pPr>
      <w:r w:rsidRPr="00E7130C">
        <w:rPr>
          <w:rFonts w:ascii="Arial" w:hAnsi="Arial" w:cs="Arial"/>
          <w:sz w:val="22"/>
        </w:rPr>
        <w:t>Diabetes UK (2024) Statistics on diabetes. Available at:</w:t>
      </w:r>
    </w:p>
    <w:p w14:paraId="570915CE" w14:textId="77777777" w:rsidR="00E7130C" w:rsidRPr="00E7130C" w:rsidRDefault="00E7130C" w:rsidP="00E7130C">
      <w:pPr>
        <w:spacing w:line="360" w:lineRule="auto"/>
        <w:rPr>
          <w:rFonts w:ascii="Arial" w:hAnsi="Arial" w:cs="Arial"/>
          <w:sz w:val="22"/>
        </w:rPr>
      </w:pPr>
      <w:hyperlink r:id="rId9" w:history="1">
        <w:r w:rsidRPr="00E7130C">
          <w:rPr>
            <w:rStyle w:val="Hyperlink"/>
            <w:rFonts w:ascii="Arial" w:hAnsi="Arial" w:cs="Arial"/>
            <w:sz w:val="22"/>
          </w:rPr>
          <w:t>https://www.diabetes.org.uk/professionals/position-statements-reports/statistics</w:t>
        </w:r>
      </w:hyperlink>
      <w:r w:rsidRPr="00E7130C">
        <w:rPr>
          <w:rFonts w:ascii="Arial" w:hAnsi="Arial" w:cs="Arial"/>
          <w:sz w:val="22"/>
        </w:rPr>
        <w:t xml:space="preserve"> </w:t>
      </w:r>
    </w:p>
    <w:p w14:paraId="12965D33" w14:textId="77777777" w:rsidR="00E7130C" w:rsidRPr="00E7130C" w:rsidRDefault="00E7130C" w:rsidP="00E7130C">
      <w:pPr>
        <w:spacing w:line="360" w:lineRule="auto"/>
        <w:rPr>
          <w:rFonts w:ascii="Arial" w:hAnsi="Arial" w:cs="Arial"/>
          <w:sz w:val="22"/>
        </w:rPr>
      </w:pPr>
      <w:r w:rsidRPr="00E7130C">
        <w:rPr>
          <w:rFonts w:ascii="Arial" w:hAnsi="Arial" w:cs="Arial"/>
          <w:sz w:val="22"/>
        </w:rPr>
        <w:t>(Accessed: November 2025).</w:t>
      </w:r>
    </w:p>
    <w:p w14:paraId="2D822D71" w14:textId="77777777" w:rsidR="00E7130C" w:rsidRPr="00E7130C" w:rsidRDefault="00E7130C" w:rsidP="00E7130C">
      <w:pPr>
        <w:spacing w:line="360" w:lineRule="auto"/>
        <w:rPr>
          <w:rFonts w:ascii="Arial" w:hAnsi="Arial" w:cs="Arial"/>
          <w:sz w:val="22"/>
        </w:rPr>
      </w:pPr>
    </w:p>
    <w:p w14:paraId="76161F90" w14:textId="77777777" w:rsidR="00E7130C" w:rsidRPr="00E7130C" w:rsidRDefault="00E7130C" w:rsidP="00E7130C">
      <w:pPr>
        <w:spacing w:line="360" w:lineRule="auto"/>
        <w:rPr>
          <w:rFonts w:ascii="Arial" w:hAnsi="Arial" w:cs="Arial"/>
          <w:sz w:val="22"/>
        </w:rPr>
      </w:pPr>
      <w:r w:rsidRPr="00E7130C">
        <w:rPr>
          <w:rFonts w:ascii="Arial" w:hAnsi="Arial" w:cs="Arial"/>
          <w:sz w:val="22"/>
        </w:rPr>
        <w:t>NHS (2023) Type 2 diabetes. Available at:</w:t>
      </w:r>
    </w:p>
    <w:p w14:paraId="49C5DD82" w14:textId="77777777" w:rsidR="00E7130C" w:rsidRPr="00E7130C" w:rsidRDefault="00E7130C" w:rsidP="00E7130C">
      <w:pPr>
        <w:spacing w:line="360" w:lineRule="auto"/>
        <w:rPr>
          <w:rFonts w:ascii="Arial" w:hAnsi="Arial" w:cs="Arial"/>
          <w:sz w:val="22"/>
        </w:rPr>
      </w:pPr>
      <w:hyperlink r:id="rId10" w:history="1">
        <w:r w:rsidRPr="00E7130C">
          <w:rPr>
            <w:rStyle w:val="Hyperlink"/>
            <w:rFonts w:ascii="Arial" w:hAnsi="Arial" w:cs="Arial"/>
            <w:sz w:val="22"/>
          </w:rPr>
          <w:t>https://www.nhs.uk/conditions/type-2-diabetes/</w:t>
        </w:r>
      </w:hyperlink>
      <w:r w:rsidRPr="00E7130C">
        <w:rPr>
          <w:rFonts w:ascii="Arial" w:hAnsi="Arial" w:cs="Arial"/>
          <w:sz w:val="22"/>
        </w:rPr>
        <w:t xml:space="preserve"> </w:t>
      </w:r>
    </w:p>
    <w:p w14:paraId="46CFAA5B" w14:textId="77777777" w:rsidR="00E7130C" w:rsidRPr="00E7130C" w:rsidRDefault="00E7130C" w:rsidP="00E7130C">
      <w:pPr>
        <w:spacing w:line="360" w:lineRule="auto"/>
        <w:rPr>
          <w:rFonts w:ascii="Arial" w:hAnsi="Arial" w:cs="Arial"/>
          <w:sz w:val="22"/>
        </w:rPr>
      </w:pPr>
      <w:r w:rsidRPr="00E7130C">
        <w:rPr>
          <w:rFonts w:ascii="Arial" w:hAnsi="Arial" w:cs="Arial"/>
          <w:sz w:val="22"/>
        </w:rPr>
        <w:t>(Accessed: November 2025).</w:t>
      </w:r>
    </w:p>
    <w:p w14:paraId="27C72EA4" w14:textId="77777777" w:rsidR="00E7130C" w:rsidRPr="00E7130C" w:rsidRDefault="00E7130C" w:rsidP="00E7130C">
      <w:pPr>
        <w:spacing w:line="360" w:lineRule="auto"/>
        <w:rPr>
          <w:rFonts w:ascii="Arial" w:hAnsi="Arial" w:cs="Arial"/>
          <w:sz w:val="22"/>
        </w:rPr>
      </w:pPr>
    </w:p>
    <w:p w14:paraId="1F550B4B" w14:textId="77777777" w:rsidR="00E7130C" w:rsidRPr="00E7130C" w:rsidRDefault="00E7130C" w:rsidP="00E7130C">
      <w:pPr>
        <w:spacing w:line="360" w:lineRule="auto"/>
        <w:rPr>
          <w:rFonts w:ascii="Arial" w:hAnsi="Arial" w:cs="Arial"/>
          <w:sz w:val="22"/>
        </w:rPr>
      </w:pPr>
      <w:r w:rsidRPr="00E7130C">
        <w:rPr>
          <w:rFonts w:ascii="Arial" w:hAnsi="Arial" w:cs="Arial"/>
          <w:sz w:val="22"/>
        </w:rPr>
        <w:t>NHS Digital (2023) National Diabetes Audit. Available at:</w:t>
      </w:r>
    </w:p>
    <w:p w14:paraId="1C9EFB30" w14:textId="77777777" w:rsidR="00E7130C" w:rsidRPr="00E7130C" w:rsidRDefault="00E7130C" w:rsidP="00E7130C">
      <w:pPr>
        <w:spacing w:line="360" w:lineRule="auto"/>
        <w:rPr>
          <w:rFonts w:ascii="Arial" w:hAnsi="Arial" w:cs="Arial"/>
          <w:sz w:val="22"/>
        </w:rPr>
      </w:pPr>
      <w:hyperlink r:id="rId11" w:history="1">
        <w:r w:rsidRPr="00E7130C">
          <w:rPr>
            <w:rStyle w:val="Hyperlink"/>
            <w:rFonts w:ascii="Arial" w:hAnsi="Arial" w:cs="Arial"/>
            <w:sz w:val="22"/>
          </w:rPr>
          <w:t>https://digital.nhs.uk/data-and-information/publications/statistical/national-diabetes-audit</w:t>
        </w:r>
      </w:hyperlink>
      <w:r w:rsidRPr="00E7130C">
        <w:rPr>
          <w:rFonts w:ascii="Arial" w:hAnsi="Arial" w:cs="Arial"/>
          <w:sz w:val="22"/>
        </w:rPr>
        <w:t xml:space="preserve"> </w:t>
      </w:r>
    </w:p>
    <w:p w14:paraId="1A172A18" w14:textId="77777777" w:rsidR="00E7130C" w:rsidRPr="00E7130C" w:rsidRDefault="00E7130C" w:rsidP="00E7130C">
      <w:pPr>
        <w:spacing w:line="360" w:lineRule="auto"/>
        <w:rPr>
          <w:rFonts w:ascii="Arial" w:hAnsi="Arial" w:cs="Arial"/>
          <w:sz w:val="22"/>
        </w:rPr>
      </w:pPr>
      <w:r w:rsidRPr="00E7130C">
        <w:rPr>
          <w:rFonts w:ascii="Arial" w:hAnsi="Arial" w:cs="Arial"/>
          <w:sz w:val="22"/>
        </w:rPr>
        <w:t>(Accessed: November 2025).</w:t>
      </w:r>
    </w:p>
    <w:p w14:paraId="05B6A367" w14:textId="77777777" w:rsidR="00E7130C" w:rsidRPr="00E7130C" w:rsidRDefault="00E7130C" w:rsidP="00E7130C">
      <w:pPr>
        <w:spacing w:line="360" w:lineRule="auto"/>
        <w:rPr>
          <w:rFonts w:ascii="Arial" w:hAnsi="Arial" w:cs="Arial"/>
          <w:sz w:val="22"/>
        </w:rPr>
      </w:pPr>
    </w:p>
    <w:p w14:paraId="4AA7613D" w14:textId="77777777" w:rsidR="00E7130C" w:rsidRPr="00E7130C" w:rsidRDefault="00E7130C" w:rsidP="00E7130C">
      <w:pPr>
        <w:spacing w:line="360" w:lineRule="auto"/>
        <w:rPr>
          <w:rFonts w:ascii="Arial" w:hAnsi="Arial" w:cs="Arial"/>
          <w:sz w:val="22"/>
        </w:rPr>
      </w:pPr>
      <w:r w:rsidRPr="00E7130C">
        <w:rPr>
          <w:rFonts w:ascii="Arial" w:hAnsi="Arial" w:cs="Arial"/>
          <w:sz w:val="22"/>
        </w:rPr>
        <w:t>NICE (2022) Type 2 diabetes in adults: management (NG28). Available at:</w:t>
      </w:r>
    </w:p>
    <w:p w14:paraId="124A2B31" w14:textId="77777777" w:rsidR="00E7130C" w:rsidRPr="00E7130C" w:rsidRDefault="00E7130C" w:rsidP="00E7130C">
      <w:pPr>
        <w:spacing w:line="360" w:lineRule="auto"/>
        <w:rPr>
          <w:rFonts w:ascii="Arial" w:hAnsi="Arial" w:cs="Arial"/>
          <w:sz w:val="22"/>
        </w:rPr>
      </w:pPr>
      <w:hyperlink r:id="rId12" w:history="1">
        <w:r w:rsidRPr="00E7130C">
          <w:rPr>
            <w:rStyle w:val="Hyperlink"/>
            <w:rFonts w:ascii="Arial" w:hAnsi="Arial" w:cs="Arial"/>
            <w:sz w:val="22"/>
          </w:rPr>
          <w:t>https://www.nice.org.uk/guidance/ng28</w:t>
        </w:r>
      </w:hyperlink>
      <w:r w:rsidRPr="00E7130C">
        <w:rPr>
          <w:rFonts w:ascii="Arial" w:hAnsi="Arial" w:cs="Arial"/>
          <w:sz w:val="22"/>
        </w:rPr>
        <w:t xml:space="preserve"> </w:t>
      </w:r>
    </w:p>
    <w:p w14:paraId="4267BBF6" w14:textId="77777777" w:rsidR="00E7130C" w:rsidRPr="00E7130C" w:rsidRDefault="00E7130C" w:rsidP="00E7130C">
      <w:pPr>
        <w:spacing w:line="360" w:lineRule="auto"/>
        <w:rPr>
          <w:rFonts w:ascii="Arial" w:hAnsi="Arial" w:cs="Arial"/>
          <w:sz w:val="22"/>
        </w:rPr>
      </w:pPr>
      <w:r w:rsidRPr="00E7130C">
        <w:rPr>
          <w:rFonts w:ascii="Arial" w:hAnsi="Arial" w:cs="Arial"/>
          <w:sz w:val="22"/>
        </w:rPr>
        <w:t>(Accessed: November 2025).</w:t>
      </w:r>
    </w:p>
    <w:p w14:paraId="20A298F2" w14:textId="77777777" w:rsidR="00E7130C" w:rsidRPr="00E7130C" w:rsidRDefault="00E7130C" w:rsidP="00E7130C">
      <w:pPr>
        <w:spacing w:line="360" w:lineRule="auto"/>
        <w:rPr>
          <w:rFonts w:ascii="Arial" w:hAnsi="Arial" w:cs="Arial"/>
          <w:sz w:val="22"/>
        </w:rPr>
      </w:pPr>
    </w:p>
    <w:p w14:paraId="18D247D2" w14:textId="77777777" w:rsidR="00E7130C" w:rsidRPr="00E7130C" w:rsidRDefault="00E7130C" w:rsidP="00E7130C">
      <w:pPr>
        <w:spacing w:line="360" w:lineRule="auto"/>
        <w:rPr>
          <w:rFonts w:ascii="Arial" w:hAnsi="Arial" w:cs="Arial"/>
          <w:sz w:val="22"/>
        </w:rPr>
      </w:pPr>
      <w:r w:rsidRPr="00E7130C">
        <w:rPr>
          <w:rFonts w:ascii="Arial" w:hAnsi="Arial" w:cs="Arial"/>
          <w:sz w:val="22"/>
        </w:rPr>
        <w:t xml:space="preserve">Khan, M.A.B., Hashim, M.J., King, J.K., Govender, R.D., Mustafa, H. and Al </w:t>
      </w:r>
      <w:proofErr w:type="spellStart"/>
      <w:r w:rsidRPr="00E7130C">
        <w:rPr>
          <w:rFonts w:ascii="Arial" w:hAnsi="Arial" w:cs="Arial"/>
          <w:sz w:val="22"/>
        </w:rPr>
        <w:t>Kaabi</w:t>
      </w:r>
      <w:proofErr w:type="spellEnd"/>
      <w:r w:rsidRPr="00E7130C">
        <w:rPr>
          <w:rFonts w:ascii="Arial" w:hAnsi="Arial" w:cs="Arial"/>
          <w:sz w:val="22"/>
        </w:rPr>
        <w:t>, J. (2020) ‘Epidemiology of type 2 diabetes – global burden’, World Journal of Diabetes, 11(6), pp. 13–16. Available at:</w:t>
      </w:r>
    </w:p>
    <w:p w14:paraId="5619F6D7" w14:textId="77777777" w:rsidR="00E7130C" w:rsidRPr="00E7130C" w:rsidRDefault="00E7130C" w:rsidP="00E7130C">
      <w:pPr>
        <w:spacing w:line="360" w:lineRule="auto"/>
        <w:rPr>
          <w:rFonts w:ascii="Arial" w:hAnsi="Arial" w:cs="Arial"/>
          <w:sz w:val="22"/>
        </w:rPr>
      </w:pPr>
      <w:hyperlink r:id="rId13" w:history="1">
        <w:r w:rsidRPr="00E7130C">
          <w:rPr>
            <w:rStyle w:val="Hyperlink"/>
            <w:rFonts w:ascii="Arial" w:hAnsi="Arial" w:cs="Arial"/>
            <w:sz w:val="22"/>
          </w:rPr>
          <w:t>https://www.ncbi.nlm.nih.gov/pmc/articles/PMC7310804/</w:t>
        </w:r>
      </w:hyperlink>
      <w:r w:rsidRPr="00E7130C">
        <w:rPr>
          <w:rFonts w:ascii="Arial" w:hAnsi="Arial" w:cs="Arial"/>
          <w:sz w:val="22"/>
        </w:rPr>
        <w:t xml:space="preserve"> </w:t>
      </w:r>
    </w:p>
    <w:p w14:paraId="3D1F6EBF" w14:textId="77777777" w:rsidR="00E7130C" w:rsidRPr="00E7130C" w:rsidRDefault="00E7130C" w:rsidP="00E7130C">
      <w:pPr>
        <w:spacing w:line="360" w:lineRule="auto"/>
        <w:rPr>
          <w:rFonts w:ascii="Arial" w:hAnsi="Arial" w:cs="Arial"/>
          <w:sz w:val="22"/>
        </w:rPr>
      </w:pPr>
      <w:r w:rsidRPr="00E7130C">
        <w:rPr>
          <w:rFonts w:ascii="Arial" w:hAnsi="Arial" w:cs="Arial"/>
          <w:sz w:val="22"/>
        </w:rPr>
        <w:t>(Accessed: November 2025).</w:t>
      </w:r>
    </w:p>
    <w:p w14:paraId="79E86AA7" w14:textId="77777777" w:rsidR="00E7130C" w:rsidRPr="00E7130C" w:rsidRDefault="00E7130C" w:rsidP="00E7130C">
      <w:pPr>
        <w:spacing w:line="360" w:lineRule="auto"/>
        <w:rPr>
          <w:rFonts w:ascii="Arial" w:hAnsi="Arial" w:cs="Arial"/>
          <w:sz w:val="22"/>
        </w:rPr>
      </w:pPr>
    </w:p>
    <w:p w14:paraId="64507DA1" w14:textId="77777777" w:rsidR="00E7130C" w:rsidRPr="00E7130C" w:rsidRDefault="00E7130C" w:rsidP="00E7130C">
      <w:pPr>
        <w:spacing w:line="360" w:lineRule="auto"/>
        <w:rPr>
          <w:rFonts w:ascii="Arial" w:hAnsi="Arial" w:cs="Arial"/>
          <w:sz w:val="22"/>
        </w:rPr>
      </w:pPr>
      <w:r w:rsidRPr="00E7130C">
        <w:rPr>
          <w:rFonts w:ascii="Arial" w:hAnsi="Arial" w:cs="Arial"/>
          <w:sz w:val="22"/>
        </w:rPr>
        <w:t>World Health Organization (2023) Diabetes fact sheet. Available at:</w:t>
      </w:r>
    </w:p>
    <w:p w14:paraId="7EF07827" w14:textId="77777777" w:rsidR="00E7130C" w:rsidRPr="00E7130C" w:rsidRDefault="00E7130C" w:rsidP="00E7130C">
      <w:pPr>
        <w:spacing w:line="360" w:lineRule="auto"/>
        <w:rPr>
          <w:rFonts w:ascii="Arial" w:hAnsi="Arial" w:cs="Arial"/>
          <w:sz w:val="22"/>
        </w:rPr>
      </w:pPr>
      <w:hyperlink r:id="rId14" w:history="1">
        <w:r w:rsidRPr="00E7130C">
          <w:rPr>
            <w:rStyle w:val="Hyperlink"/>
            <w:rFonts w:ascii="Arial" w:hAnsi="Arial" w:cs="Arial"/>
            <w:sz w:val="22"/>
          </w:rPr>
          <w:t>https://www.who.int/news-room/fact-sheets/detail/diabetes</w:t>
        </w:r>
      </w:hyperlink>
      <w:r w:rsidRPr="00E7130C">
        <w:rPr>
          <w:rFonts w:ascii="Arial" w:hAnsi="Arial" w:cs="Arial"/>
          <w:sz w:val="22"/>
        </w:rPr>
        <w:t xml:space="preserve"> </w:t>
      </w:r>
    </w:p>
    <w:p w14:paraId="1D0F2D59" w14:textId="3B155BC5" w:rsidR="004552CE" w:rsidRPr="00E7130C" w:rsidRDefault="00E7130C" w:rsidP="00E7130C">
      <w:pPr>
        <w:spacing w:line="360" w:lineRule="auto"/>
        <w:rPr>
          <w:rFonts w:ascii="Arial" w:hAnsi="Arial" w:cs="Arial"/>
          <w:sz w:val="22"/>
        </w:rPr>
      </w:pPr>
      <w:r w:rsidRPr="00E7130C">
        <w:rPr>
          <w:rFonts w:ascii="Arial" w:hAnsi="Arial" w:cs="Arial"/>
          <w:sz w:val="22"/>
        </w:rPr>
        <w:t>(Accessed: November 2025).</w:t>
      </w:r>
    </w:p>
    <w:sectPr w:rsidR="004552CE" w:rsidRPr="00E7130C">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7305171"/>
      <w:docPartObj>
        <w:docPartGallery w:val="Page Numbers (Bottom of Page)"/>
        <w:docPartUnique/>
      </w:docPartObj>
    </w:sdtPr>
    <w:sdtContent>
      <w:p w14:paraId="308E1AEB" w14:textId="0A0F803C" w:rsidR="00E7130C" w:rsidRDefault="00E7130C"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D9AB50" w14:textId="77777777" w:rsidR="00E7130C" w:rsidRDefault="00E713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9918169"/>
      <w:docPartObj>
        <w:docPartGallery w:val="Page Numbers (Bottom of Page)"/>
        <w:docPartUnique/>
      </w:docPartObj>
    </w:sdtPr>
    <w:sdtContent>
      <w:p w14:paraId="6F37525E" w14:textId="674A9E8E" w:rsidR="00E7130C" w:rsidRDefault="00E7130C"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1889881C" w14:textId="77777777" w:rsidR="00E7130C" w:rsidRDefault="00E71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C385F"/>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3890"/>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130C"/>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E71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731080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national-diabetes-audi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hs.uk/conditions/type-2-diabetes/" TargetMode="External"/><Relationship Id="rId4" Type="http://schemas.openxmlformats.org/officeDocument/2006/relationships/settings" Target="settings.xml"/><Relationship Id="rId9" Type="http://schemas.openxmlformats.org/officeDocument/2006/relationships/hyperlink" Target="https://www.diabetes.org.uk/professionals/position-statements-reports/statistics" TargetMode="External"/><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Pages>
  <Words>1595</Words>
  <Characters>9098</Characters>
  <Application>Microsoft Office Word</Application>
  <DocSecurity>0</DocSecurity>
  <Lines>75</Lines>
  <Paragraphs>21</Paragraphs>
  <ScaleCrop>false</ScaleCrop>
  <Company>University of Wales Trinity Saint David</Company>
  <LinksUpToDate>false</LinksUpToDate>
  <CharactersWithSpaces>10672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Lamaiya Smith (1815074)</cp:lastModifiedBy>
  <cp:revision>2</cp:revision>
  <dcterms:created xsi:type="dcterms:W3CDTF">2025-11-17T20:55:00Z</dcterms:created>
  <dcterms:modified xsi:type="dcterms:W3CDTF">2025-11-17T20:55:00Z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