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04239B"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57104DEF" wp14:editId="278AB101">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5040FA24"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29E81E88"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57104DEF"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5040FA24"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29E81E88"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EB52B6A" wp14:editId="574F2FE3">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1F61C3"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AF62233"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EB52B6A"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1F61C3"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AF62233"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27D6D005"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13ED0204" wp14:editId="0673122C">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49E97EDC" w14:textId="77777777" w:rsidR="00530E16" w:rsidRDefault="004468F8">
                            <w:pPr>
                              <w:spacing w:after="0" w:line="240" w:lineRule="auto"/>
                              <w:textDirection w:val="btLr"/>
                            </w:pPr>
                            <w:r>
                              <w:rPr>
                                <w:rFonts w:ascii="Play" w:eastAsia="Play" w:hAnsi="Play" w:cs="Play"/>
                                <w:color w:val="262626"/>
                                <w:sz w:val="72"/>
                              </w:rPr>
                              <w:t>Individual Report</w:t>
                            </w:r>
                          </w:p>
                          <w:p w14:paraId="1DB48EEC" w14:textId="77777777" w:rsidR="00530E16" w:rsidRDefault="004468F8">
                            <w:pPr>
                              <w:spacing w:before="120" w:line="277" w:lineRule="auto"/>
                              <w:textDirection w:val="btLr"/>
                            </w:pPr>
                            <w:r>
                              <w:rPr>
                                <w:color w:val="404040"/>
                                <w:sz w:val="36"/>
                              </w:rPr>
                              <w:t>Module Name: Digital Skills and Research Methods</w:t>
                            </w:r>
                          </w:p>
                          <w:p w14:paraId="32DBB4C6" w14:textId="77777777" w:rsidR="00530E16" w:rsidRDefault="004468F8">
                            <w:pPr>
                              <w:spacing w:before="120" w:line="277" w:lineRule="auto"/>
                              <w:textDirection w:val="btLr"/>
                            </w:pPr>
                            <w:r>
                              <w:rPr>
                                <w:color w:val="404040"/>
                                <w:sz w:val="36"/>
                              </w:rPr>
                              <w:t>Module Code: LCHS 4007</w:t>
                            </w:r>
                          </w:p>
                          <w:p w14:paraId="31B2DCE2" w14:textId="15B7E04C" w:rsidR="00530E16" w:rsidRDefault="004468F8">
                            <w:pPr>
                              <w:spacing w:before="120" w:line="277" w:lineRule="auto"/>
                              <w:textDirection w:val="btLr"/>
                            </w:pPr>
                            <w:r>
                              <w:rPr>
                                <w:color w:val="404040"/>
                                <w:sz w:val="36"/>
                              </w:rPr>
                              <w:t xml:space="preserve">Student name: </w:t>
                            </w:r>
                            <w:r w:rsidR="00F95E96">
                              <w:rPr>
                                <w:color w:val="404040"/>
                                <w:sz w:val="36"/>
                              </w:rPr>
                              <w:t>Adela Jaimes Flores</w:t>
                            </w:r>
                          </w:p>
                          <w:p w14:paraId="35D0927C" w14:textId="6A5AE5F3" w:rsidR="00530E16" w:rsidRDefault="004468F8">
                            <w:pPr>
                              <w:spacing w:before="120" w:line="277" w:lineRule="auto"/>
                              <w:textDirection w:val="btLr"/>
                            </w:pPr>
                            <w:r>
                              <w:rPr>
                                <w:color w:val="404040"/>
                                <w:sz w:val="36"/>
                              </w:rPr>
                              <w:t>Student ID:</w:t>
                            </w:r>
                            <w:r w:rsidR="00F95E96">
                              <w:rPr>
                                <w:color w:val="404040"/>
                                <w:sz w:val="36"/>
                              </w:rPr>
                              <w:t>2443012</w:t>
                            </w:r>
                          </w:p>
                          <w:p w14:paraId="1D90645C" w14:textId="28080502" w:rsidR="00530E16" w:rsidRDefault="004468F8">
                            <w:pPr>
                              <w:spacing w:before="120" w:line="277" w:lineRule="auto"/>
                              <w:textDirection w:val="btLr"/>
                            </w:pPr>
                            <w:r>
                              <w:rPr>
                                <w:color w:val="404040"/>
                                <w:sz w:val="36"/>
                              </w:rPr>
                              <w:t xml:space="preserve">Lecturer’s Name: </w:t>
                            </w:r>
                            <w:r w:rsidR="00280EC6">
                              <w:rPr>
                                <w:color w:val="404040"/>
                                <w:sz w:val="36"/>
                              </w:rPr>
                              <w:t>B</w:t>
                            </w:r>
                            <w:r w:rsidR="009135B5">
                              <w:rPr>
                                <w:color w:val="404040"/>
                                <w:sz w:val="36"/>
                              </w:rPr>
                              <w:t>rian Mashumba</w:t>
                            </w:r>
                          </w:p>
                        </w:txbxContent>
                      </wps:txbx>
                      <wps:bodyPr spcFirstLastPara="1" wrap="square" lIns="0" tIns="0" rIns="0" bIns="0" anchor="t" anchorCtr="0">
                        <a:noAutofit/>
                      </wps:bodyPr>
                    </wps:wsp>
                  </a:graphicData>
                </a:graphic>
              </wp:anchor>
            </w:drawing>
          </mc:Choice>
          <mc:Fallback>
            <w:pict>
              <v:rect w14:anchorId="13ED0204"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49E97EDC" w14:textId="77777777" w:rsidR="00530E16" w:rsidRDefault="004468F8">
                      <w:pPr>
                        <w:spacing w:after="0" w:line="240" w:lineRule="auto"/>
                        <w:textDirection w:val="btLr"/>
                      </w:pPr>
                      <w:r>
                        <w:rPr>
                          <w:rFonts w:ascii="Play" w:eastAsia="Play" w:hAnsi="Play" w:cs="Play"/>
                          <w:color w:val="262626"/>
                          <w:sz w:val="72"/>
                        </w:rPr>
                        <w:t>Individual Report</w:t>
                      </w:r>
                    </w:p>
                    <w:p w14:paraId="1DB48EEC" w14:textId="77777777" w:rsidR="00530E16" w:rsidRDefault="004468F8">
                      <w:pPr>
                        <w:spacing w:before="120" w:line="277" w:lineRule="auto"/>
                        <w:textDirection w:val="btLr"/>
                      </w:pPr>
                      <w:r>
                        <w:rPr>
                          <w:color w:val="404040"/>
                          <w:sz w:val="36"/>
                        </w:rPr>
                        <w:t>Module Name: Digital Skills and Research Methods</w:t>
                      </w:r>
                    </w:p>
                    <w:p w14:paraId="32DBB4C6" w14:textId="77777777" w:rsidR="00530E16" w:rsidRDefault="004468F8">
                      <w:pPr>
                        <w:spacing w:before="120" w:line="277" w:lineRule="auto"/>
                        <w:textDirection w:val="btLr"/>
                      </w:pPr>
                      <w:r>
                        <w:rPr>
                          <w:color w:val="404040"/>
                          <w:sz w:val="36"/>
                        </w:rPr>
                        <w:t>Module Code: LCHS 4007</w:t>
                      </w:r>
                    </w:p>
                    <w:p w14:paraId="31B2DCE2" w14:textId="15B7E04C" w:rsidR="00530E16" w:rsidRDefault="004468F8">
                      <w:pPr>
                        <w:spacing w:before="120" w:line="277" w:lineRule="auto"/>
                        <w:textDirection w:val="btLr"/>
                      </w:pPr>
                      <w:r>
                        <w:rPr>
                          <w:color w:val="404040"/>
                          <w:sz w:val="36"/>
                        </w:rPr>
                        <w:t xml:space="preserve">Student name: </w:t>
                      </w:r>
                      <w:r w:rsidR="00F95E96">
                        <w:rPr>
                          <w:color w:val="404040"/>
                          <w:sz w:val="36"/>
                        </w:rPr>
                        <w:t>Adela Jaimes Flores</w:t>
                      </w:r>
                    </w:p>
                    <w:p w14:paraId="35D0927C" w14:textId="6A5AE5F3" w:rsidR="00530E16" w:rsidRDefault="004468F8">
                      <w:pPr>
                        <w:spacing w:before="120" w:line="277" w:lineRule="auto"/>
                        <w:textDirection w:val="btLr"/>
                      </w:pPr>
                      <w:r>
                        <w:rPr>
                          <w:color w:val="404040"/>
                          <w:sz w:val="36"/>
                        </w:rPr>
                        <w:t>Student ID:</w:t>
                      </w:r>
                      <w:r w:rsidR="00F95E96">
                        <w:rPr>
                          <w:color w:val="404040"/>
                          <w:sz w:val="36"/>
                        </w:rPr>
                        <w:t>2443012</w:t>
                      </w:r>
                    </w:p>
                    <w:p w14:paraId="1D90645C" w14:textId="28080502" w:rsidR="00530E16" w:rsidRDefault="004468F8">
                      <w:pPr>
                        <w:spacing w:before="120" w:line="277" w:lineRule="auto"/>
                        <w:textDirection w:val="btLr"/>
                      </w:pPr>
                      <w:r>
                        <w:rPr>
                          <w:color w:val="404040"/>
                          <w:sz w:val="36"/>
                        </w:rPr>
                        <w:t xml:space="preserve">Lecturer’s Name: </w:t>
                      </w:r>
                      <w:r w:rsidR="00280EC6">
                        <w:rPr>
                          <w:color w:val="404040"/>
                          <w:sz w:val="36"/>
                        </w:rPr>
                        <w:t>B</w:t>
                      </w:r>
                      <w:r w:rsidR="009135B5">
                        <w:rPr>
                          <w:color w:val="404040"/>
                          <w:sz w:val="36"/>
                        </w:rPr>
                        <w:t>rian Mashumba</w:t>
                      </w:r>
                    </w:p>
                  </w:txbxContent>
                </v:textbox>
                <w10:wrap anchorx="page" anchory="page"/>
              </v:rect>
            </w:pict>
          </mc:Fallback>
        </mc:AlternateContent>
      </w:r>
      <w:r>
        <w:br w:type="page"/>
      </w:r>
    </w:p>
    <w:p w14:paraId="76F71A11" w14:textId="77777777" w:rsidR="00530E16" w:rsidRDefault="00530E16">
      <w:pPr>
        <w:rPr>
          <w:rFonts w:ascii="Arial" w:eastAsia="Arial" w:hAnsi="Arial" w:cs="Arial"/>
        </w:rPr>
      </w:pPr>
    </w:p>
    <w:p w14:paraId="00AFFE9B"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7AC740AB" w14:textId="77777777"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4908E173"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74BDCB6C"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3031D57D"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Pr>
                <w:noProof/>
                <w:webHidden/>
              </w:rPr>
              <w:t>2</w:t>
            </w:r>
            <w:r>
              <w:rPr>
                <w:noProof/>
                <w:webHidden/>
              </w:rPr>
              <w:fldChar w:fldCharType="end"/>
            </w:r>
          </w:hyperlink>
        </w:p>
        <w:p w14:paraId="02D7DB94"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2E0F74F7"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2206E40D"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7D6799AA"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0A7F11E3"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47DDE025"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25ECCB80"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0847C219"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43EDEF55"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1A0356D7"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Pr>
                <w:noProof/>
                <w:webHidden/>
              </w:rPr>
              <w:t>2</w:t>
            </w:r>
            <w:r>
              <w:rPr>
                <w:noProof/>
                <w:webHidden/>
              </w:rPr>
              <w:fldChar w:fldCharType="end"/>
            </w:r>
          </w:hyperlink>
        </w:p>
        <w:p w14:paraId="0D272A1C"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328729E6"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065F191A"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0952A4EF"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428E17ED" w14:textId="77777777" w:rsidR="00530E16" w:rsidRPr="00CF650B" w:rsidRDefault="004468F8">
          <w:r>
            <w:fldChar w:fldCharType="end"/>
          </w:r>
        </w:p>
      </w:sdtContent>
    </w:sdt>
    <w:p w14:paraId="6038B44A" w14:textId="77777777" w:rsidR="00530E16" w:rsidRDefault="00530E16">
      <w:pPr>
        <w:rPr>
          <w:rFonts w:ascii="Arial" w:eastAsia="Arial" w:hAnsi="Arial" w:cs="Arial"/>
        </w:rPr>
      </w:pPr>
    </w:p>
    <w:p w14:paraId="7A6968E0" w14:textId="77777777" w:rsidR="00530E16" w:rsidRDefault="00530E16">
      <w:pPr>
        <w:rPr>
          <w:rFonts w:ascii="Arial" w:eastAsia="Arial" w:hAnsi="Arial" w:cs="Arial"/>
        </w:rPr>
      </w:pPr>
    </w:p>
    <w:p w14:paraId="38E94C17" w14:textId="77777777" w:rsidR="00530E16" w:rsidRDefault="00530E16">
      <w:pPr>
        <w:rPr>
          <w:rFonts w:ascii="Arial" w:eastAsia="Arial" w:hAnsi="Arial" w:cs="Arial"/>
        </w:rPr>
      </w:pPr>
    </w:p>
    <w:p w14:paraId="6918EBCA" w14:textId="77777777" w:rsidR="00530E16" w:rsidRDefault="00530E16">
      <w:pPr>
        <w:rPr>
          <w:rFonts w:ascii="Arial" w:eastAsia="Arial" w:hAnsi="Arial" w:cs="Arial"/>
        </w:rPr>
      </w:pPr>
    </w:p>
    <w:p w14:paraId="7C1A91A0" w14:textId="77777777" w:rsidR="00530E16" w:rsidRDefault="00530E16">
      <w:pPr>
        <w:rPr>
          <w:rFonts w:ascii="Arial" w:eastAsia="Arial" w:hAnsi="Arial" w:cs="Arial"/>
        </w:rPr>
      </w:pPr>
    </w:p>
    <w:p w14:paraId="2251A0E3" w14:textId="77777777" w:rsidR="00530E16" w:rsidRDefault="00530E16">
      <w:pPr>
        <w:rPr>
          <w:rFonts w:ascii="Arial" w:eastAsia="Arial" w:hAnsi="Arial" w:cs="Arial"/>
        </w:rPr>
      </w:pPr>
    </w:p>
    <w:p w14:paraId="3095DE63" w14:textId="77777777" w:rsidR="00530E16" w:rsidRDefault="00530E16">
      <w:pPr>
        <w:rPr>
          <w:rFonts w:ascii="Arial" w:eastAsia="Arial" w:hAnsi="Arial" w:cs="Arial"/>
        </w:rPr>
      </w:pPr>
    </w:p>
    <w:p w14:paraId="00813F1B" w14:textId="77777777" w:rsidR="00530E16" w:rsidRDefault="00530E16">
      <w:pPr>
        <w:rPr>
          <w:rFonts w:ascii="Arial" w:eastAsia="Arial" w:hAnsi="Arial" w:cs="Arial"/>
        </w:rPr>
      </w:pPr>
    </w:p>
    <w:p w14:paraId="795E98B1" w14:textId="77777777" w:rsidR="00530E16" w:rsidRDefault="00530E16">
      <w:pPr>
        <w:rPr>
          <w:rFonts w:ascii="Arial" w:eastAsia="Arial" w:hAnsi="Arial" w:cs="Arial"/>
        </w:rPr>
      </w:pPr>
    </w:p>
    <w:p w14:paraId="3D14ACBF"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5D33F6B9" w14:textId="77777777" w:rsidR="00530E16" w:rsidRDefault="00530E16">
      <w:pPr>
        <w:rPr>
          <w:rFonts w:ascii="Arial" w:eastAsia="Arial" w:hAnsi="Arial" w:cs="Arial"/>
        </w:rPr>
      </w:pPr>
    </w:p>
    <w:p w14:paraId="7BC31349" w14:textId="7FD6A1E3" w:rsidR="00221107" w:rsidRPr="00F04C7A" w:rsidRDefault="00721FE1" w:rsidP="0029787B">
      <w:pPr>
        <w:spacing w:line="360" w:lineRule="auto"/>
        <w:jc w:val="both"/>
        <w:rPr>
          <w:b/>
          <w:bCs/>
        </w:rPr>
      </w:pPr>
      <w:bookmarkStart w:id="0" w:name="_Toc225024735"/>
      <w:r w:rsidRPr="00F04C7A">
        <w:rPr>
          <w:b/>
          <w:bCs/>
        </w:rPr>
        <w:lastRenderedPageBreak/>
        <w:t>Acute</w:t>
      </w:r>
      <w:r w:rsidR="00DE2C5A" w:rsidRPr="00F04C7A">
        <w:rPr>
          <w:b/>
          <w:bCs/>
        </w:rPr>
        <w:t xml:space="preserve"> </w:t>
      </w:r>
      <w:r w:rsidR="000E1A07" w:rsidRPr="00F04C7A">
        <w:rPr>
          <w:b/>
          <w:bCs/>
        </w:rPr>
        <w:t xml:space="preserve">lymphoblastic </w:t>
      </w:r>
      <w:r w:rsidRPr="00F04C7A">
        <w:rPr>
          <w:b/>
          <w:bCs/>
        </w:rPr>
        <w:t xml:space="preserve"> </w:t>
      </w:r>
      <w:proofErr w:type="spellStart"/>
      <w:r w:rsidRPr="00F04C7A">
        <w:rPr>
          <w:b/>
          <w:bCs/>
        </w:rPr>
        <w:t>leukeamia</w:t>
      </w:r>
      <w:proofErr w:type="spellEnd"/>
      <w:r w:rsidR="001B4DD5" w:rsidRPr="00F04C7A">
        <w:rPr>
          <w:b/>
          <w:bCs/>
        </w:rPr>
        <w:t xml:space="preserve"> </w:t>
      </w:r>
      <w:r w:rsidR="00DE2C5A" w:rsidRPr="00F04C7A">
        <w:rPr>
          <w:b/>
          <w:bCs/>
        </w:rPr>
        <w:t xml:space="preserve">Cancer </w:t>
      </w:r>
      <w:r w:rsidR="001B4DD5" w:rsidRPr="00F04C7A">
        <w:rPr>
          <w:b/>
          <w:bCs/>
        </w:rPr>
        <w:t>teen</w:t>
      </w:r>
      <w:r w:rsidR="00A46A3E" w:rsidRPr="00F04C7A">
        <w:rPr>
          <w:b/>
          <w:bCs/>
        </w:rPr>
        <w:t>ager and young adult</w:t>
      </w:r>
      <w:r w:rsidR="00212E7A">
        <w:rPr>
          <w:b/>
          <w:bCs/>
        </w:rPr>
        <w:t xml:space="preserve"> people</w:t>
      </w:r>
    </w:p>
    <w:p w14:paraId="0C93528A" w14:textId="77777777" w:rsidR="00721FE1" w:rsidRDefault="00721FE1" w:rsidP="0029787B">
      <w:pPr>
        <w:spacing w:line="360" w:lineRule="auto"/>
        <w:jc w:val="both"/>
      </w:pPr>
    </w:p>
    <w:p w14:paraId="15722F3B" w14:textId="3A37DFD9" w:rsidR="00575E73" w:rsidRPr="00FE611C" w:rsidRDefault="00575E73" w:rsidP="0029787B">
      <w:pPr>
        <w:spacing w:line="360" w:lineRule="auto"/>
        <w:jc w:val="both"/>
        <w:rPr>
          <w:rFonts w:asciiTheme="majorHAnsi" w:hAnsiTheme="majorHAnsi" w:cstheme="majorBidi"/>
          <w:sz w:val="40"/>
          <w:szCs w:val="40"/>
        </w:rPr>
      </w:pPr>
      <w:r w:rsidRPr="00575E73">
        <w:t>Introduction</w:t>
      </w:r>
      <w:bookmarkEnd w:id="0"/>
      <w:r w:rsidRPr="00575E73">
        <w:t xml:space="preserve">  </w:t>
      </w:r>
    </w:p>
    <w:p w14:paraId="146DDFD4" w14:textId="77777777" w:rsidR="00FE611C" w:rsidRPr="002C1A8E" w:rsidRDefault="00FE611C" w:rsidP="00D50C17">
      <w:pPr>
        <w:spacing w:line="360" w:lineRule="auto"/>
        <w:jc w:val="both"/>
        <w:rPr>
          <w:rFonts w:ascii="Arial" w:hAnsi="Arial" w:cs="Arial"/>
          <w:sz w:val="22"/>
          <w:szCs w:val="22"/>
        </w:rPr>
      </w:pPr>
      <w:r w:rsidRPr="002C1A8E">
        <w:rPr>
          <w:rFonts w:ascii="Arial" w:hAnsi="Arial" w:cs="Arial"/>
          <w:sz w:val="22"/>
          <w:szCs w:val="22"/>
        </w:rPr>
        <w:t>Leukaemia is a cancer that affects the white blood cells in your body. Normally, white blood cells divide and grow in a controlled way. In leukaemia, this process goes out of control. People with ALL makes too many immature blood cells. These are called lymphoblasts, or sometimes they are called blasts. As the lymphoblasts do not mature, they cannot fight infection as normal white blood cells do. These immature cells fill up the bone marrow. This means there is no space to make the healthy white cells, red cells and platelets your body needs.</w:t>
      </w:r>
    </w:p>
    <w:p w14:paraId="5DF5CDD4" w14:textId="2A6FFBDD" w:rsidR="00575E73" w:rsidRPr="002C1A8E" w:rsidRDefault="00575E73" w:rsidP="00D50C17">
      <w:pPr>
        <w:spacing w:line="360" w:lineRule="auto"/>
        <w:jc w:val="both"/>
        <w:rPr>
          <w:rFonts w:ascii="Arial" w:hAnsi="Arial" w:cs="Arial"/>
          <w:sz w:val="22"/>
          <w:szCs w:val="22"/>
        </w:rPr>
      </w:pPr>
      <w:bookmarkStart w:id="1" w:name="_Toc225024736"/>
      <w:r w:rsidRPr="002C1A8E">
        <w:rPr>
          <w:rFonts w:ascii="Arial" w:hAnsi="Arial" w:cs="Arial"/>
          <w:sz w:val="22"/>
          <w:szCs w:val="22"/>
        </w:rPr>
        <w:t>Research Topic</w:t>
      </w:r>
      <w:bookmarkEnd w:id="1"/>
      <w:r w:rsidRPr="002C1A8E">
        <w:rPr>
          <w:rFonts w:ascii="Arial" w:hAnsi="Arial" w:cs="Arial"/>
          <w:sz w:val="22"/>
          <w:szCs w:val="22"/>
        </w:rPr>
        <w:t xml:space="preserve"> </w:t>
      </w:r>
    </w:p>
    <w:p w14:paraId="058168D5" w14:textId="78529170" w:rsidR="00FE611C" w:rsidRPr="002C1A8E" w:rsidRDefault="00FE611C" w:rsidP="00D50C17">
      <w:pPr>
        <w:spacing w:line="360" w:lineRule="auto"/>
        <w:jc w:val="both"/>
        <w:rPr>
          <w:rFonts w:ascii="Arial" w:hAnsi="Arial" w:cs="Arial"/>
          <w:color w:val="1A1A1A"/>
          <w:sz w:val="22"/>
          <w:szCs w:val="22"/>
        </w:rPr>
      </w:pPr>
      <w:r w:rsidRPr="002C1A8E">
        <w:rPr>
          <w:rFonts w:ascii="Arial" w:hAnsi="Arial" w:cs="Arial"/>
          <w:color w:val="00313B"/>
          <w:sz w:val="22"/>
          <w:szCs w:val="22"/>
        </w:rPr>
        <w:t>Type acute</w:t>
      </w:r>
      <w:r w:rsidRPr="002C1A8E">
        <w:rPr>
          <w:rFonts w:ascii="Arial" w:hAnsi="Arial" w:cs="Arial"/>
          <w:b/>
          <w:bCs/>
          <w:color w:val="00313B"/>
          <w:sz w:val="22"/>
          <w:szCs w:val="22"/>
        </w:rPr>
        <w:t xml:space="preserve"> lymphoblastic leukaemia (ALL) in teenagers and young adults (age 15-24 years)</w:t>
      </w:r>
      <w:r w:rsidRPr="002C1A8E">
        <w:rPr>
          <w:rFonts w:ascii="Arial" w:hAnsi="Arial" w:cs="Arial"/>
          <w:color w:val="00313B"/>
          <w:sz w:val="22"/>
          <w:szCs w:val="22"/>
        </w:rPr>
        <w:t>. The other main type of leukaemia that can affect teenagers and young adults is </w:t>
      </w:r>
      <w:hyperlink r:id="rId10">
        <w:r w:rsidR="00503278">
          <w:rPr>
            <w:rFonts w:ascii="Arial" w:hAnsi="Arial" w:cs="Arial"/>
            <w:color w:val="0000FF"/>
            <w:sz w:val="22"/>
            <w:szCs w:val="22"/>
          </w:rPr>
          <w:t>A</w:t>
        </w:r>
        <w:r w:rsidR="00502A7D">
          <w:rPr>
            <w:rFonts w:ascii="Arial" w:hAnsi="Arial" w:cs="Arial"/>
            <w:color w:val="0000FF"/>
            <w:sz w:val="22"/>
            <w:szCs w:val="22"/>
          </w:rPr>
          <w:t>cute</w:t>
        </w:r>
        <w:r w:rsidRPr="002264D3">
          <w:rPr>
            <w:rFonts w:ascii="Arial" w:hAnsi="Arial" w:cs="Arial"/>
            <w:color w:val="0000FF"/>
            <w:sz w:val="22"/>
            <w:szCs w:val="22"/>
          </w:rPr>
          <w:t xml:space="preserve"> </w:t>
        </w:r>
        <w:proofErr w:type="spellStart"/>
        <w:r w:rsidRPr="002264D3">
          <w:rPr>
            <w:rFonts w:ascii="Arial" w:hAnsi="Arial" w:cs="Arial"/>
            <w:color w:val="0000FF"/>
            <w:sz w:val="22"/>
            <w:szCs w:val="22"/>
          </w:rPr>
          <w:t>myeloidleukaemia</w:t>
        </w:r>
        <w:proofErr w:type="spellEnd"/>
        <w:r w:rsidRPr="002264D3">
          <w:rPr>
            <w:rFonts w:ascii="Arial" w:hAnsi="Arial" w:cs="Arial"/>
            <w:color w:val="0000FF"/>
            <w:sz w:val="22"/>
            <w:szCs w:val="22"/>
          </w:rPr>
          <w:t>(AML)</w:t>
        </w:r>
      </w:hyperlink>
      <w:r w:rsidR="00462BAE">
        <w:rPr>
          <w:rFonts w:ascii="Arial" w:hAnsi="Arial" w:cs="Arial"/>
          <w:sz w:val="22"/>
          <w:szCs w:val="22"/>
        </w:rPr>
        <w:t>.</w:t>
      </w:r>
      <w:r w:rsidRPr="002264D3">
        <w:rPr>
          <w:rFonts w:ascii="Arial" w:hAnsi="Arial" w:cs="Arial"/>
          <w:sz w:val="22"/>
          <w:szCs w:val="22"/>
        </w:rPr>
        <w:br/>
      </w:r>
      <w:r w:rsidRPr="002C1A8E">
        <w:rPr>
          <w:rFonts w:ascii="Arial" w:hAnsi="Arial" w:cs="Arial"/>
          <w:color w:val="202020"/>
          <w:sz w:val="22"/>
          <w:szCs w:val="22"/>
        </w:rPr>
        <w:t>The types of cancer affecting children are quite different from the cancers that affect teenagers and young adults (TYA); TYA cancers are different again from the types of cancer that typically affect adults aged 25+.</w:t>
      </w:r>
      <w:r w:rsidRPr="002C1A8E">
        <w:rPr>
          <w:rFonts w:ascii="Arial" w:hAnsi="Arial" w:cs="Arial"/>
          <w:sz w:val="22"/>
          <w:szCs w:val="22"/>
        </w:rPr>
        <w:t xml:space="preserve"> Some symptoms are caused by having too many white blood cells abnormal and not enough normal white blood cells. The symptom as: feeling weak or tired, shortness of breath, pale skin, a high temperature or fever, picking up or being able to shake off infections easily, bruising and bleeding easily. Of causes some young [people whit genetic conditions have a higher risk of ALL.A genetic condition is something you are born whit, such as Downs syndrome, having chemotherapy or radiotherapy as child can also increase you risk of developing ALL when you are olde.</w:t>
      </w:r>
      <w:r w:rsidRPr="002C1A8E">
        <w:rPr>
          <w:rFonts w:ascii="Arial" w:hAnsi="Arial" w:cs="Arial"/>
          <w:color w:val="1A1A1A"/>
          <w:sz w:val="22"/>
          <w:szCs w:val="22"/>
        </w:rPr>
        <w:t xml:space="preserve"> Treatment of ALL involves some of the most complex chemotherapy combinations and treatment schedules used in oncology.</w:t>
      </w:r>
    </w:p>
    <w:p w14:paraId="4B4A13CF" w14:textId="2C115F00" w:rsidR="00FE611C" w:rsidRPr="00115E1A" w:rsidRDefault="009B0354" w:rsidP="00D50C17">
      <w:pPr>
        <w:spacing w:line="360" w:lineRule="auto"/>
        <w:jc w:val="both"/>
        <w:rPr>
          <w:rFonts w:ascii="Arial" w:hAnsi="Arial" w:cs="Arial"/>
          <w:color w:val="1B1B1B"/>
          <w:sz w:val="22"/>
          <w:szCs w:val="22"/>
        </w:rPr>
      </w:pPr>
      <w:r w:rsidRPr="002C1A8E">
        <w:rPr>
          <w:rFonts w:ascii="Arial" w:hAnsi="Arial" w:cs="Arial"/>
          <w:color w:val="1B1B1B"/>
          <w:sz w:val="22"/>
          <w:szCs w:val="22"/>
        </w:rPr>
        <w:t xml:space="preserve">Recent advances in genetic and epigenetics provide indications for their involvement in leukemogenesis in acute </w:t>
      </w:r>
      <w:r w:rsidR="001C3140" w:rsidRPr="002C1A8E">
        <w:rPr>
          <w:rFonts w:ascii="Arial" w:hAnsi="Arial" w:cs="Arial"/>
          <w:color w:val="1B1B1B"/>
          <w:sz w:val="22"/>
          <w:szCs w:val="22"/>
        </w:rPr>
        <w:t>leukemia</w:t>
      </w:r>
      <w:r w:rsidRPr="002C1A8E">
        <w:rPr>
          <w:rFonts w:ascii="Arial" w:hAnsi="Arial" w:cs="Arial"/>
          <w:color w:val="1B1B1B"/>
          <w:sz w:val="22"/>
          <w:szCs w:val="22"/>
        </w:rPr>
        <w:t xml:space="preserve">. Likewise, the effects of environmental factors, including infections, have been explored. A recent finding of an antibody to a mycovirus containing </w:t>
      </w:r>
      <w:r w:rsidRPr="002C1A8E">
        <w:rPr>
          <w:rFonts w:ascii="Arial" w:hAnsi="Arial" w:cs="Arial"/>
          <w:i/>
          <w:iCs/>
          <w:color w:val="1B1B1B"/>
          <w:sz w:val="22"/>
          <w:szCs w:val="22"/>
        </w:rPr>
        <w:t>Aspergillus</w:t>
      </w:r>
      <w:r w:rsidRPr="002C1A8E">
        <w:rPr>
          <w:rFonts w:ascii="Arial" w:hAnsi="Arial" w:cs="Arial"/>
          <w:color w:val="1B1B1B"/>
          <w:sz w:val="22"/>
          <w:szCs w:val="22"/>
        </w:rPr>
        <w:t xml:space="preserve"> flavus in patients with ALL in full remission and re-development of genetic and cell surface phenotypes, characteristic of ALL, upon exposure of PBMN cells from these patients, and not normal controls, to the products of this organism, may provide a new venue for research in leukemogenesis. </w:t>
      </w:r>
      <w:r w:rsidR="006B5021" w:rsidRPr="002C1A8E">
        <w:rPr>
          <w:rFonts w:ascii="Arial" w:hAnsi="Arial" w:cs="Arial"/>
          <w:color w:val="1B1B1B"/>
          <w:sz w:val="22"/>
          <w:szCs w:val="22"/>
        </w:rPr>
        <w:t>For further</w:t>
      </w:r>
      <w:r w:rsidRPr="002C1A8E">
        <w:rPr>
          <w:rFonts w:ascii="Arial" w:hAnsi="Arial" w:cs="Arial"/>
          <w:color w:val="1B1B1B"/>
          <w:sz w:val="22"/>
          <w:szCs w:val="22"/>
        </w:rPr>
        <w:t xml:space="preserve"> </w:t>
      </w:r>
      <w:r w:rsidR="006B5021" w:rsidRPr="002C1A8E">
        <w:rPr>
          <w:rFonts w:ascii="Arial" w:hAnsi="Arial" w:cs="Arial"/>
          <w:color w:val="1B1B1B"/>
          <w:sz w:val="22"/>
          <w:szCs w:val="22"/>
        </w:rPr>
        <w:t>research required</w:t>
      </w:r>
      <w:r w:rsidRPr="002C1A8E">
        <w:rPr>
          <w:rFonts w:ascii="Arial" w:hAnsi="Arial" w:cs="Arial"/>
          <w:color w:val="1B1B1B"/>
          <w:sz w:val="22"/>
          <w:szCs w:val="22"/>
        </w:rPr>
        <w:t xml:space="preserve"> tenants the development of acute </w:t>
      </w:r>
      <w:r w:rsidR="001C3140" w:rsidRPr="002C1A8E">
        <w:rPr>
          <w:rFonts w:ascii="Arial" w:hAnsi="Arial" w:cs="Arial"/>
          <w:color w:val="1B1B1B"/>
          <w:sz w:val="22"/>
          <w:szCs w:val="22"/>
        </w:rPr>
        <w:t>leukemia</w:t>
      </w:r>
      <w:r w:rsidRPr="002C1A8E">
        <w:rPr>
          <w:rFonts w:ascii="Arial" w:hAnsi="Arial" w:cs="Arial"/>
          <w:color w:val="1B1B1B"/>
          <w:sz w:val="22"/>
          <w:szCs w:val="22"/>
        </w:rPr>
        <w:t xml:space="preserve"> based on the combination of genetics and environment is</w:t>
      </w:r>
      <w:r w:rsidR="0008107A" w:rsidRPr="002C1A8E">
        <w:rPr>
          <w:rFonts w:ascii="Arial" w:hAnsi="Arial" w:cs="Arial"/>
          <w:color w:val="1B1B1B"/>
          <w:sz w:val="22"/>
          <w:szCs w:val="22"/>
        </w:rPr>
        <w:t xml:space="preserve"> </w:t>
      </w:r>
      <w:r w:rsidR="006B5021" w:rsidRPr="002C1A8E">
        <w:rPr>
          <w:rFonts w:ascii="Arial" w:hAnsi="Arial" w:cs="Arial"/>
          <w:color w:val="1B1B1B"/>
          <w:sz w:val="22"/>
          <w:szCs w:val="22"/>
        </w:rPr>
        <w:t xml:space="preserve">needed. </w:t>
      </w:r>
    </w:p>
    <w:p w14:paraId="4FBD2065" w14:textId="4B9B4460" w:rsidR="00DB7A8E" w:rsidRPr="002C1A8E" w:rsidRDefault="00575E73" w:rsidP="00D50C17">
      <w:pPr>
        <w:spacing w:line="360" w:lineRule="auto"/>
        <w:jc w:val="both"/>
        <w:rPr>
          <w:rFonts w:ascii="Arial" w:hAnsi="Arial" w:cs="Arial"/>
          <w:sz w:val="22"/>
          <w:szCs w:val="22"/>
        </w:rPr>
      </w:pPr>
      <w:bookmarkStart w:id="2" w:name="_Toc225024737"/>
      <w:r w:rsidRPr="002C1A8E">
        <w:rPr>
          <w:rFonts w:ascii="Arial" w:hAnsi="Arial" w:cs="Arial"/>
          <w:sz w:val="22"/>
          <w:szCs w:val="22"/>
        </w:rPr>
        <w:t>The Issue and Why It Matters</w:t>
      </w:r>
      <w:bookmarkEnd w:id="2"/>
    </w:p>
    <w:p w14:paraId="36417B81" w14:textId="0E47EFB7" w:rsidR="00575E73" w:rsidRPr="002C1A8E" w:rsidRDefault="00FE611C" w:rsidP="00D50C17">
      <w:pPr>
        <w:spacing w:line="360" w:lineRule="auto"/>
        <w:jc w:val="both"/>
        <w:rPr>
          <w:rFonts w:ascii="Arial" w:hAnsi="Arial" w:cs="Arial"/>
          <w:sz w:val="22"/>
          <w:szCs w:val="22"/>
        </w:rPr>
      </w:pPr>
      <w:r w:rsidRPr="002C1A8E">
        <w:rPr>
          <w:rFonts w:ascii="Arial" w:hAnsi="Arial" w:cs="Arial"/>
          <w:sz w:val="22"/>
          <w:szCs w:val="22"/>
        </w:rPr>
        <w:lastRenderedPageBreak/>
        <w:t>Acute leukemia in teenagers and young adults is a significant matter of care due to distinct clinical, biological, and psychosocial challenges that affect treatment outcomes and long-term health. Adolescents and young adults (AYA) with acute lymphoblastic leukemia (ALL) and acute myeloid leukemia (AML) exhibit differences in disease characteristics and responses to therapy compared to both Pediatric and older adult populations, necessitating tailored approaches to care.</w:t>
      </w:r>
    </w:p>
    <w:p w14:paraId="092BE1C1" w14:textId="77777777" w:rsidR="00575E73" w:rsidRPr="002C1A8E" w:rsidRDefault="00575E73" w:rsidP="00D50C17">
      <w:pPr>
        <w:spacing w:line="360" w:lineRule="auto"/>
        <w:jc w:val="both"/>
        <w:rPr>
          <w:rFonts w:ascii="Arial" w:hAnsi="Arial" w:cs="Arial"/>
          <w:sz w:val="22"/>
          <w:szCs w:val="22"/>
        </w:rPr>
      </w:pPr>
      <w:bookmarkStart w:id="3" w:name="_Toc225024738"/>
      <w:r w:rsidRPr="002C1A8E">
        <w:rPr>
          <w:rFonts w:ascii="Arial" w:hAnsi="Arial" w:cs="Arial"/>
          <w:sz w:val="22"/>
          <w:szCs w:val="22"/>
        </w:rPr>
        <w:t>1.2 Personal Reflection – Why I Chose This Topic</w:t>
      </w:r>
      <w:bookmarkEnd w:id="3"/>
    </w:p>
    <w:p w14:paraId="26B21B24" w14:textId="5C0999D0" w:rsidR="00575E73" w:rsidRPr="002C1A8E" w:rsidRDefault="00FE611C" w:rsidP="00D50C17">
      <w:pPr>
        <w:spacing w:line="360" w:lineRule="auto"/>
        <w:jc w:val="both"/>
        <w:rPr>
          <w:rFonts w:ascii="Arial" w:hAnsi="Arial" w:cs="Arial"/>
          <w:sz w:val="22"/>
          <w:szCs w:val="22"/>
        </w:rPr>
      </w:pPr>
      <w:r w:rsidRPr="002C1A8E">
        <w:rPr>
          <w:rFonts w:ascii="Arial" w:hAnsi="Arial" w:cs="Arial"/>
          <w:sz w:val="22"/>
          <w:szCs w:val="22"/>
        </w:rPr>
        <w:t xml:space="preserve">I chose this topic because of this disease; I lost my 21-year-old sister years ago. I became interested in this topic to learn about the origin and the reason for the appearance of this disease in adolescents and young </w:t>
      </w:r>
      <w:r w:rsidR="00F95E96" w:rsidRPr="002C1A8E">
        <w:rPr>
          <w:rFonts w:ascii="Arial" w:hAnsi="Arial" w:cs="Arial"/>
          <w:sz w:val="22"/>
          <w:szCs w:val="22"/>
        </w:rPr>
        <w:t>people. This</w:t>
      </w:r>
      <w:r w:rsidRPr="002C1A8E">
        <w:rPr>
          <w:rFonts w:ascii="Arial" w:hAnsi="Arial" w:cs="Arial"/>
          <w:sz w:val="22"/>
          <w:szCs w:val="22"/>
        </w:rPr>
        <w:t xml:space="preserve"> topic is important for </w:t>
      </w:r>
      <w:r w:rsidR="00F95E96" w:rsidRPr="002C1A8E">
        <w:rPr>
          <w:rFonts w:ascii="Arial" w:hAnsi="Arial" w:cs="Arial"/>
          <w:sz w:val="22"/>
          <w:szCs w:val="22"/>
        </w:rPr>
        <w:t>raising</w:t>
      </w:r>
      <w:r w:rsidRPr="002C1A8E">
        <w:rPr>
          <w:rFonts w:ascii="Arial" w:hAnsi="Arial" w:cs="Arial"/>
          <w:sz w:val="22"/>
          <w:szCs w:val="22"/>
        </w:rPr>
        <w:t xml:space="preserve"> awareness and understanding moder medical </w:t>
      </w:r>
      <w:r w:rsidR="00F95E96" w:rsidRPr="002C1A8E">
        <w:rPr>
          <w:rFonts w:ascii="Arial" w:hAnsi="Arial" w:cs="Arial"/>
          <w:sz w:val="22"/>
          <w:szCs w:val="22"/>
        </w:rPr>
        <w:t>advancements. Additionally</w:t>
      </w:r>
      <w:r w:rsidRPr="002C1A8E">
        <w:rPr>
          <w:rFonts w:ascii="Arial" w:hAnsi="Arial" w:cs="Arial"/>
          <w:sz w:val="22"/>
          <w:szCs w:val="22"/>
        </w:rPr>
        <w:t xml:space="preserve">, it is related to the experience I lived through in taking care of my sister with this </w:t>
      </w:r>
      <w:r w:rsidR="00F95E96" w:rsidRPr="002C1A8E">
        <w:rPr>
          <w:rFonts w:ascii="Arial" w:hAnsi="Arial" w:cs="Arial"/>
          <w:sz w:val="22"/>
          <w:szCs w:val="22"/>
        </w:rPr>
        <w:t>disease.</w:t>
      </w:r>
    </w:p>
    <w:p w14:paraId="19C80873" w14:textId="5A517CAD" w:rsidR="00575E73" w:rsidRPr="002C1A8E" w:rsidRDefault="00575E73" w:rsidP="00D50C17">
      <w:pPr>
        <w:spacing w:line="360" w:lineRule="auto"/>
        <w:jc w:val="both"/>
        <w:rPr>
          <w:rFonts w:ascii="Arial" w:hAnsi="Arial" w:cs="Arial"/>
          <w:sz w:val="22"/>
          <w:szCs w:val="22"/>
        </w:rPr>
      </w:pPr>
      <w:bookmarkStart w:id="4" w:name="_Toc225024739"/>
      <w:r w:rsidRPr="002C1A8E">
        <w:rPr>
          <w:rFonts w:ascii="Arial" w:hAnsi="Arial" w:cs="Arial"/>
          <w:sz w:val="22"/>
          <w:szCs w:val="22"/>
        </w:rPr>
        <w:t>Task 2 – Evaluating Information Sources</w:t>
      </w:r>
      <w:bookmarkEnd w:id="4"/>
      <w:r w:rsidRPr="002C1A8E">
        <w:rPr>
          <w:rFonts w:ascii="Arial" w:hAnsi="Arial" w:cs="Arial"/>
          <w:sz w:val="22"/>
          <w:szCs w:val="22"/>
        </w:rPr>
        <w:t xml:space="preserve">  </w:t>
      </w:r>
    </w:p>
    <w:p w14:paraId="61A8EB02" w14:textId="6B4BADE7" w:rsidR="00177786" w:rsidRPr="002C1A8E" w:rsidRDefault="00177786" w:rsidP="00D50C17">
      <w:pPr>
        <w:spacing w:line="360" w:lineRule="auto"/>
        <w:jc w:val="both"/>
        <w:rPr>
          <w:rFonts w:ascii="Arial" w:hAnsi="Arial" w:cs="Arial"/>
          <w:sz w:val="22"/>
          <w:szCs w:val="22"/>
        </w:rPr>
      </w:pPr>
      <w:r w:rsidRPr="002C1A8E">
        <w:rPr>
          <w:rFonts w:ascii="Arial" w:hAnsi="Arial" w:cs="Arial"/>
          <w:color w:val="1B1B1B"/>
          <w:sz w:val="22"/>
          <w:szCs w:val="22"/>
        </w:rPr>
        <w:t xml:space="preserve">Acute </w:t>
      </w:r>
      <w:r w:rsidR="00B010E4" w:rsidRPr="002C1A8E">
        <w:rPr>
          <w:rFonts w:ascii="Arial" w:hAnsi="Arial" w:cs="Arial"/>
          <w:color w:val="1B1B1B"/>
          <w:sz w:val="22"/>
          <w:szCs w:val="22"/>
        </w:rPr>
        <w:t>leukaemia’s</w:t>
      </w:r>
      <w:r w:rsidRPr="002C1A8E">
        <w:rPr>
          <w:rFonts w:ascii="Arial" w:hAnsi="Arial" w:cs="Arial"/>
          <w:color w:val="1B1B1B"/>
          <w:sz w:val="22"/>
          <w:szCs w:val="22"/>
        </w:rPr>
        <w:t xml:space="preserve"> are some of the most common cancers affecting all age groups. Despite a significant improvement made in the treatment of acute </w:t>
      </w:r>
      <w:r w:rsidR="00B010E4" w:rsidRPr="002C1A8E">
        <w:rPr>
          <w:rFonts w:ascii="Arial" w:hAnsi="Arial" w:cs="Arial"/>
          <w:color w:val="1B1B1B"/>
          <w:sz w:val="22"/>
          <w:szCs w:val="22"/>
        </w:rPr>
        <w:t>leukaemia’s</w:t>
      </w:r>
      <w:r w:rsidRPr="002C1A8E">
        <w:rPr>
          <w:rFonts w:ascii="Arial" w:hAnsi="Arial" w:cs="Arial"/>
          <w:color w:val="1B1B1B"/>
          <w:sz w:val="22"/>
          <w:szCs w:val="22"/>
        </w:rPr>
        <w:t xml:space="preserve">, their cause remains </w:t>
      </w:r>
      <w:r w:rsidR="00C95C70" w:rsidRPr="002C1A8E">
        <w:rPr>
          <w:rFonts w:ascii="Arial" w:hAnsi="Arial" w:cs="Arial"/>
          <w:color w:val="1B1B1B"/>
          <w:sz w:val="22"/>
          <w:szCs w:val="22"/>
        </w:rPr>
        <w:t>unknown.</w:t>
      </w:r>
      <w:r w:rsidR="00C95C70">
        <w:rPr>
          <w:rFonts w:ascii="Arial" w:hAnsi="Arial" w:cs="Arial"/>
          <w:color w:val="1B1B1B"/>
          <w:sz w:val="22"/>
          <w:szCs w:val="22"/>
        </w:rPr>
        <w:t xml:space="preserve"> </w:t>
      </w:r>
      <w:proofErr w:type="gramStart"/>
      <w:r w:rsidR="00C95C70">
        <w:rPr>
          <w:rFonts w:ascii="Arial" w:hAnsi="Arial" w:cs="Arial"/>
          <w:color w:val="1B1B1B"/>
          <w:sz w:val="22"/>
          <w:szCs w:val="22"/>
        </w:rPr>
        <w:t xml:space="preserve">A </w:t>
      </w:r>
      <w:r w:rsidRPr="002C1A8E">
        <w:rPr>
          <w:rFonts w:ascii="Arial" w:hAnsi="Arial" w:cs="Arial"/>
          <w:color w:val="1B1B1B"/>
          <w:sz w:val="22"/>
          <w:szCs w:val="22"/>
        </w:rPr>
        <w:t>number</w:t>
      </w:r>
      <w:r w:rsidR="00570D67">
        <w:rPr>
          <w:rFonts w:ascii="Arial" w:hAnsi="Arial" w:cs="Arial"/>
          <w:color w:val="1B1B1B"/>
          <w:sz w:val="22"/>
          <w:szCs w:val="22"/>
        </w:rPr>
        <w:t xml:space="preserve"> of</w:t>
      </w:r>
      <w:proofErr w:type="gramEnd"/>
      <w:r w:rsidR="00570D67">
        <w:rPr>
          <w:rFonts w:ascii="Arial" w:hAnsi="Arial" w:cs="Arial"/>
          <w:color w:val="1B1B1B"/>
          <w:sz w:val="22"/>
          <w:szCs w:val="22"/>
        </w:rPr>
        <w:t xml:space="preserve"> </w:t>
      </w:r>
      <w:r w:rsidRPr="002C1A8E">
        <w:rPr>
          <w:rFonts w:ascii="Arial" w:hAnsi="Arial" w:cs="Arial"/>
          <w:color w:val="1B1B1B"/>
          <w:sz w:val="22"/>
          <w:szCs w:val="22"/>
        </w:rPr>
        <w:t xml:space="preserve">genetic and environmental factors for the development of acute </w:t>
      </w:r>
      <w:r w:rsidR="00C95C70" w:rsidRPr="002C1A8E">
        <w:rPr>
          <w:rFonts w:ascii="Arial" w:hAnsi="Arial" w:cs="Arial"/>
          <w:color w:val="1B1B1B"/>
          <w:sz w:val="22"/>
          <w:szCs w:val="22"/>
        </w:rPr>
        <w:t>leukaemia’s</w:t>
      </w:r>
      <w:r w:rsidRPr="002C1A8E">
        <w:rPr>
          <w:rFonts w:ascii="Arial" w:hAnsi="Arial" w:cs="Arial"/>
          <w:color w:val="1B1B1B"/>
          <w:sz w:val="22"/>
          <w:szCs w:val="22"/>
        </w:rPr>
        <w:t xml:space="preserve"> have been proposed, but none have been proven. Undoubtedly, genetics have a major role in the development of these diseases. The effects of a variety of environmental factors, occupations and hobbies have been explored. A recent “two-hit” theory” for the development of acute lymphoblastic leukemia has been proposed. This combines genetic factors and exposure to infections for the development of this disease. Several genetic factors are suggested</w:t>
      </w:r>
      <w:r w:rsidR="009A77F0" w:rsidRPr="002C1A8E">
        <w:rPr>
          <w:rFonts w:ascii="Arial" w:hAnsi="Arial" w:cs="Arial"/>
          <w:color w:val="1B1B1B"/>
          <w:sz w:val="22"/>
          <w:szCs w:val="22"/>
        </w:rPr>
        <w:t>.</w:t>
      </w:r>
    </w:p>
    <w:p w14:paraId="29F8EB7C" w14:textId="77777777" w:rsidR="00575E73" w:rsidRPr="002C1A8E" w:rsidRDefault="00575E73" w:rsidP="00D50C17">
      <w:pPr>
        <w:spacing w:line="360" w:lineRule="auto"/>
        <w:jc w:val="both"/>
        <w:rPr>
          <w:rFonts w:ascii="Arial" w:hAnsi="Arial" w:cs="Arial"/>
          <w:sz w:val="22"/>
          <w:szCs w:val="22"/>
        </w:rPr>
      </w:pPr>
      <w:bookmarkStart w:id="5" w:name="_Toc225024740"/>
      <w:r w:rsidRPr="002C1A8E">
        <w:rPr>
          <w:rFonts w:ascii="Arial" w:hAnsi="Arial" w:cs="Arial"/>
          <w:sz w:val="22"/>
          <w:szCs w:val="22"/>
        </w:rPr>
        <w:t>2.1 Source 1</w:t>
      </w:r>
      <w:bookmarkEnd w:id="5"/>
    </w:p>
    <w:p w14:paraId="2395E73E" w14:textId="33CB5CD8" w:rsidR="00FE611C" w:rsidRPr="002C1A8E" w:rsidRDefault="00FE611C" w:rsidP="00D50C17">
      <w:pPr>
        <w:spacing w:line="360" w:lineRule="auto"/>
        <w:jc w:val="both"/>
        <w:rPr>
          <w:rFonts w:ascii="Arial" w:hAnsi="Arial" w:cs="Arial"/>
          <w:sz w:val="22"/>
          <w:szCs w:val="22"/>
        </w:rPr>
      </w:pPr>
      <w:hyperlink r:id="rId11">
        <w:r w:rsidRPr="002C1A8E">
          <w:rPr>
            <w:rStyle w:val="Hyperlink"/>
            <w:rFonts w:ascii="Arial" w:eastAsia="Arial" w:hAnsi="Arial" w:cs="Arial"/>
            <w:sz w:val="22"/>
            <w:szCs w:val="22"/>
          </w:rPr>
          <w:t>Acute lymphoblastic leukaemia (ALL) in teenagers and young adults | CCLG - The Children &amp; Young People's Cancer Association</w:t>
        </w:r>
      </w:hyperlink>
      <w:r w:rsidRPr="002C1A8E">
        <w:rPr>
          <w:rFonts w:ascii="Arial" w:hAnsi="Arial" w:cs="Arial"/>
          <w:sz w:val="22"/>
          <w:szCs w:val="22"/>
        </w:rPr>
        <w:t xml:space="preserve">  this source </w:t>
      </w:r>
      <w:proofErr w:type="spellStart"/>
      <w:r w:rsidRPr="002C1A8E">
        <w:rPr>
          <w:rFonts w:ascii="Arial" w:hAnsi="Arial" w:cs="Arial"/>
          <w:sz w:val="22"/>
          <w:szCs w:val="22"/>
        </w:rPr>
        <w:t>i</w:t>
      </w:r>
      <w:proofErr w:type="spellEnd"/>
      <w:r w:rsidRPr="002C1A8E">
        <w:rPr>
          <w:rFonts w:ascii="Arial" w:hAnsi="Arial" w:cs="Arial"/>
          <w:sz w:val="22"/>
          <w:szCs w:val="22"/>
        </w:rPr>
        <w:t xml:space="preserve"> think is use</w:t>
      </w:r>
      <w:r w:rsidR="001F3F6D" w:rsidRPr="002C1A8E">
        <w:rPr>
          <w:rFonts w:ascii="Arial" w:hAnsi="Arial" w:cs="Arial"/>
          <w:sz w:val="22"/>
          <w:szCs w:val="22"/>
        </w:rPr>
        <w:t>ful</w:t>
      </w:r>
      <w:r w:rsidRPr="002C1A8E">
        <w:rPr>
          <w:rFonts w:ascii="Arial" w:hAnsi="Arial" w:cs="Arial"/>
          <w:sz w:val="22"/>
          <w:szCs w:val="22"/>
        </w:rPr>
        <w:t xml:space="preserve"> because it focuses on the age</w:t>
      </w:r>
      <w:r w:rsidR="00927326" w:rsidRPr="002C1A8E">
        <w:rPr>
          <w:rFonts w:ascii="Arial" w:hAnsi="Arial" w:cs="Arial"/>
          <w:sz w:val="22"/>
          <w:szCs w:val="22"/>
        </w:rPr>
        <w:t>,</w:t>
      </w:r>
      <w:r w:rsidR="009A77F0" w:rsidRPr="002C1A8E">
        <w:rPr>
          <w:rFonts w:ascii="Arial" w:hAnsi="Arial" w:cs="Arial"/>
          <w:sz w:val="22"/>
          <w:szCs w:val="22"/>
        </w:rPr>
        <w:t xml:space="preserve"> </w:t>
      </w:r>
      <w:r w:rsidR="00600AD8" w:rsidRPr="002C1A8E">
        <w:rPr>
          <w:rFonts w:ascii="Arial" w:hAnsi="Arial" w:cs="Arial"/>
          <w:sz w:val="22"/>
          <w:szCs w:val="22"/>
        </w:rPr>
        <w:t>group,</w:t>
      </w:r>
      <w:r w:rsidR="00600AD8" w:rsidRPr="002C1A8E">
        <w:rPr>
          <w:rFonts w:ascii="Arial" w:hAnsi="Arial" w:cs="Arial"/>
          <w:color w:val="212121"/>
          <w:sz w:val="22"/>
          <w:szCs w:val="22"/>
        </w:rPr>
        <w:t xml:space="preserve"> Individuals diagnosed with acute lymphoblastic leukemia (ALL) between adolescents and young adults aged 15-39 years face poor survival and unique challenges. We evaluated facility-level factors and guideline-concordant care among adolescents and young adults with ALL at National Cancer Institute Community Oncology Research Program (NCORP) practices</w:t>
      </w:r>
    </w:p>
    <w:p w14:paraId="21D788EC" w14:textId="6C5E0BC0" w:rsidR="00575E73" w:rsidRPr="002C1A8E" w:rsidRDefault="00575E73" w:rsidP="00D50C17">
      <w:pPr>
        <w:spacing w:line="360" w:lineRule="auto"/>
        <w:jc w:val="both"/>
        <w:rPr>
          <w:rFonts w:ascii="Arial" w:hAnsi="Arial" w:cs="Arial"/>
          <w:sz w:val="22"/>
          <w:szCs w:val="22"/>
        </w:rPr>
      </w:pPr>
      <w:bookmarkStart w:id="6" w:name="_Toc225024741"/>
      <w:r w:rsidRPr="002C1A8E">
        <w:rPr>
          <w:rFonts w:ascii="Arial" w:hAnsi="Arial" w:cs="Arial"/>
          <w:sz w:val="22"/>
          <w:szCs w:val="22"/>
        </w:rPr>
        <w:t>2.2 Source 2</w:t>
      </w:r>
      <w:bookmarkEnd w:id="6"/>
      <w:r w:rsidRPr="002C1A8E">
        <w:rPr>
          <w:rFonts w:ascii="Arial" w:hAnsi="Arial" w:cs="Arial"/>
          <w:sz w:val="22"/>
          <w:szCs w:val="22"/>
        </w:rPr>
        <w:t>.</w:t>
      </w:r>
    </w:p>
    <w:p w14:paraId="1924EE25" w14:textId="23EB0761" w:rsidR="00565751" w:rsidRPr="002C1A8E" w:rsidRDefault="004209CC" w:rsidP="00D50C17">
      <w:pPr>
        <w:spacing w:line="360" w:lineRule="auto"/>
        <w:jc w:val="both"/>
        <w:rPr>
          <w:rFonts w:ascii="Arial" w:hAnsi="Arial" w:cs="Arial"/>
          <w:color w:val="0000FF"/>
          <w:sz w:val="22"/>
          <w:szCs w:val="22"/>
        </w:rPr>
      </w:pPr>
      <w:hyperlink r:id="rId12" w:history="1">
        <w:r w:rsidRPr="00957191">
          <w:rPr>
            <w:rStyle w:val="Hyperlink"/>
            <w:rFonts w:ascii="Arial" w:hAnsi="Arial" w:cs="Arial"/>
            <w:sz w:val="22"/>
            <w:szCs w:val="22"/>
          </w:rPr>
          <w:t>https://librarysearch.uwtsd.ac.uk/discovery/fulldisplay?docid=cdi_pubmedcentral_primary_oai_pubmedcentral_nih_gov_12121638&amp;context=PC&amp;vid=44WHELF_UWTSD:44WHELF_UW</w:t>
        </w:r>
        <w:r w:rsidRPr="00957191">
          <w:rPr>
            <w:rStyle w:val="Hyperlink"/>
            <w:rFonts w:ascii="Arial" w:hAnsi="Arial" w:cs="Arial"/>
            <w:sz w:val="22"/>
            <w:szCs w:val="22"/>
          </w:rPr>
          <w:lastRenderedPageBreak/>
          <w:t>TSD_VU1&amp;lang=en&amp;search_scope=Search_ELEC&amp;adaptor=Primo%20Central&amp;query=any%2Ccontains%2Ccdi_pubmedcentral_primary_oai_pubmedcentral_nih_gov_12121638&amp;facet=citing%2Cexact%2Ccdi_FETCH-LOGICAL-c348t- Acute lymphoblastic leukaemia (ALL) in adolescents and young adults (15–24 years) presents 4a707132bfeb6acc7e70f88719b9a7a6bb2a70ef1e159ea9d48df86abc331f513&amp;offset=0</w:t>
        </w:r>
      </w:hyperlink>
    </w:p>
    <w:p w14:paraId="4B888220" w14:textId="1091C0EC" w:rsidR="00575E73" w:rsidRPr="002C1A8E" w:rsidRDefault="00565751" w:rsidP="00D50C17">
      <w:pPr>
        <w:spacing w:line="360" w:lineRule="auto"/>
        <w:jc w:val="both"/>
        <w:rPr>
          <w:rFonts w:ascii="Arial" w:hAnsi="Arial" w:cs="Arial"/>
          <w:sz w:val="22"/>
          <w:szCs w:val="22"/>
        </w:rPr>
      </w:pPr>
      <w:r w:rsidRPr="002C1A8E">
        <w:rPr>
          <w:rFonts w:ascii="Arial" w:hAnsi="Arial" w:cs="Arial"/>
          <w:sz w:val="22"/>
          <w:szCs w:val="22"/>
        </w:rPr>
        <w:t xml:space="preserve">This </w:t>
      </w:r>
      <w:r w:rsidR="001A0449" w:rsidRPr="002C1A8E">
        <w:rPr>
          <w:rFonts w:ascii="Arial" w:hAnsi="Arial" w:cs="Arial"/>
          <w:sz w:val="22"/>
          <w:szCs w:val="22"/>
        </w:rPr>
        <w:t>source acute</w:t>
      </w:r>
      <w:r w:rsidR="0093663C" w:rsidRPr="002C1A8E">
        <w:rPr>
          <w:rFonts w:ascii="Arial" w:hAnsi="Arial" w:cs="Arial"/>
          <w:sz w:val="22"/>
          <w:szCs w:val="22"/>
        </w:rPr>
        <w:t xml:space="preserve"> lymphoblast</w:t>
      </w:r>
      <w:r w:rsidRPr="002C1A8E">
        <w:rPr>
          <w:rFonts w:ascii="Arial" w:hAnsi="Arial" w:cs="Arial"/>
          <w:sz w:val="22"/>
          <w:szCs w:val="22"/>
        </w:rPr>
        <w:t>i</w:t>
      </w:r>
      <w:r w:rsidR="0093663C" w:rsidRPr="002C1A8E">
        <w:rPr>
          <w:rFonts w:ascii="Arial" w:hAnsi="Arial" w:cs="Arial"/>
          <w:sz w:val="22"/>
          <w:szCs w:val="22"/>
        </w:rPr>
        <w:t xml:space="preserve">c leukemia (ALL) in </w:t>
      </w:r>
      <w:r w:rsidR="001A0449" w:rsidRPr="002C1A8E">
        <w:rPr>
          <w:rFonts w:ascii="Arial" w:hAnsi="Arial" w:cs="Arial"/>
          <w:sz w:val="22"/>
          <w:szCs w:val="22"/>
        </w:rPr>
        <w:t>adolescents</w:t>
      </w:r>
      <w:r w:rsidR="0093663C" w:rsidRPr="002C1A8E">
        <w:rPr>
          <w:rFonts w:ascii="Arial" w:hAnsi="Arial" w:cs="Arial"/>
          <w:sz w:val="22"/>
          <w:szCs w:val="22"/>
        </w:rPr>
        <w:t xml:space="preserve"> and young adult agedn15-24 </w:t>
      </w:r>
      <w:proofErr w:type="gramStart"/>
      <w:r w:rsidR="0093663C" w:rsidRPr="002C1A8E">
        <w:rPr>
          <w:rFonts w:ascii="Arial" w:hAnsi="Arial" w:cs="Arial"/>
          <w:sz w:val="22"/>
          <w:szCs w:val="22"/>
        </w:rPr>
        <w:t>it</w:t>
      </w:r>
      <w:proofErr w:type="gramEnd"/>
      <w:r w:rsidRPr="002C1A8E">
        <w:rPr>
          <w:rFonts w:ascii="Arial" w:hAnsi="Arial" w:cs="Arial"/>
          <w:sz w:val="22"/>
          <w:szCs w:val="22"/>
        </w:rPr>
        <w:t xml:space="preserve"> evidence because</w:t>
      </w:r>
      <w:r w:rsidRPr="002C1A8E">
        <w:rPr>
          <w:rFonts w:ascii="Arial" w:hAnsi="Arial" w:cs="Arial"/>
          <w:b/>
          <w:bCs/>
          <w:sz w:val="22"/>
          <w:szCs w:val="22"/>
        </w:rPr>
        <w:t xml:space="preserve"> </w:t>
      </w:r>
      <w:r w:rsidRPr="002C1A8E">
        <w:rPr>
          <w:rFonts w:ascii="Arial" w:hAnsi="Arial" w:cs="Arial"/>
          <w:sz w:val="22"/>
          <w:szCs w:val="22"/>
        </w:rPr>
        <w:t xml:space="preserve">reliable based on survival treatment, </w:t>
      </w:r>
      <w:r w:rsidR="00F95E96" w:rsidRPr="002C1A8E">
        <w:rPr>
          <w:rFonts w:ascii="Arial" w:hAnsi="Arial" w:cs="Arial"/>
          <w:sz w:val="22"/>
          <w:szCs w:val="22"/>
        </w:rPr>
        <w:t>methods,</w:t>
      </w:r>
      <w:r w:rsidRPr="002C1A8E">
        <w:rPr>
          <w:rFonts w:ascii="Arial" w:hAnsi="Arial" w:cs="Arial"/>
          <w:sz w:val="22"/>
          <w:szCs w:val="22"/>
        </w:rPr>
        <w:t xml:space="preserve"> and </w:t>
      </w:r>
      <w:r w:rsidR="00F95E96" w:rsidRPr="002C1A8E">
        <w:rPr>
          <w:rFonts w:ascii="Arial" w:hAnsi="Arial" w:cs="Arial"/>
          <w:sz w:val="22"/>
          <w:szCs w:val="22"/>
        </w:rPr>
        <w:t>biological</w:t>
      </w:r>
      <w:r w:rsidR="00CE0752" w:rsidRPr="002C1A8E">
        <w:rPr>
          <w:rFonts w:ascii="Arial" w:hAnsi="Arial" w:cs="Arial"/>
          <w:sz w:val="22"/>
          <w:szCs w:val="22"/>
        </w:rPr>
        <w:t xml:space="preserve"> scientific that mean increasing </w:t>
      </w:r>
      <w:r w:rsidR="002F5ECC" w:rsidRPr="002C1A8E">
        <w:rPr>
          <w:rFonts w:ascii="Arial" w:hAnsi="Arial" w:cs="Arial"/>
          <w:sz w:val="22"/>
          <w:szCs w:val="22"/>
        </w:rPr>
        <w:t>credibility.</w:t>
      </w:r>
    </w:p>
    <w:p w14:paraId="4EF4D7E5" w14:textId="77777777" w:rsidR="00575E73" w:rsidRPr="002C1A8E" w:rsidRDefault="00432D05" w:rsidP="00D50C17">
      <w:pPr>
        <w:spacing w:line="360" w:lineRule="auto"/>
        <w:jc w:val="both"/>
        <w:rPr>
          <w:rFonts w:ascii="Arial" w:hAnsi="Arial" w:cs="Arial"/>
          <w:sz w:val="22"/>
          <w:szCs w:val="22"/>
        </w:rPr>
      </w:pPr>
      <w:bookmarkStart w:id="7" w:name="_Toc225024742"/>
      <w:r w:rsidRPr="002C1A8E">
        <w:rPr>
          <w:rFonts w:ascii="Arial" w:hAnsi="Arial" w:cs="Arial"/>
          <w:sz w:val="22"/>
          <w:szCs w:val="22"/>
        </w:rPr>
        <w:t>2.3 Source</w:t>
      </w:r>
      <w:r w:rsidR="00575E73" w:rsidRPr="002C1A8E">
        <w:rPr>
          <w:rFonts w:ascii="Arial" w:hAnsi="Arial" w:cs="Arial"/>
          <w:sz w:val="22"/>
          <w:szCs w:val="22"/>
        </w:rPr>
        <w:t xml:space="preserve"> 3</w:t>
      </w:r>
      <w:bookmarkEnd w:id="7"/>
    </w:p>
    <w:p w14:paraId="1FF61E68" w14:textId="77777777" w:rsidR="00565751" w:rsidRPr="002C1A8E" w:rsidRDefault="00565751" w:rsidP="00D50C17">
      <w:pPr>
        <w:spacing w:line="360" w:lineRule="auto"/>
        <w:jc w:val="both"/>
        <w:rPr>
          <w:rFonts w:ascii="Arial" w:hAnsi="Arial" w:cs="Arial"/>
          <w:sz w:val="22"/>
          <w:szCs w:val="22"/>
        </w:rPr>
      </w:pPr>
      <w:hyperlink r:id="rId13">
        <w:r w:rsidRPr="002C1A8E">
          <w:rPr>
            <w:rStyle w:val="Hyperlink"/>
            <w:rFonts w:ascii="Arial" w:eastAsia="Arial" w:hAnsi="Arial" w:cs="Arial"/>
            <w:sz w:val="22"/>
            <w:szCs w:val="22"/>
          </w:rPr>
          <w:t>Symptoms of acute lymphoblastic leukaemia (ALL) | Cancer Research UK</w:t>
        </w:r>
      </w:hyperlink>
    </w:p>
    <w:p w14:paraId="3A02C83E" w14:textId="5418D129" w:rsidR="00600AD8" w:rsidRPr="002C1A8E" w:rsidRDefault="00565751" w:rsidP="00D50C17">
      <w:pPr>
        <w:spacing w:line="360" w:lineRule="auto"/>
        <w:jc w:val="both"/>
        <w:rPr>
          <w:rFonts w:ascii="Arial" w:hAnsi="Arial" w:cs="Arial"/>
          <w:color w:val="212121"/>
          <w:sz w:val="22"/>
          <w:szCs w:val="22"/>
        </w:rPr>
      </w:pPr>
      <w:r w:rsidRPr="002C1A8E">
        <w:rPr>
          <w:rFonts w:ascii="Arial" w:hAnsi="Arial" w:cs="Arial"/>
          <w:color w:val="1A1A1A"/>
          <w:sz w:val="22"/>
          <w:szCs w:val="22"/>
        </w:rPr>
        <w:t xml:space="preserve">This website provides reliable accurate information about ALL, including </w:t>
      </w:r>
      <w:r w:rsidR="00F95E96" w:rsidRPr="002C1A8E">
        <w:rPr>
          <w:rFonts w:ascii="Arial" w:hAnsi="Arial" w:cs="Arial"/>
          <w:color w:val="1A1A1A"/>
          <w:sz w:val="22"/>
          <w:szCs w:val="22"/>
        </w:rPr>
        <w:t>causes, symptoms</w:t>
      </w:r>
      <w:r w:rsidRPr="002C1A8E">
        <w:rPr>
          <w:rFonts w:ascii="Arial" w:hAnsi="Arial" w:cs="Arial"/>
          <w:color w:val="1A1A1A"/>
          <w:sz w:val="22"/>
          <w:szCs w:val="22"/>
        </w:rPr>
        <w:t xml:space="preserve"> and treatments.</w:t>
      </w:r>
      <w:r w:rsidR="00600AD8" w:rsidRPr="002C1A8E">
        <w:rPr>
          <w:rFonts w:ascii="Arial" w:hAnsi="Arial" w:cs="Arial"/>
          <w:color w:val="1A1A1A"/>
          <w:sz w:val="22"/>
          <w:szCs w:val="22"/>
        </w:rPr>
        <w:t xml:space="preserve"> the methods by which children and adults are treated have evolved in very different ways.</w:t>
      </w:r>
    </w:p>
    <w:p w14:paraId="2D5858C9" w14:textId="4AD0A25B" w:rsidR="00565751" w:rsidRPr="002C1A8E" w:rsidRDefault="00600AD8" w:rsidP="00D50C17">
      <w:pPr>
        <w:spacing w:line="360" w:lineRule="auto"/>
        <w:jc w:val="both"/>
        <w:rPr>
          <w:rFonts w:ascii="Arial" w:hAnsi="Arial" w:cs="Arial"/>
          <w:color w:val="1A1A1A"/>
          <w:sz w:val="22"/>
          <w:szCs w:val="22"/>
        </w:rPr>
      </w:pPr>
      <w:r w:rsidRPr="002C1A8E">
        <w:rPr>
          <w:rFonts w:ascii="Arial" w:hAnsi="Arial" w:cs="Arial"/>
          <w:color w:val="1A1A1A"/>
          <w:sz w:val="22"/>
          <w:szCs w:val="22"/>
        </w:rPr>
        <w:t>Induction chemotherapy is used first to reduce the burden of lymphoblasts in the bone marrow and to restore normal hematopoietic function. Consolidation therapy (also termed intensification) is used with the intention of clearing any drug-resistant leukemia cells that have survived induction therapy and to eliminate minimal residual disease (MRD).</w:t>
      </w:r>
    </w:p>
    <w:p w14:paraId="0582C886" w14:textId="69460F01" w:rsidR="00D45BB4" w:rsidRPr="002C1A8E" w:rsidRDefault="00432D05" w:rsidP="00D50C17">
      <w:pPr>
        <w:spacing w:line="360" w:lineRule="auto"/>
        <w:jc w:val="both"/>
        <w:rPr>
          <w:rFonts w:ascii="Arial" w:hAnsi="Arial" w:cs="Arial"/>
          <w:sz w:val="22"/>
          <w:szCs w:val="22"/>
        </w:rPr>
      </w:pPr>
      <w:bookmarkStart w:id="8" w:name="_Toc225024743"/>
      <w:r w:rsidRPr="002C1A8E">
        <w:rPr>
          <w:rFonts w:ascii="Arial" w:hAnsi="Arial" w:cs="Arial"/>
          <w:sz w:val="22"/>
          <w:szCs w:val="22"/>
        </w:rPr>
        <w:t xml:space="preserve">2.4 </w:t>
      </w:r>
      <w:r w:rsidR="00575E73" w:rsidRPr="002C1A8E">
        <w:rPr>
          <w:rFonts w:ascii="Arial" w:hAnsi="Arial" w:cs="Arial"/>
          <w:sz w:val="22"/>
          <w:szCs w:val="22"/>
        </w:rPr>
        <w:t>Gaps in Current Research</w:t>
      </w:r>
      <w:bookmarkEnd w:id="8"/>
    </w:p>
    <w:p w14:paraId="2259315C" w14:textId="3D7B3583" w:rsidR="00565751" w:rsidRPr="002C1A8E" w:rsidRDefault="00565751" w:rsidP="00D50C17">
      <w:pPr>
        <w:spacing w:line="360" w:lineRule="auto"/>
        <w:jc w:val="both"/>
        <w:rPr>
          <w:rFonts w:ascii="Arial" w:hAnsi="Arial" w:cs="Arial"/>
          <w:color w:val="1A1A1A"/>
          <w:sz w:val="22"/>
          <w:szCs w:val="22"/>
        </w:rPr>
      </w:pPr>
      <w:r w:rsidRPr="002C1A8E">
        <w:rPr>
          <w:rFonts w:ascii="Arial" w:hAnsi="Arial" w:cs="Arial"/>
          <w:color w:val="1A1A1A"/>
          <w:sz w:val="22"/>
          <w:szCs w:val="22"/>
        </w:rPr>
        <w:t>I found a lot</w:t>
      </w:r>
      <w:r w:rsidR="00F95E96" w:rsidRPr="002C1A8E">
        <w:rPr>
          <w:rFonts w:ascii="Arial" w:hAnsi="Arial" w:cs="Arial"/>
          <w:color w:val="1A1A1A"/>
          <w:sz w:val="22"/>
          <w:szCs w:val="22"/>
        </w:rPr>
        <w:t xml:space="preserve"> </w:t>
      </w:r>
      <w:r w:rsidRPr="002C1A8E">
        <w:rPr>
          <w:rFonts w:ascii="Arial" w:hAnsi="Arial" w:cs="Arial"/>
          <w:color w:val="1A1A1A"/>
          <w:sz w:val="22"/>
          <w:szCs w:val="22"/>
        </w:rPr>
        <w:t xml:space="preserve">of research on </w:t>
      </w:r>
      <w:r w:rsidR="006254F2" w:rsidRPr="002C1A8E">
        <w:rPr>
          <w:rFonts w:ascii="Arial" w:hAnsi="Arial" w:cs="Arial"/>
          <w:color w:val="1A1A1A"/>
          <w:sz w:val="22"/>
          <w:szCs w:val="22"/>
        </w:rPr>
        <w:t>(</w:t>
      </w:r>
      <w:r w:rsidRPr="002C1A8E">
        <w:rPr>
          <w:rFonts w:ascii="Arial" w:hAnsi="Arial" w:cs="Arial"/>
          <w:color w:val="1A1A1A"/>
          <w:sz w:val="22"/>
          <w:szCs w:val="22"/>
        </w:rPr>
        <w:t>ALL</w:t>
      </w:r>
      <w:r w:rsidR="006254F2" w:rsidRPr="002C1A8E">
        <w:rPr>
          <w:rFonts w:ascii="Arial" w:hAnsi="Arial" w:cs="Arial"/>
          <w:color w:val="1A1A1A"/>
          <w:sz w:val="22"/>
          <w:szCs w:val="22"/>
        </w:rPr>
        <w:t>)</w:t>
      </w:r>
      <w:r w:rsidRPr="002C1A8E">
        <w:rPr>
          <w:rFonts w:ascii="Arial" w:hAnsi="Arial" w:cs="Arial"/>
          <w:color w:val="1A1A1A"/>
          <w:sz w:val="22"/>
          <w:szCs w:val="22"/>
        </w:rPr>
        <w:t xml:space="preserve"> in teenagers and young people but there are still gaps in understanding why teenagers have lower survival rates.</w:t>
      </w:r>
      <w:r w:rsidR="001F3F6D" w:rsidRPr="002C1A8E">
        <w:rPr>
          <w:rFonts w:ascii="Arial" w:hAnsi="Arial" w:cs="Arial"/>
          <w:color w:val="1B1B1B"/>
          <w:sz w:val="22"/>
          <w:szCs w:val="22"/>
        </w:rPr>
        <w:t xml:space="preserve"> All groups, including children. its significant causative factors for the development of acute leukaemia’s </w:t>
      </w:r>
      <w:proofErr w:type="gramStart"/>
      <w:r w:rsidR="001F3F6D" w:rsidRPr="002C1A8E">
        <w:rPr>
          <w:rFonts w:ascii="Arial" w:hAnsi="Arial" w:cs="Arial"/>
          <w:color w:val="1B1B1B"/>
          <w:sz w:val="22"/>
          <w:szCs w:val="22"/>
        </w:rPr>
        <w:t>has</w:t>
      </w:r>
      <w:proofErr w:type="gramEnd"/>
      <w:r w:rsidR="001F3F6D" w:rsidRPr="002C1A8E">
        <w:rPr>
          <w:rFonts w:ascii="Arial" w:hAnsi="Arial" w:cs="Arial"/>
          <w:color w:val="1B1B1B"/>
          <w:sz w:val="22"/>
          <w:szCs w:val="22"/>
        </w:rPr>
        <w:t xml:space="preserve"> been reported, the aetiology of these disorders remains unclear.</w:t>
      </w:r>
    </w:p>
    <w:p w14:paraId="124D01F0" w14:textId="1A51F68E" w:rsidR="00575E73" w:rsidRPr="002C1A8E" w:rsidRDefault="00565751" w:rsidP="00D50C17">
      <w:pPr>
        <w:spacing w:line="360" w:lineRule="auto"/>
        <w:jc w:val="both"/>
        <w:rPr>
          <w:rFonts w:ascii="Arial" w:hAnsi="Arial" w:cs="Arial"/>
          <w:sz w:val="22"/>
          <w:szCs w:val="22"/>
        </w:rPr>
      </w:pPr>
      <w:r w:rsidRPr="002C1A8E">
        <w:rPr>
          <w:rFonts w:ascii="Arial" w:hAnsi="Arial" w:cs="Arial"/>
          <w:color w:val="1F1F1F"/>
          <w:sz w:val="22"/>
          <w:szCs w:val="22"/>
        </w:rPr>
        <w:t xml:space="preserve">The programs should be designed to take into account those factors and finally ameliorate survival and </w:t>
      </w:r>
      <w:hyperlink r:id="rId14">
        <w:r w:rsidRPr="002C1A8E">
          <w:rPr>
            <w:rStyle w:val="Hyperlink"/>
            <w:rFonts w:ascii="Arial" w:eastAsia="Arial" w:hAnsi="Arial" w:cs="Arial"/>
            <w:color w:val="1F1F1F"/>
            <w:sz w:val="22"/>
            <w:szCs w:val="22"/>
          </w:rPr>
          <w:t>quality of life</w:t>
        </w:r>
      </w:hyperlink>
      <w:r w:rsidRPr="002C1A8E">
        <w:rPr>
          <w:rFonts w:ascii="Arial" w:hAnsi="Arial" w:cs="Arial"/>
          <w:color w:val="1F1F1F"/>
          <w:sz w:val="22"/>
          <w:szCs w:val="22"/>
        </w:rPr>
        <w:t xml:space="preserve"> for AYAs with ALL</w:t>
      </w:r>
      <w:r w:rsidR="001F3F6D" w:rsidRPr="002C1A8E">
        <w:rPr>
          <w:rFonts w:ascii="Arial" w:hAnsi="Arial" w:cs="Arial"/>
          <w:color w:val="1F1F1F"/>
          <w:sz w:val="22"/>
          <w:szCs w:val="22"/>
        </w:rPr>
        <w:t>.</w:t>
      </w:r>
    </w:p>
    <w:p w14:paraId="2F500CAF" w14:textId="77777777" w:rsidR="00575E73" w:rsidRPr="002C1A8E" w:rsidRDefault="00575E73" w:rsidP="00D50C17">
      <w:pPr>
        <w:spacing w:line="360" w:lineRule="auto"/>
        <w:jc w:val="both"/>
        <w:rPr>
          <w:rFonts w:ascii="Arial" w:hAnsi="Arial" w:cs="Arial"/>
          <w:sz w:val="22"/>
          <w:szCs w:val="22"/>
        </w:rPr>
      </w:pPr>
      <w:bookmarkStart w:id="9" w:name="_Toc225024744"/>
      <w:r w:rsidRPr="002C1A8E">
        <w:rPr>
          <w:rFonts w:ascii="Arial" w:hAnsi="Arial" w:cs="Arial"/>
          <w:sz w:val="22"/>
          <w:szCs w:val="22"/>
        </w:rPr>
        <w:t>Task 3 – Research Methodologies</w:t>
      </w:r>
      <w:bookmarkEnd w:id="9"/>
      <w:r w:rsidRPr="002C1A8E">
        <w:rPr>
          <w:rFonts w:ascii="Arial" w:hAnsi="Arial" w:cs="Arial"/>
          <w:sz w:val="22"/>
          <w:szCs w:val="22"/>
        </w:rPr>
        <w:t xml:space="preserve">  </w:t>
      </w:r>
    </w:p>
    <w:p w14:paraId="2D036DC4" w14:textId="77777777" w:rsidR="00575E73" w:rsidRPr="002C1A8E" w:rsidRDefault="00432D05" w:rsidP="00D50C17">
      <w:pPr>
        <w:spacing w:line="360" w:lineRule="auto"/>
        <w:jc w:val="both"/>
        <w:rPr>
          <w:rFonts w:ascii="Arial" w:hAnsi="Arial" w:cs="Arial"/>
          <w:sz w:val="22"/>
          <w:szCs w:val="22"/>
        </w:rPr>
      </w:pPr>
      <w:bookmarkStart w:id="10" w:name="_Toc225024745"/>
      <w:r w:rsidRPr="002C1A8E">
        <w:rPr>
          <w:rFonts w:ascii="Arial" w:hAnsi="Arial" w:cs="Arial"/>
          <w:sz w:val="22"/>
          <w:szCs w:val="22"/>
        </w:rPr>
        <w:t xml:space="preserve">3.1 </w:t>
      </w:r>
      <w:r w:rsidR="00575E73" w:rsidRPr="002C1A8E">
        <w:rPr>
          <w:rFonts w:ascii="Arial" w:hAnsi="Arial" w:cs="Arial"/>
          <w:sz w:val="22"/>
          <w:szCs w:val="22"/>
        </w:rPr>
        <w:t>Definitions and Examples</w:t>
      </w:r>
      <w:bookmarkEnd w:id="10"/>
    </w:p>
    <w:p w14:paraId="38E99990" w14:textId="5581204B" w:rsidR="00565751" w:rsidRPr="002C1A8E" w:rsidRDefault="00565751" w:rsidP="00D50C17">
      <w:pPr>
        <w:spacing w:line="360" w:lineRule="auto"/>
        <w:jc w:val="both"/>
        <w:rPr>
          <w:rFonts w:ascii="Arial" w:hAnsi="Arial" w:cs="Arial"/>
          <w:sz w:val="22"/>
          <w:szCs w:val="22"/>
        </w:rPr>
      </w:pPr>
      <w:r w:rsidRPr="002C1A8E">
        <w:rPr>
          <w:rFonts w:ascii="Arial" w:hAnsi="Arial" w:cs="Arial"/>
          <w:sz w:val="22"/>
          <w:szCs w:val="22"/>
        </w:rPr>
        <w:t xml:space="preserve">Qualitative: focuses on </w:t>
      </w:r>
      <w:r w:rsidR="00F95E96" w:rsidRPr="002C1A8E">
        <w:rPr>
          <w:rFonts w:ascii="Arial" w:hAnsi="Arial" w:cs="Arial"/>
          <w:sz w:val="22"/>
          <w:szCs w:val="22"/>
        </w:rPr>
        <w:t>critical</w:t>
      </w:r>
      <w:r w:rsidRPr="002C1A8E">
        <w:rPr>
          <w:rFonts w:ascii="Arial" w:hAnsi="Arial" w:cs="Arial"/>
          <w:sz w:val="22"/>
          <w:szCs w:val="22"/>
        </w:rPr>
        <w:t xml:space="preserve"> opinions and </w:t>
      </w:r>
      <w:r w:rsidR="00F95E96" w:rsidRPr="002C1A8E">
        <w:rPr>
          <w:rFonts w:ascii="Arial" w:hAnsi="Arial" w:cs="Arial"/>
          <w:sz w:val="22"/>
          <w:szCs w:val="22"/>
        </w:rPr>
        <w:t>experiences. patient</w:t>
      </w:r>
      <w:r w:rsidRPr="002C1A8E">
        <w:rPr>
          <w:rFonts w:ascii="Arial" w:hAnsi="Arial" w:cs="Arial"/>
          <w:sz w:val="22"/>
          <w:szCs w:val="22"/>
        </w:rPr>
        <w:t xml:space="preserve"> interviews</w:t>
      </w:r>
      <w:r w:rsidR="001A0449" w:rsidRPr="002C1A8E">
        <w:rPr>
          <w:rFonts w:ascii="Arial" w:hAnsi="Arial" w:cs="Arial"/>
          <w:sz w:val="22"/>
          <w:szCs w:val="22"/>
        </w:rPr>
        <w:t xml:space="preserve"> </w:t>
      </w:r>
      <w:r w:rsidR="0025568D" w:rsidRPr="002C1A8E">
        <w:rPr>
          <w:rFonts w:ascii="Arial" w:hAnsi="Arial" w:cs="Arial"/>
          <w:sz w:val="22"/>
          <w:szCs w:val="22"/>
        </w:rPr>
        <w:t>because</w:t>
      </w:r>
    </w:p>
    <w:p w14:paraId="2CB7A682" w14:textId="46C08077" w:rsidR="001A0449" w:rsidRPr="002C1A8E" w:rsidRDefault="001A0449" w:rsidP="00D50C17">
      <w:pPr>
        <w:spacing w:line="360" w:lineRule="auto"/>
        <w:jc w:val="both"/>
        <w:rPr>
          <w:rFonts w:ascii="Arial" w:hAnsi="Arial" w:cs="Arial"/>
          <w:sz w:val="22"/>
          <w:szCs w:val="22"/>
        </w:rPr>
      </w:pPr>
      <w:r w:rsidRPr="002C1A8E">
        <w:rPr>
          <w:rFonts w:ascii="Arial" w:hAnsi="Arial" w:cs="Arial"/>
          <w:sz w:val="22"/>
          <w:szCs w:val="22"/>
        </w:rPr>
        <w:t xml:space="preserve">This is a biology ALL page and cancer research UK, American cancer society confirm these functions. </w:t>
      </w:r>
    </w:p>
    <w:p w14:paraId="74B50ACB" w14:textId="56A9B117" w:rsidR="00565751" w:rsidRPr="002C1A8E" w:rsidRDefault="00F95E96" w:rsidP="00D50C17">
      <w:pPr>
        <w:spacing w:line="360" w:lineRule="auto"/>
        <w:jc w:val="both"/>
        <w:rPr>
          <w:rFonts w:ascii="Arial" w:hAnsi="Arial" w:cs="Arial"/>
          <w:sz w:val="22"/>
          <w:szCs w:val="22"/>
        </w:rPr>
      </w:pPr>
      <w:r w:rsidRPr="002C1A8E">
        <w:rPr>
          <w:rFonts w:ascii="Arial" w:hAnsi="Arial" w:cs="Arial"/>
          <w:sz w:val="22"/>
          <w:szCs w:val="22"/>
        </w:rPr>
        <w:t>Quantitative: focuses</w:t>
      </w:r>
      <w:r w:rsidR="00565751" w:rsidRPr="002C1A8E">
        <w:rPr>
          <w:rFonts w:ascii="Arial" w:hAnsi="Arial" w:cs="Arial"/>
          <w:sz w:val="22"/>
          <w:szCs w:val="22"/>
        </w:rPr>
        <w:t xml:space="preserve"> on data numerical </w:t>
      </w:r>
      <w:r w:rsidR="0025568D" w:rsidRPr="002C1A8E">
        <w:rPr>
          <w:rFonts w:ascii="Arial" w:hAnsi="Arial" w:cs="Arial"/>
          <w:sz w:val="22"/>
          <w:szCs w:val="22"/>
        </w:rPr>
        <w:t>e.g. statistics</w:t>
      </w:r>
      <w:r w:rsidR="00565751" w:rsidRPr="002C1A8E">
        <w:rPr>
          <w:rFonts w:ascii="Arial" w:hAnsi="Arial" w:cs="Arial"/>
          <w:sz w:val="22"/>
          <w:szCs w:val="22"/>
        </w:rPr>
        <w:t>,</w:t>
      </w:r>
      <w:r w:rsidR="0025568D" w:rsidRPr="002C1A8E">
        <w:rPr>
          <w:rFonts w:ascii="Arial" w:hAnsi="Arial" w:cs="Arial"/>
          <w:sz w:val="22"/>
          <w:szCs w:val="22"/>
        </w:rPr>
        <w:t xml:space="preserve"> survival</w:t>
      </w:r>
      <w:r w:rsidR="00565751" w:rsidRPr="002C1A8E">
        <w:rPr>
          <w:rFonts w:ascii="Arial" w:hAnsi="Arial" w:cs="Arial"/>
          <w:sz w:val="22"/>
          <w:szCs w:val="22"/>
        </w:rPr>
        <w:t xml:space="preserve"> rates</w:t>
      </w:r>
      <w:r w:rsidR="00D76CE8" w:rsidRPr="002C1A8E">
        <w:rPr>
          <w:rFonts w:ascii="Arial" w:hAnsi="Arial" w:cs="Arial"/>
          <w:sz w:val="22"/>
          <w:szCs w:val="22"/>
        </w:rPr>
        <w:t xml:space="preserve"> </w:t>
      </w:r>
    </w:p>
    <w:p w14:paraId="27700670" w14:textId="1008A84A" w:rsidR="00D76CE8" w:rsidRPr="002C1A8E" w:rsidRDefault="00665C3B" w:rsidP="00D50C17">
      <w:pPr>
        <w:spacing w:line="360" w:lineRule="auto"/>
        <w:jc w:val="both"/>
        <w:rPr>
          <w:rFonts w:ascii="Arial" w:hAnsi="Arial" w:cs="Arial"/>
          <w:sz w:val="22"/>
          <w:szCs w:val="22"/>
        </w:rPr>
      </w:pPr>
      <w:r w:rsidRPr="002C1A8E">
        <w:rPr>
          <w:rFonts w:ascii="Arial" w:hAnsi="Arial" w:cs="Arial"/>
          <w:color w:val="212121"/>
          <w:sz w:val="22"/>
          <w:szCs w:val="22"/>
        </w:rPr>
        <w:lastRenderedPageBreak/>
        <w:t>Adolescents and young adults receiving guideline-concordant care were younger (n = 196; median = 19.5 years) than those not (n = 31; median = 32.1 years).</w:t>
      </w:r>
    </w:p>
    <w:p w14:paraId="6A185448" w14:textId="6907FF64" w:rsidR="00575E73" w:rsidRPr="002C1A8E" w:rsidRDefault="00B822FC" w:rsidP="00D50C17">
      <w:pPr>
        <w:spacing w:line="360" w:lineRule="auto"/>
        <w:jc w:val="both"/>
        <w:rPr>
          <w:rFonts w:ascii="Arial" w:hAnsi="Arial" w:cs="Arial"/>
          <w:sz w:val="22"/>
          <w:szCs w:val="22"/>
        </w:rPr>
      </w:pPr>
      <w:r w:rsidRPr="002C1A8E">
        <w:rPr>
          <w:rFonts w:ascii="Arial" w:hAnsi="Arial" w:cs="Arial"/>
          <w:color w:val="212121"/>
          <w:sz w:val="22"/>
          <w:szCs w:val="22"/>
        </w:rPr>
        <w:t>Pediatric</w:t>
      </w:r>
      <w:r w:rsidR="001A0449" w:rsidRPr="002C1A8E">
        <w:rPr>
          <w:rFonts w:ascii="Arial" w:hAnsi="Arial" w:cs="Arial"/>
          <w:color w:val="212121"/>
          <w:sz w:val="22"/>
          <w:szCs w:val="22"/>
        </w:rPr>
        <w:t>-inspired therapy or clinical trial). Guideline-concordant care was described by age, facility model (adult/internal medicine,</w:t>
      </w:r>
    </w:p>
    <w:p w14:paraId="42664811" w14:textId="77777777" w:rsidR="00575E73" w:rsidRPr="002C1A8E" w:rsidRDefault="00432D05" w:rsidP="00D50C17">
      <w:pPr>
        <w:spacing w:line="360" w:lineRule="auto"/>
        <w:jc w:val="both"/>
        <w:rPr>
          <w:rFonts w:ascii="Arial" w:hAnsi="Arial" w:cs="Arial"/>
          <w:sz w:val="22"/>
          <w:szCs w:val="22"/>
        </w:rPr>
      </w:pPr>
      <w:bookmarkStart w:id="11" w:name="_Toc225024746"/>
      <w:r w:rsidRPr="002C1A8E">
        <w:rPr>
          <w:rFonts w:ascii="Arial" w:hAnsi="Arial" w:cs="Arial"/>
          <w:sz w:val="22"/>
          <w:szCs w:val="22"/>
        </w:rPr>
        <w:t xml:space="preserve">3.2 </w:t>
      </w:r>
      <w:r w:rsidR="00575E73" w:rsidRPr="002C1A8E">
        <w:rPr>
          <w:rFonts w:ascii="Arial" w:hAnsi="Arial" w:cs="Arial"/>
          <w:sz w:val="22"/>
          <w:szCs w:val="22"/>
        </w:rPr>
        <w:t>Chosen Methodology and Justification</w:t>
      </w:r>
      <w:bookmarkEnd w:id="11"/>
    </w:p>
    <w:p w14:paraId="647A881D" w14:textId="3E953C7B" w:rsidR="000330D9" w:rsidRPr="002C1A8E" w:rsidRDefault="000330D9" w:rsidP="00D50C17">
      <w:pPr>
        <w:spacing w:line="360" w:lineRule="auto"/>
        <w:jc w:val="both"/>
        <w:rPr>
          <w:rFonts w:ascii="Arial" w:hAnsi="Arial" w:cs="Arial"/>
          <w:sz w:val="22"/>
          <w:szCs w:val="22"/>
        </w:rPr>
      </w:pPr>
      <w:r w:rsidRPr="002C1A8E">
        <w:rPr>
          <w:rFonts w:ascii="Arial" w:hAnsi="Arial" w:cs="Arial"/>
          <w:sz w:val="22"/>
          <w:szCs w:val="22"/>
        </w:rPr>
        <w:t xml:space="preserve"> I chose method quantitative because </w:t>
      </w:r>
      <w:r w:rsidR="00E66104" w:rsidRPr="002C1A8E">
        <w:rPr>
          <w:rFonts w:ascii="Arial" w:hAnsi="Arial" w:cs="Arial"/>
          <w:sz w:val="22"/>
          <w:szCs w:val="22"/>
        </w:rPr>
        <w:t>it</w:t>
      </w:r>
      <w:r w:rsidRPr="002C1A8E">
        <w:rPr>
          <w:rFonts w:ascii="Arial" w:hAnsi="Arial" w:cs="Arial"/>
          <w:sz w:val="22"/>
          <w:szCs w:val="22"/>
        </w:rPr>
        <w:t xml:space="preserve"> focuses on observables de quantified to describe or explain social phenomena and uses statistics for data analysis clear useful measurable </w:t>
      </w:r>
      <w:r w:rsidR="00E66104" w:rsidRPr="002C1A8E">
        <w:rPr>
          <w:rFonts w:ascii="Arial" w:hAnsi="Arial" w:cs="Arial"/>
          <w:sz w:val="22"/>
          <w:szCs w:val="22"/>
        </w:rPr>
        <w:t>evidence acute</w:t>
      </w:r>
      <w:r w:rsidRPr="002C1A8E">
        <w:rPr>
          <w:rFonts w:ascii="Arial" w:hAnsi="Arial" w:cs="Arial"/>
          <w:sz w:val="22"/>
          <w:szCs w:val="22"/>
        </w:rPr>
        <w:t xml:space="preserve"> leukemia </w:t>
      </w:r>
      <w:r w:rsidR="00680BE1" w:rsidRPr="002C1A8E">
        <w:rPr>
          <w:rFonts w:ascii="Arial" w:hAnsi="Arial" w:cs="Arial"/>
          <w:sz w:val="22"/>
          <w:szCs w:val="22"/>
        </w:rPr>
        <w:t>patients’</w:t>
      </w:r>
      <w:r w:rsidRPr="002C1A8E">
        <w:rPr>
          <w:rFonts w:ascii="Arial" w:hAnsi="Arial" w:cs="Arial"/>
          <w:sz w:val="22"/>
          <w:szCs w:val="22"/>
        </w:rPr>
        <w:t xml:space="preserve"> treatment </w:t>
      </w:r>
      <w:proofErr w:type="gramStart"/>
      <w:r w:rsidRPr="002C1A8E">
        <w:rPr>
          <w:rFonts w:ascii="Arial" w:hAnsi="Arial" w:cs="Arial"/>
          <w:sz w:val="22"/>
          <w:szCs w:val="22"/>
        </w:rPr>
        <w:t>survival  a</w:t>
      </w:r>
      <w:proofErr w:type="gramEnd"/>
      <w:r w:rsidRPr="002C1A8E">
        <w:rPr>
          <w:rFonts w:ascii="Arial" w:hAnsi="Arial" w:cs="Arial"/>
          <w:sz w:val="22"/>
          <w:szCs w:val="22"/>
        </w:rPr>
        <w:t xml:space="preserve"> study measuring survival rates.</w:t>
      </w:r>
    </w:p>
    <w:p w14:paraId="6C1AA0CF" w14:textId="77777777" w:rsidR="00575E73" w:rsidRPr="002C1A8E" w:rsidRDefault="00575E73" w:rsidP="00D50C17">
      <w:pPr>
        <w:spacing w:line="360" w:lineRule="auto"/>
        <w:jc w:val="both"/>
        <w:rPr>
          <w:rFonts w:ascii="Arial" w:hAnsi="Arial" w:cs="Arial"/>
          <w:sz w:val="22"/>
          <w:szCs w:val="22"/>
        </w:rPr>
      </w:pPr>
      <w:bookmarkStart w:id="12" w:name="_Toc225024747"/>
      <w:r w:rsidRPr="002C1A8E">
        <w:rPr>
          <w:rFonts w:ascii="Arial" w:hAnsi="Arial" w:cs="Arial"/>
          <w:sz w:val="22"/>
          <w:szCs w:val="22"/>
        </w:rPr>
        <w:t>Task 4 – Data Collection</w:t>
      </w:r>
      <w:bookmarkEnd w:id="12"/>
      <w:r w:rsidRPr="002C1A8E">
        <w:rPr>
          <w:rFonts w:ascii="Arial" w:hAnsi="Arial" w:cs="Arial"/>
          <w:sz w:val="22"/>
          <w:szCs w:val="22"/>
        </w:rPr>
        <w:t xml:space="preserve">  </w:t>
      </w:r>
    </w:p>
    <w:p w14:paraId="6A786267" w14:textId="5FD2C6CC" w:rsidR="00575E73" w:rsidRPr="002C1A8E" w:rsidRDefault="00432D05" w:rsidP="00D50C17">
      <w:pPr>
        <w:spacing w:line="360" w:lineRule="auto"/>
        <w:jc w:val="both"/>
        <w:rPr>
          <w:rFonts w:ascii="Arial" w:hAnsi="Arial" w:cs="Arial"/>
          <w:sz w:val="22"/>
          <w:szCs w:val="22"/>
        </w:rPr>
      </w:pPr>
      <w:bookmarkStart w:id="13" w:name="_Toc225024748"/>
      <w:r w:rsidRPr="002C1A8E">
        <w:rPr>
          <w:rFonts w:ascii="Arial" w:hAnsi="Arial" w:cs="Arial"/>
          <w:sz w:val="22"/>
          <w:szCs w:val="22"/>
        </w:rPr>
        <w:t xml:space="preserve">4.1 </w:t>
      </w:r>
      <w:r w:rsidR="00575E73" w:rsidRPr="002C1A8E">
        <w:rPr>
          <w:rFonts w:ascii="Arial" w:hAnsi="Arial" w:cs="Arial"/>
          <w:sz w:val="22"/>
          <w:szCs w:val="22"/>
        </w:rPr>
        <w:t>Primary vs Secondary Data</w:t>
      </w:r>
      <w:bookmarkEnd w:id="13"/>
    </w:p>
    <w:p w14:paraId="428D190C" w14:textId="453BD0F6" w:rsidR="00575E73" w:rsidRPr="002C1A8E" w:rsidRDefault="00565751" w:rsidP="00D50C17">
      <w:pPr>
        <w:spacing w:line="360" w:lineRule="auto"/>
        <w:jc w:val="both"/>
        <w:rPr>
          <w:rFonts w:ascii="Arial" w:hAnsi="Arial" w:cs="Arial"/>
          <w:sz w:val="22"/>
          <w:szCs w:val="22"/>
        </w:rPr>
      </w:pPr>
      <w:r w:rsidRPr="002C1A8E">
        <w:rPr>
          <w:rFonts w:ascii="Arial" w:hAnsi="Arial" w:cs="Arial"/>
          <w:sz w:val="22"/>
          <w:szCs w:val="22"/>
        </w:rPr>
        <w:t xml:space="preserve">Primary </w:t>
      </w:r>
      <w:r w:rsidR="002E03D3" w:rsidRPr="002C1A8E">
        <w:rPr>
          <w:rFonts w:ascii="Arial" w:hAnsi="Arial" w:cs="Arial"/>
          <w:sz w:val="22"/>
          <w:szCs w:val="22"/>
        </w:rPr>
        <w:t>Data: is</w:t>
      </w:r>
      <w:r w:rsidRPr="002C1A8E">
        <w:rPr>
          <w:rFonts w:ascii="Arial" w:hAnsi="Arial" w:cs="Arial"/>
          <w:sz w:val="22"/>
          <w:szCs w:val="22"/>
        </w:rPr>
        <w:t xml:space="preserve"> include the data that are collected for the first time and are original and </w:t>
      </w:r>
      <w:bookmarkStart w:id="14" w:name="_Int_Lag2YdsO"/>
      <w:r w:rsidRPr="002C1A8E">
        <w:rPr>
          <w:rFonts w:ascii="Arial" w:hAnsi="Arial" w:cs="Arial"/>
          <w:sz w:val="22"/>
          <w:szCs w:val="22"/>
        </w:rPr>
        <w:t>fresh</w:t>
      </w:r>
      <w:r w:rsidR="00F95E96" w:rsidRPr="002C1A8E">
        <w:rPr>
          <w:rFonts w:ascii="Arial" w:hAnsi="Arial" w:cs="Arial"/>
          <w:sz w:val="22"/>
          <w:szCs w:val="22"/>
        </w:rPr>
        <w:t xml:space="preserve">: </w:t>
      </w:r>
      <w:r w:rsidRPr="002C1A8E">
        <w:rPr>
          <w:rFonts w:ascii="Arial" w:hAnsi="Arial" w:cs="Arial"/>
          <w:sz w:val="22"/>
          <w:szCs w:val="22"/>
        </w:rPr>
        <w:t>e.</w:t>
      </w:r>
      <w:r w:rsidR="00F95E96" w:rsidRPr="002C1A8E">
        <w:rPr>
          <w:rFonts w:ascii="Arial" w:hAnsi="Arial" w:cs="Arial"/>
          <w:sz w:val="22"/>
          <w:szCs w:val="22"/>
        </w:rPr>
        <w:t xml:space="preserve">g. </w:t>
      </w:r>
      <w:bookmarkEnd w:id="14"/>
      <w:r w:rsidR="00F95E96" w:rsidRPr="002C1A8E">
        <w:rPr>
          <w:rFonts w:ascii="Arial" w:hAnsi="Arial" w:cs="Arial"/>
          <w:sz w:val="22"/>
          <w:szCs w:val="22"/>
        </w:rPr>
        <w:t>interviews, surveys.</w:t>
      </w:r>
    </w:p>
    <w:p w14:paraId="56E36FB5" w14:textId="74F12D46" w:rsidR="004428E2" w:rsidRPr="002C1A8E" w:rsidRDefault="00742A21" w:rsidP="00D50C17">
      <w:pPr>
        <w:spacing w:line="360" w:lineRule="auto"/>
        <w:jc w:val="both"/>
        <w:rPr>
          <w:rFonts w:ascii="Arial" w:hAnsi="Arial" w:cs="Arial"/>
          <w:sz w:val="22"/>
          <w:szCs w:val="22"/>
        </w:rPr>
      </w:pPr>
      <w:r w:rsidRPr="002C1A8E">
        <w:rPr>
          <w:rFonts w:ascii="Arial" w:hAnsi="Arial" w:cs="Arial"/>
          <w:sz w:val="22"/>
          <w:szCs w:val="22"/>
        </w:rPr>
        <w:t>Secondary</w:t>
      </w:r>
      <w:r w:rsidR="00565751" w:rsidRPr="002C1A8E">
        <w:rPr>
          <w:rFonts w:ascii="Arial" w:hAnsi="Arial" w:cs="Arial"/>
          <w:sz w:val="22"/>
          <w:szCs w:val="22"/>
        </w:rPr>
        <w:t xml:space="preserve"> Data</w:t>
      </w:r>
      <w:r w:rsidR="002E03D3" w:rsidRPr="002C1A8E">
        <w:rPr>
          <w:rFonts w:ascii="Arial" w:hAnsi="Arial" w:cs="Arial"/>
          <w:sz w:val="22"/>
          <w:szCs w:val="22"/>
        </w:rPr>
        <w:t>:</w:t>
      </w:r>
      <w:r w:rsidR="00680BE1">
        <w:rPr>
          <w:rFonts w:ascii="Arial" w:hAnsi="Arial" w:cs="Arial"/>
          <w:sz w:val="22"/>
          <w:szCs w:val="22"/>
        </w:rPr>
        <w:t xml:space="preserve"> it </w:t>
      </w:r>
      <w:r w:rsidR="00F95E96" w:rsidRPr="002C1A8E">
        <w:rPr>
          <w:rFonts w:ascii="Arial" w:hAnsi="Arial" w:cs="Arial"/>
          <w:sz w:val="22"/>
          <w:szCs w:val="22"/>
        </w:rPr>
        <w:t>collected</w:t>
      </w:r>
      <w:r w:rsidR="00565751" w:rsidRPr="002C1A8E">
        <w:rPr>
          <w:rFonts w:ascii="Arial" w:hAnsi="Arial" w:cs="Arial"/>
          <w:sz w:val="22"/>
          <w:szCs w:val="22"/>
        </w:rPr>
        <w:t xml:space="preserve"> from </w:t>
      </w:r>
      <w:r w:rsidR="00F95E96" w:rsidRPr="002C1A8E">
        <w:rPr>
          <w:rFonts w:ascii="Arial" w:hAnsi="Arial" w:cs="Arial"/>
          <w:sz w:val="22"/>
          <w:szCs w:val="22"/>
        </w:rPr>
        <w:t>reliable</w:t>
      </w:r>
      <w:r w:rsidR="00565751" w:rsidRPr="002C1A8E">
        <w:rPr>
          <w:rFonts w:ascii="Arial" w:hAnsi="Arial" w:cs="Arial"/>
          <w:sz w:val="22"/>
          <w:szCs w:val="22"/>
        </w:rPr>
        <w:t xml:space="preserve"> sources:</w:t>
      </w:r>
      <w:r w:rsidR="00F95E96" w:rsidRPr="002C1A8E">
        <w:rPr>
          <w:rFonts w:ascii="Arial" w:hAnsi="Arial" w:cs="Arial"/>
          <w:sz w:val="22"/>
          <w:szCs w:val="22"/>
        </w:rPr>
        <w:t xml:space="preserve"> e.g. Journal,</w:t>
      </w:r>
      <w:r w:rsidR="00680BE1">
        <w:rPr>
          <w:rFonts w:ascii="Arial" w:hAnsi="Arial" w:cs="Arial"/>
          <w:sz w:val="22"/>
          <w:szCs w:val="22"/>
        </w:rPr>
        <w:t xml:space="preserve"> </w:t>
      </w:r>
      <w:r w:rsidR="00680BE1" w:rsidRPr="002C1A8E">
        <w:rPr>
          <w:rFonts w:ascii="Arial" w:hAnsi="Arial" w:cs="Arial"/>
          <w:sz w:val="22"/>
          <w:szCs w:val="22"/>
        </w:rPr>
        <w:t>books, website.</w:t>
      </w:r>
    </w:p>
    <w:p w14:paraId="4482530B" w14:textId="77777777" w:rsidR="00AA7F5A" w:rsidRDefault="004428E2" w:rsidP="00D50C17">
      <w:pPr>
        <w:spacing w:line="360" w:lineRule="auto"/>
        <w:jc w:val="both"/>
        <w:rPr>
          <w:rFonts w:ascii="Arial" w:hAnsi="Arial" w:cs="Arial"/>
          <w:color w:val="000000"/>
          <w:spacing w:val="5"/>
          <w:sz w:val="22"/>
          <w:szCs w:val="22"/>
        </w:rPr>
      </w:pPr>
      <w:r w:rsidRPr="002C1A8E">
        <w:rPr>
          <w:rFonts w:ascii="Arial" w:hAnsi="Arial" w:cs="Arial"/>
          <w:color w:val="000000"/>
          <w:spacing w:val="5"/>
          <w:sz w:val="22"/>
          <w:szCs w:val="22"/>
        </w:rPr>
        <w:t>There are around 230 acute lymphoblastic leukaemia deaths in the UK every year, that's around 4 every week (2022-2024).</w:t>
      </w:r>
    </w:p>
    <w:p w14:paraId="0509C53C" w14:textId="7B353D6C" w:rsidR="004428E2" w:rsidRPr="002C1A8E" w:rsidRDefault="004428E2" w:rsidP="00D50C17">
      <w:pPr>
        <w:spacing w:line="360" w:lineRule="auto"/>
        <w:jc w:val="both"/>
        <w:rPr>
          <w:rFonts w:ascii="Arial" w:hAnsi="Arial" w:cs="Arial"/>
          <w:color w:val="000000"/>
          <w:spacing w:val="5"/>
          <w:sz w:val="22"/>
          <w:szCs w:val="22"/>
        </w:rPr>
      </w:pPr>
      <w:r w:rsidRPr="002C1A8E">
        <w:rPr>
          <w:rFonts w:ascii="Arial" w:hAnsi="Arial" w:cs="Arial"/>
          <w:color w:val="000000"/>
          <w:spacing w:val="5"/>
          <w:sz w:val="22"/>
          <w:szCs w:val="22"/>
        </w:rPr>
        <w:t>Mortality rates for acute lymphoblastic leukaemia in the UK are highest in people aged 85 to 89 (2022-2024).</w:t>
      </w:r>
    </w:p>
    <w:p w14:paraId="55DBBEDA" w14:textId="2914C2A1" w:rsidR="00565751" w:rsidRPr="002C1A8E" w:rsidRDefault="004428E2" w:rsidP="00D50C17">
      <w:pPr>
        <w:spacing w:line="360" w:lineRule="auto"/>
        <w:jc w:val="both"/>
        <w:rPr>
          <w:rFonts w:ascii="Arial" w:hAnsi="Arial" w:cs="Arial"/>
          <w:color w:val="000000"/>
          <w:spacing w:val="5"/>
          <w:sz w:val="22"/>
          <w:szCs w:val="22"/>
        </w:rPr>
      </w:pPr>
      <w:r w:rsidRPr="002C1A8E">
        <w:rPr>
          <w:rFonts w:ascii="Arial" w:hAnsi="Arial" w:cs="Arial"/>
          <w:color w:val="000000"/>
          <w:spacing w:val="5"/>
          <w:sz w:val="22"/>
          <w:szCs w:val="22"/>
        </w:rPr>
        <w:t>Each year more than a quarter (27%) of acute lymphoblastic leukaemia deaths in the UK are in people aged 75 and over (2022-2024).</w:t>
      </w:r>
    </w:p>
    <w:p w14:paraId="3A06C012" w14:textId="77777777" w:rsidR="00575E73" w:rsidRPr="002C1A8E" w:rsidRDefault="00432D05" w:rsidP="00D50C17">
      <w:pPr>
        <w:spacing w:line="360" w:lineRule="auto"/>
        <w:jc w:val="both"/>
        <w:rPr>
          <w:rFonts w:ascii="Arial" w:hAnsi="Arial" w:cs="Arial"/>
          <w:sz w:val="22"/>
          <w:szCs w:val="22"/>
        </w:rPr>
      </w:pPr>
      <w:bookmarkStart w:id="15" w:name="_Toc225024749"/>
      <w:r w:rsidRPr="002C1A8E">
        <w:rPr>
          <w:rFonts w:ascii="Arial" w:hAnsi="Arial" w:cs="Arial"/>
          <w:sz w:val="22"/>
          <w:szCs w:val="22"/>
        </w:rPr>
        <w:t xml:space="preserve">4.2 </w:t>
      </w:r>
      <w:r w:rsidR="00575E73" w:rsidRPr="002C1A8E">
        <w:rPr>
          <w:rFonts w:ascii="Arial" w:hAnsi="Arial" w:cs="Arial"/>
          <w:sz w:val="22"/>
          <w:szCs w:val="22"/>
        </w:rPr>
        <w:t>Chosen Data Type and Justification</w:t>
      </w:r>
      <w:bookmarkEnd w:id="15"/>
    </w:p>
    <w:p w14:paraId="481DF576" w14:textId="622DE3F7" w:rsidR="000330D9" w:rsidRPr="002C1A8E" w:rsidRDefault="00777C1F" w:rsidP="00D50C17">
      <w:pPr>
        <w:spacing w:line="360" w:lineRule="auto"/>
        <w:jc w:val="both"/>
        <w:rPr>
          <w:rFonts w:ascii="Arial" w:hAnsi="Arial" w:cs="Arial"/>
          <w:sz w:val="22"/>
          <w:szCs w:val="22"/>
        </w:rPr>
      </w:pPr>
      <w:r w:rsidRPr="002C1A8E">
        <w:rPr>
          <w:rFonts w:ascii="Arial" w:hAnsi="Arial" w:cs="Arial"/>
          <w:sz w:val="22"/>
          <w:szCs w:val="22"/>
        </w:rPr>
        <w:t xml:space="preserve">I chose </w:t>
      </w:r>
      <w:r w:rsidR="009904BC" w:rsidRPr="002C1A8E">
        <w:rPr>
          <w:rFonts w:ascii="Arial" w:hAnsi="Arial" w:cs="Arial"/>
          <w:sz w:val="22"/>
          <w:szCs w:val="22"/>
        </w:rPr>
        <w:t>secondary</w:t>
      </w:r>
      <w:r w:rsidRPr="002C1A8E">
        <w:rPr>
          <w:rFonts w:ascii="Arial" w:hAnsi="Arial" w:cs="Arial"/>
          <w:sz w:val="22"/>
          <w:szCs w:val="22"/>
        </w:rPr>
        <w:t xml:space="preserve"> data </w:t>
      </w:r>
      <w:r w:rsidR="009904BC" w:rsidRPr="002C1A8E">
        <w:rPr>
          <w:rFonts w:ascii="Arial" w:hAnsi="Arial" w:cs="Arial"/>
          <w:sz w:val="22"/>
          <w:szCs w:val="22"/>
        </w:rPr>
        <w:t>because</w:t>
      </w:r>
      <w:r w:rsidRPr="002C1A8E">
        <w:rPr>
          <w:rFonts w:ascii="Arial" w:hAnsi="Arial" w:cs="Arial"/>
          <w:sz w:val="22"/>
          <w:szCs w:val="22"/>
        </w:rPr>
        <w:t xml:space="preserve"> it obtained from </w:t>
      </w:r>
      <w:r w:rsidR="003D780D" w:rsidRPr="002C1A8E">
        <w:rPr>
          <w:rFonts w:ascii="Arial" w:hAnsi="Arial" w:cs="Arial"/>
          <w:sz w:val="22"/>
          <w:szCs w:val="22"/>
        </w:rPr>
        <w:t>different institutions</w:t>
      </w:r>
      <w:r w:rsidR="009904BC" w:rsidRPr="002C1A8E">
        <w:rPr>
          <w:rFonts w:ascii="Arial" w:hAnsi="Arial" w:cs="Arial"/>
          <w:sz w:val="22"/>
          <w:szCs w:val="22"/>
        </w:rPr>
        <w:t>, documents</w:t>
      </w:r>
      <w:r w:rsidRPr="002C1A8E">
        <w:rPr>
          <w:rFonts w:ascii="Arial" w:hAnsi="Arial" w:cs="Arial"/>
          <w:sz w:val="22"/>
          <w:szCs w:val="22"/>
        </w:rPr>
        <w:t xml:space="preserve"> based on systematic data analysis</w:t>
      </w:r>
      <w:r w:rsidR="00396B26" w:rsidRPr="002C1A8E">
        <w:rPr>
          <w:rFonts w:ascii="Arial" w:hAnsi="Arial" w:cs="Arial"/>
          <w:sz w:val="22"/>
          <w:szCs w:val="22"/>
        </w:rPr>
        <w:t xml:space="preserve"> numerical</w:t>
      </w:r>
      <w:r w:rsidR="009904BC" w:rsidRPr="002C1A8E">
        <w:rPr>
          <w:rFonts w:ascii="Arial" w:hAnsi="Arial" w:cs="Arial"/>
          <w:sz w:val="22"/>
          <w:szCs w:val="22"/>
        </w:rPr>
        <w:t xml:space="preserve"> it was designed for a different question.</w:t>
      </w:r>
    </w:p>
    <w:p w14:paraId="18B1B424" w14:textId="2AD8DF8C" w:rsidR="00575E73" w:rsidRPr="002C1A8E" w:rsidRDefault="00575E73" w:rsidP="00D50C17">
      <w:pPr>
        <w:spacing w:line="360" w:lineRule="auto"/>
        <w:jc w:val="both"/>
        <w:rPr>
          <w:rFonts w:ascii="Arial" w:hAnsi="Arial" w:cs="Arial"/>
          <w:color w:val="1A1A1A"/>
          <w:sz w:val="22"/>
          <w:szCs w:val="22"/>
        </w:rPr>
      </w:pPr>
      <w:bookmarkStart w:id="16" w:name="_Toc225024750"/>
      <w:r w:rsidRPr="002C1A8E">
        <w:rPr>
          <w:rFonts w:ascii="Arial" w:hAnsi="Arial" w:cs="Arial"/>
          <w:sz w:val="22"/>
          <w:szCs w:val="22"/>
        </w:rPr>
        <w:t>Advantages and Challenges</w:t>
      </w:r>
      <w:bookmarkEnd w:id="16"/>
    </w:p>
    <w:p w14:paraId="1A02FC66" w14:textId="4EE798D8" w:rsidR="00565751" w:rsidRPr="002C1A8E" w:rsidRDefault="003A6CB3" w:rsidP="00D50C17">
      <w:pPr>
        <w:spacing w:line="360" w:lineRule="auto"/>
        <w:jc w:val="both"/>
        <w:rPr>
          <w:rFonts w:ascii="Arial" w:hAnsi="Arial" w:cs="Arial"/>
          <w:color w:val="1A1A1A"/>
          <w:sz w:val="22"/>
          <w:szCs w:val="22"/>
        </w:rPr>
      </w:pPr>
      <w:r>
        <w:rPr>
          <w:rFonts w:ascii="Arial" w:hAnsi="Arial" w:cs="Arial"/>
          <w:color w:val="1A1A1A"/>
          <w:sz w:val="22"/>
          <w:szCs w:val="22"/>
        </w:rPr>
        <w:t>A</w:t>
      </w:r>
      <w:r w:rsidR="00F90F71">
        <w:rPr>
          <w:rFonts w:ascii="Arial" w:hAnsi="Arial" w:cs="Arial"/>
          <w:color w:val="1A1A1A"/>
          <w:sz w:val="22"/>
          <w:szCs w:val="22"/>
        </w:rPr>
        <w:t>dvantage is</w:t>
      </w:r>
      <w:r w:rsidR="00A933E5">
        <w:rPr>
          <w:rFonts w:ascii="Arial" w:hAnsi="Arial" w:cs="Arial"/>
          <w:color w:val="1A1A1A"/>
          <w:sz w:val="22"/>
          <w:szCs w:val="22"/>
        </w:rPr>
        <w:t xml:space="preserve"> data provides </w:t>
      </w:r>
      <w:r w:rsidR="00E97431">
        <w:rPr>
          <w:rFonts w:ascii="Arial" w:hAnsi="Arial" w:cs="Arial"/>
          <w:color w:val="1A1A1A"/>
          <w:sz w:val="22"/>
          <w:szCs w:val="22"/>
        </w:rPr>
        <w:t>a time and easy to obtain source</w:t>
      </w:r>
      <w:r w:rsidR="00652544">
        <w:rPr>
          <w:rFonts w:ascii="Arial" w:hAnsi="Arial" w:cs="Arial"/>
          <w:color w:val="1A1A1A"/>
          <w:sz w:val="22"/>
          <w:szCs w:val="22"/>
        </w:rPr>
        <w:t xml:space="preserve"> of information</w:t>
      </w:r>
      <w:r w:rsidR="00307647">
        <w:rPr>
          <w:rFonts w:ascii="Arial" w:hAnsi="Arial" w:cs="Arial"/>
          <w:color w:val="1A1A1A"/>
          <w:sz w:val="22"/>
          <w:szCs w:val="22"/>
        </w:rPr>
        <w:t xml:space="preserve"> </w:t>
      </w:r>
      <w:r w:rsidR="00565751" w:rsidRPr="002C1A8E">
        <w:rPr>
          <w:rFonts w:ascii="Arial" w:hAnsi="Arial" w:cs="Arial"/>
          <w:color w:val="1A1A1A"/>
          <w:sz w:val="22"/>
          <w:szCs w:val="22"/>
        </w:rPr>
        <w:t xml:space="preserve">reliable </w:t>
      </w:r>
      <w:r w:rsidR="008D2047" w:rsidRPr="002C1A8E">
        <w:rPr>
          <w:rFonts w:ascii="Arial" w:hAnsi="Arial" w:cs="Arial"/>
          <w:color w:val="1A1A1A"/>
          <w:sz w:val="22"/>
          <w:szCs w:val="22"/>
        </w:rPr>
        <w:t xml:space="preserve">and </w:t>
      </w:r>
      <w:r w:rsidR="009E65E1">
        <w:rPr>
          <w:rFonts w:ascii="Arial" w:hAnsi="Arial" w:cs="Arial"/>
          <w:color w:val="1A1A1A"/>
          <w:sz w:val="22"/>
          <w:szCs w:val="22"/>
        </w:rPr>
        <w:t>credible</w:t>
      </w:r>
      <w:r w:rsidR="002D1C88">
        <w:rPr>
          <w:rFonts w:ascii="Arial" w:hAnsi="Arial" w:cs="Arial"/>
          <w:color w:val="1A1A1A"/>
          <w:sz w:val="22"/>
          <w:szCs w:val="22"/>
        </w:rPr>
        <w:t xml:space="preserve"> that the m</w:t>
      </w:r>
      <w:r w:rsidR="00933C67">
        <w:rPr>
          <w:rFonts w:ascii="Arial" w:hAnsi="Arial" w:cs="Arial"/>
          <w:color w:val="1A1A1A"/>
          <w:sz w:val="22"/>
          <w:szCs w:val="22"/>
        </w:rPr>
        <w:t>ean of us</w:t>
      </w:r>
      <w:r w:rsidR="004B4962">
        <w:rPr>
          <w:rFonts w:ascii="Arial" w:hAnsi="Arial" w:cs="Arial"/>
          <w:color w:val="1A1A1A"/>
          <w:sz w:val="22"/>
          <w:szCs w:val="22"/>
        </w:rPr>
        <w:t>ing</w:t>
      </w:r>
      <w:r w:rsidR="00CF4BFB">
        <w:rPr>
          <w:rFonts w:ascii="Arial" w:hAnsi="Arial" w:cs="Arial"/>
          <w:color w:val="1A1A1A"/>
          <w:sz w:val="22"/>
          <w:szCs w:val="22"/>
        </w:rPr>
        <w:t xml:space="preserve"> secondary data is how it can influence</w:t>
      </w:r>
      <w:r w:rsidR="00DC0CCE">
        <w:rPr>
          <w:rFonts w:ascii="Arial" w:hAnsi="Arial" w:cs="Arial"/>
          <w:color w:val="1A1A1A"/>
          <w:sz w:val="22"/>
          <w:szCs w:val="22"/>
        </w:rPr>
        <w:t xml:space="preserve"> </w:t>
      </w:r>
      <w:r w:rsidR="00FC69E3">
        <w:rPr>
          <w:rFonts w:ascii="Arial" w:hAnsi="Arial" w:cs="Arial"/>
          <w:color w:val="1A1A1A"/>
          <w:sz w:val="22"/>
          <w:szCs w:val="22"/>
        </w:rPr>
        <w:t>and re-shape</w:t>
      </w:r>
      <w:r w:rsidR="00E80335">
        <w:rPr>
          <w:rFonts w:ascii="Arial" w:hAnsi="Arial" w:cs="Arial"/>
          <w:color w:val="1A1A1A"/>
          <w:sz w:val="22"/>
          <w:szCs w:val="22"/>
        </w:rPr>
        <w:t xml:space="preserve"> issue</w:t>
      </w:r>
      <w:r w:rsidR="00FF5F71">
        <w:rPr>
          <w:rFonts w:ascii="Arial" w:hAnsi="Arial" w:cs="Arial"/>
          <w:color w:val="1A1A1A"/>
          <w:sz w:val="22"/>
          <w:szCs w:val="22"/>
        </w:rPr>
        <w:t>.</w:t>
      </w:r>
    </w:p>
    <w:p w14:paraId="634CEF13" w14:textId="79114F6A" w:rsidR="00E0419A" w:rsidRPr="002C1A8E" w:rsidRDefault="00AC15E6" w:rsidP="00D50C17">
      <w:pPr>
        <w:spacing w:line="360" w:lineRule="auto"/>
        <w:jc w:val="both"/>
        <w:rPr>
          <w:rFonts w:ascii="Arial" w:hAnsi="Arial" w:cs="Arial"/>
          <w:color w:val="1A1A1A"/>
          <w:sz w:val="22"/>
          <w:szCs w:val="22"/>
        </w:rPr>
      </w:pPr>
      <w:r w:rsidRPr="002C1A8E">
        <w:rPr>
          <w:rFonts w:ascii="Arial" w:hAnsi="Arial" w:cs="Arial"/>
          <w:color w:val="1A1A1A"/>
          <w:sz w:val="22"/>
          <w:szCs w:val="22"/>
        </w:rPr>
        <w:t>C</w:t>
      </w:r>
      <w:r w:rsidR="00565751" w:rsidRPr="002C1A8E">
        <w:rPr>
          <w:rFonts w:ascii="Arial" w:hAnsi="Arial" w:cs="Arial"/>
          <w:color w:val="1A1A1A"/>
          <w:sz w:val="22"/>
          <w:szCs w:val="22"/>
        </w:rPr>
        <w:t>hallenges</w:t>
      </w:r>
      <w:r w:rsidR="008B60F1">
        <w:rPr>
          <w:rFonts w:ascii="Arial" w:hAnsi="Arial" w:cs="Arial"/>
          <w:color w:val="1A1A1A"/>
          <w:sz w:val="22"/>
          <w:szCs w:val="22"/>
        </w:rPr>
        <w:t xml:space="preserve"> i</w:t>
      </w:r>
      <w:r w:rsidR="00701D85">
        <w:rPr>
          <w:rFonts w:ascii="Arial" w:hAnsi="Arial" w:cs="Arial"/>
          <w:color w:val="1A1A1A"/>
          <w:sz w:val="22"/>
          <w:szCs w:val="22"/>
        </w:rPr>
        <w:t>t</w:t>
      </w:r>
      <w:r w:rsidR="00CC3681">
        <w:rPr>
          <w:rFonts w:ascii="Arial" w:hAnsi="Arial" w:cs="Arial"/>
          <w:color w:val="1A1A1A"/>
          <w:sz w:val="22"/>
          <w:szCs w:val="22"/>
        </w:rPr>
        <w:t xml:space="preserve"> </w:t>
      </w:r>
      <w:r w:rsidR="00744563">
        <w:rPr>
          <w:rFonts w:ascii="Arial" w:hAnsi="Arial" w:cs="Arial"/>
          <w:color w:val="1A1A1A"/>
          <w:sz w:val="22"/>
          <w:szCs w:val="22"/>
        </w:rPr>
        <w:t>does not participate</w:t>
      </w:r>
      <w:r w:rsidR="00CC3681">
        <w:rPr>
          <w:rFonts w:ascii="Arial" w:hAnsi="Arial" w:cs="Arial"/>
          <w:color w:val="1A1A1A"/>
          <w:sz w:val="22"/>
          <w:szCs w:val="22"/>
        </w:rPr>
        <w:t xml:space="preserve"> in the collection</w:t>
      </w:r>
      <w:r w:rsidR="00892513">
        <w:rPr>
          <w:rFonts w:ascii="Arial" w:hAnsi="Arial" w:cs="Arial"/>
          <w:color w:val="1A1A1A"/>
          <w:sz w:val="22"/>
          <w:szCs w:val="22"/>
        </w:rPr>
        <w:t xml:space="preserve"> data</w:t>
      </w:r>
      <w:r w:rsidR="00F522C2">
        <w:rPr>
          <w:rFonts w:ascii="Arial" w:hAnsi="Arial" w:cs="Arial"/>
          <w:color w:val="1A1A1A"/>
          <w:sz w:val="22"/>
          <w:szCs w:val="22"/>
        </w:rPr>
        <w:t xml:space="preserve"> and that it was collec</w:t>
      </w:r>
      <w:r w:rsidR="00865E3C">
        <w:rPr>
          <w:rFonts w:ascii="Arial" w:hAnsi="Arial" w:cs="Arial"/>
          <w:color w:val="1A1A1A"/>
          <w:sz w:val="22"/>
          <w:szCs w:val="22"/>
        </w:rPr>
        <w:t>ted by someone else</w:t>
      </w:r>
      <w:r w:rsidR="000D0B1E">
        <w:rPr>
          <w:rFonts w:ascii="Arial" w:hAnsi="Arial" w:cs="Arial"/>
          <w:color w:val="1A1A1A"/>
          <w:sz w:val="22"/>
          <w:szCs w:val="22"/>
        </w:rPr>
        <w:t>.</w:t>
      </w:r>
    </w:p>
    <w:p w14:paraId="0DA2E661" w14:textId="787145EE" w:rsidR="00E926C2" w:rsidRPr="002C1A8E" w:rsidRDefault="00565751" w:rsidP="00D50C17">
      <w:pPr>
        <w:spacing w:line="360" w:lineRule="auto"/>
        <w:jc w:val="both"/>
        <w:rPr>
          <w:rFonts w:ascii="Arial" w:hAnsi="Arial" w:cs="Arial"/>
          <w:color w:val="1A1A1A"/>
          <w:sz w:val="22"/>
          <w:szCs w:val="22"/>
        </w:rPr>
      </w:pPr>
      <w:r w:rsidRPr="002C1A8E">
        <w:rPr>
          <w:rFonts w:ascii="Arial" w:hAnsi="Arial" w:cs="Arial"/>
          <w:color w:val="1A1A1A"/>
          <w:sz w:val="22"/>
          <w:szCs w:val="22"/>
        </w:rPr>
        <w:t xml:space="preserve"> limited focus on </w:t>
      </w:r>
      <w:r w:rsidR="00AC15E6" w:rsidRPr="002C1A8E">
        <w:rPr>
          <w:rFonts w:ascii="Arial" w:hAnsi="Arial" w:cs="Arial"/>
          <w:color w:val="1A1A1A"/>
          <w:sz w:val="22"/>
          <w:szCs w:val="22"/>
        </w:rPr>
        <w:t>individual experiences</w:t>
      </w:r>
      <w:r w:rsidR="009904BC" w:rsidRPr="002C1A8E">
        <w:rPr>
          <w:rFonts w:ascii="Arial" w:hAnsi="Arial" w:cs="Arial"/>
          <w:color w:val="1A1A1A"/>
          <w:sz w:val="22"/>
          <w:szCs w:val="22"/>
        </w:rPr>
        <w:t>.</w:t>
      </w:r>
      <w:bookmarkStart w:id="17" w:name="_Toc225024751"/>
    </w:p>
    <w:p w14:paraId="0B8AE070" w14:textId="1C233487" w:rsidR="00575E73" w:rsidRPr="002C1A8E" w:rsidRDefault="00575E73" w:rsidP="00D50C17">
      <w:pPr>
        <w:spacing w:line="360" w:lineRule="auto"/>
        <w:jc w:val="both"/>
        <w:rPr>
          <w:rFonts w:ascii="Arial" w:hAnsi="Arial" w:cs="Arial"/>
          <w:sz w:val="22"/>
          <w:szCs w:val="22"/>
        </w:rPr>
      </w:pPr>
      <w:r w:rsidRPr="002C1A8E">
        <w:rPr>
          <w:rFonts w:ascii="Arial" w:hAnsi="Arial" w:cs="Arial"/>
          <w:sz w:val="22"/>
          <w:szCs w:val="22"/>
        </w:rPr>
        <w:t>Conclusion</w:t>
      </w:r>
      <w:bookmarkEnd w:id="17"/>
      <w:r w:rsidRPr="002C1A8E">
        <w:rPr>
          <w:rFonts w:ascii="Arial" w:hAnsi="Arial" w:cs="Arial"/>
          <w:sz w:val="22"/>
          <w:szCs w:val="22"/>
        </w:rPr>
        <w:t xml:space="preserve">  </w:t>
      </w:r>
    </w:p>
    <w:p w14:paraId="09A9B08D" w14:textId="16E6AEBF" w:rsidR="00575E73" w:rsidRPr="00744563" w:rsidRDefault="00565751" w:rsidP="00D50C17">
      <w:pPr>
        <w:spacing w:line="360" w:lineRule="auto"/>
        <w:jc w:val="both"/>
        <w:rPr>
          <w:rFonts w:ascii="Arial" w:hAnsi="Arial" w:cs="Arial"/>
          <w:color w:val="1B1B1B"/>
          <w:sz w:val="22"/>
          <w:szCs w:val="22"/>
        </w:rPr>
      </w:pPr>
      <w:r w:rsidRPr="002C1A8E">
        <w:rPr>
          <w:rFonts w:ascii="Arial" w:hAnsi="Arial" w:cs="Arial"/>
          <w:color w:val="1B1B1B"/>
          <w:sz w:val="22"/>
          <w:szCs w:val="22"/>
        </w:rPr>
        <w:lastRenderedPageBreak/>
        <w:t xml:space="preserve">Acute </w:t>
      </w:r>
      <w:r w:rsidR="00744563" w:rsidRPr="002C1A8E">
        <w:rPr>
          <w:rFonts w:ascii="Arial" w:hAnsi="Arial" w:cs="Arial"/>
          <w:color w:val="1B1B1B"/>
          <w:sz w:val="22"/>
          <w:szCs w:val="22"/>
        </w:rPr>
        <w:t>leukaemia’s</w:t>
      </w:r>
      <w:r w:rsidRPr="002C1A8E">
        <w:rPr>
          <w:rFonts w:ascii="Arial" w:hAnsi="Arial" w:cs="Arial"/>
          <w:color w:val="1B1B1B"/>
          <w:sz w:val="22"/>
          <w:szCs w:val="22"/>
        </w:rPr>
        <w:t xml:space="preserve"> account for a significant portion of malignant disorders. These malignancies occur universally, albeit with different rates in various areas of the world, and affect all age groups, including children. </w:t>
      </w:r>
      <w:proofErr w:type="gramStart"/>
      <w:r w:rsidRPr="002C1A8E">
        <w:rPr>
          <w:rFonts w:ascii="Arial" w:hAnsi="Arial" w:cs="Arial"/>
          <w:color w:val="1B1B1B"/>
          <w:sz w:val="22"/>
          <w:szCs w:val="22"/>
        </w:rPr>
        <w:t>it</w:t>
      </w:r>
      <w:proofErr w:type="gramEnd"/>
      <w:r w:rsidRPr="002C1A8E">
        <w:rPr>
          <w:rFonts w:ascii="Arial" w:hAnsi="Arial" w:cs="Arial"/>
          <w:color w:val="1B1B1B"/>
          <w:sz w:val="22"/>
          <w:szCs w:val="22"/>
        </w:rPr>
        <w:t xml:space="preserve"> significant causative factors for the development of acute </w:t>
      </w:r>
      <w:r w:rsidR="00744563" w:rsidRPr="002C1A8E">
        <w:rPr>
          <w:rFonts w:ascii="Arial" w:hAnsi="Arial" w:cs="Arial"/>
          <w:color w:val="1B1B1B"/>
          <w:sz w:val="22"/>
          <w:szCs w:val="22"/>
        </w:rPr>
        <w:t>leukaemia’s</w:t>
      </w:r>
      <w:r w:rsidRPr="002C1A8E">
        <w:rPr>
          <w:rFonts w:ascii="Arial" w:hAnsi="Arial" w:cs="Arial"/>
          <w:color w:val="1B1B1B"/>
          <w:sz w:val="22"/>
          <w:szCs w:val="22"/>
        </w:rPr>
        <w:t xml:space="preserve"> </w:t>
      </w:r>
      <w:proofErr w:type="gramStart"/>
      <w:r w:rsidRPr="002C1A8E">
        <w:rPr>
          <w:rFonts w:ascii="Arial" w:hAnsi="Arial" w:cs="Arial"/>
          <w:color w:val="1B1B1B"/>
          <w:sz w:val="22"/>
          <w:szCs w:val="22"/>
        </w:rPr>
        <w:t>has</w:t>
      </w:r>
      <w:proofErr w:type="gramEnd"/>
      <w:r w:rsidRPr="002C1A8E">
        <w:rPr>
          <w:rFonts w:ascii="Arial" w:hAnsi="Arial" w:cs="Arial"/>
          <w:color w:val="1B1B1B"/>
          <w:sz w:val="22"/>
          <w:szCs w:val="22"/>
        </w:rPr>
        <w:t xml:space="preserve"> been reported. Recent advances in genetic and epigenetics provide indications for their involvement in leukemogenesis in acute </w:t>
      </w:r>
      <w:r w:rsidR="00744563" w:rsidRPr="002C1A8E">
        <w:rPr>
          <w:rFonts w:ascii="Arial" w:hAnsi="Arial" w:cs="Arial"/>
          <w:color w:val="1B1B1B"/>
          <w:sz w:val="22"/>
          <w:szCs w:val="22"/>
        </w:rPr>
        <w:t>leukaemia’s</w:t>
      </w:r>
      <w:r w:rsidRPr="002C1A8E">
        <w:rPr>
          <w:rFonts w:ascii="Arial" w:hAnsi="Arial" w:cs="Arial"/>
          <w:color w:val="1B1B1B"/>
          <w:sz w:val="22"/>
          <w:szCs w:val="22"/>
        </w:rPr>
        <w:t xml:space="preserve">. A recent finding of an antibody to a mycovirus containing </w:t>
      </w:r>
      <w:r w:rsidRPr="002C1A8E">
        <w:rPr>
          <w:rFonts w:ascii="Arial" w:hAnsi="Arial" w:cs="Arial"/>
          <w:i/>
          <w:iCs/>
          <w:color w:val="1B1B1B"/>
          <w:sz w:val="22"/>
          <w:szCs w:val="22"/>
        </w:rPr>
        <w:t>Aspergillus</w:t>
      </w:r>
      <w:r w:rsidRPr="002C1A8E">
        <w:rPr>
          <w:rFonts w:ascii="Arial" w:hAnsi="Arial" w:cs="Arial"/>
          <w:color w:val="1B1B1B"/>
          <w:sz w:val="22"/>
          <w:szCs w:val="22"/>
        </w:rPr>
        <w:t xml:space="preserve"> flavus in patients with ALL in full remission and re-development of genetic and cell surface phenotypes, characteristic of ALL, upon exposure of PBMN cells from these patients, and not normal controls, to the products of this organism, may provide a new venue for research in leukemogenesis.</w:t>
      </w:r>
    </w:p>
    <w:p w14:paraId="293D16E4" w14:textId="47D95A56" w:rsidR="00575E73" w:rsidRPr="002C1A8E" w:rsidRDefault="00575E73" w:rsidP="00D50C17">
      <w:pPr>
        <w:spacing w:line="360" w:lineRule="auto"/>
        <w:jc w:val="both"/>
        <w:rPr>
          <w:rFonts w:ascii="Arial" w:hAnsi="Arial" w:cs="Arial"/>
          <w:sz w:val="22"/>
          <w:szCs w:val="22"/>
        </w:rPr>
      </w:pPr>
      <w:bookmarkStart w:id="18" w:name="_Toc225024752"/>
      <w:r w:rsidRPr="002C1A8E">
        <w:rPr>
          <w:rFonts w:ascii="Arial" w:hAnsi="Arial" w:cs="Arial"/>
          <w:sz w:val="22"/>
          <w:szCs w:val="22"/>
        </w:rPr>
        <w:t>Reference List</w:t>
      </w:r>
      <w:bookmarkEnd w:id="18"/>
    </w:p>
    <w:p w14:paraId="695B457A" w14:textId="77777777" w:rsidR="00742A21" w:rsidRPr="002C1A8E" w:rsidRDefault="00742A21" w:rsidP="00D50C17">
      <w:pPr>
        <w:spacing w:line="360" w:lineRule="auto"/>
        <w:jc w:val="both"/>
        <w:rPr>
          <w:rFonts w:ascii="Arial" w:hAnsi="Arial" w:cs="Arial"/>
          <w:sz w:val="22"/>
          <w:szCs w:val="22"/>
        </w:rPr>
      </w:pPr>
      <w:hyperlink r:id="rId15">
        <w:r w:rsidRPr="002C1A8E">
          <w:rPr>
            <w:rStyle w:val="Hyperlink"/>
            <w:rFonts w:ascii="Arial" w:eastAsia="Arial" w:hAnsi="Arial" w:cs="Arial"/>
            <w:sz w:val="22"/>
            <w:szCs w:val="22"/>
          </w:rPr>
          <w:t>Acute lymphoblastic leukaemia (ALL) in teenagers and young adults | CCLG - The Children &amp; Young People's Cancer Association</w:t>
        </w:r>
      </w:hyperlink>
    </w:p>
    <w:p w14:paraId="46D6A5EF" w14:textId="2406D595" w:rsidR="00AC15E6" w:rsidRPr="002C1A8E" w:rsidRDefault="00AC15E6" w:rsidP="00D50C17">
      <w:pPr>
        <w:spacing w:line="360" w:lineRule="auto"/>
        <w:jc w:val="both"/>
        <w:rPr>
          <w:rFonts w:ascii="Arial" w:hAnsi="Arial" w:cs="Arial"/>
          <w:sz w:val="22"/>
          <w:szCs w:val="22"/>
        </w:rPr>
      </w:pPr>
      <w:hyperlink r:id="rId16" w:history="1">
        <w:r w:rsidRPr="002C1A8E">
          <w:rPr>
            <w:rFonts w:ascii="Arial" w:hAnsi="Arial" w:cs="Arial"/>
            <w:color w:val="0000FF"/>
            <w:sz w:val="22"/>
            <w:szCs w:val="22"/>
            <w:u w:val="single"/>
          </w:rPr>
          <w:t>Acute lymphoblastic leukaemia (ALL) statistics | Cancer Research UK</w:t>
        </w:r>
      </w:hyperlink>
    </w:p>
    <w:p w14:paraId="58825FBC" w14:textId="77777777" w:rsidR="00742A21" w:rsidRPr="002C1A8E" w:rsidRDefault="00742A21" w:rsidP="00D50C17">
      <w:pPr>
        <w:spacing w:line="360" w:lineRule="auto"/>
        <w:jc w:val="both"/>
        <w:rPr>
          <w:rFonts w:ascii="Arial" w:hAnsi="Arial" w:cs="Arial"/>
          <w:sz w:val="22"/>
          <w:szCs w:val="22"/>
        </w:rPr>
      </w:pPr>
      <w:hyperlink r:id="rId17">
        <w:r w:rsidRPr="002C1A8E">
          <w:rPr>
            <w:rFonts w:ascii="Arial" w:hAnsi="Arial" w:cs="Arial"/>
            <w:color w:val="0000FF"/>
            <w:sz w:val="22"/>
            <w:szCs w:val="22"/>
          </w:rPr>
          <w:t>https://librarysearch.uwtsd.ac.uk/discovery/fulldisplay?docid=cdi_pubmedcentral_primary_oai_pubmedcentral_nih_gov_12121638&amp;context=PC&amp;vid=44WHELF_UWTSD:44WHELF_UWTSD_VU1&amp;lang=en&amp;search_scope=Search_ELEC&amp;adaptor=Primo%20Central&amp;query=any%2Ccontains%2Ccdi_pubmedcentral_primary_oai_pubmedcentral_nih_gov_12121638&amp;facet=citing%2Cexact%2Ccdi_FETCH-LOGICAL-c348t- Acute lymphoblastic leukaemia (ALL) in adolescents and young adults (15–24 years) presents 4a707132bfeb6acc7e70f88719b9a7a6bb2a70ef1e159ea9d48df86abc331f513&amp;offset=0</w:t>
        </w:r>
      </w:hyperlink>
    </w:p>
    <w:p w14:paraId="6600F0D6" w14:textId="77777777" w:rsidR="00D63435" w:rsidRPr="002C1A8E" w:rsidRDefault="00D63435" w:rsidP="00D50C17">
      <w:pPr>
        <w:spacing w:after="0" w:line="360" w:lineRule="auto"/>
        <w:jc w:val="both"/>
        <w:textAlignment w:val="baseline"/>
        <w:rPr>
          <w:rFonts w:ascii="Arial" w:eastAsia="Arial" w:hAnsi="Arial" w:cs="Arial"/>
          <w:sz w:val="22"/>
          <w:szCs w:val="22"/>
        </w:rPr>
      </w:pPr>
      <w:r w:rsidRPr="002C1A8E">
        <w:rPr>
          <w:rFonts w:ascii="Arial" w:eastAsia="Arial" w:hAnsi="Arial" w:cs="Arial"/>
          <w:sz w:val="22"/>
          <w:szCs w:val="22"/>
        </w:rPr>
        <w:t>Journal of Management Science &amp; Engineering Research | Volume 05 | Issue 01 | March 2022.</w:t>
      </w:r>
    </w:p>
    <w:p w14:paraId="4D2430BF" w14:textId="77777777" w:rsidR="00D63435" w:rsidRPr="002C1A8E" w:rsidRDefault="00D63435" w:rsidP="00D50C17">
      <w:pPr>
        <w:spacing w:after="0" w:line="360" w:lineRule="auto"/>
        <w:jc w:val="both"/>
        <w:textAlignment w:val="baseline"/>
        <w:rPr>
          <w:rFonts w:ascii="Arial" w:eastAsia="Arial" w:hAnsi="Arial" w:cs="Arial"/>
          <w:sz w:val="22"/>
          <w:szCs w:val="22"/>
        </w:rPr>
      </w:pPr>
    </w:p>
    <w:p w14:paraId="3D9D0ABF" w14:textId="48A3AA47" w:rsidR="00594E47" w:rsidRPr="002C1A8E" w:rsidRDefault="00594E47" w:rsidP="00D50C17">
      <w:pPr>
        <w:spacing w:after="0" w:line="360" w:lineRule="auto"/>
        <w:jc w:val="both"/>
        <w:textAlignment w:val="baseline"/>
        <w:rPr>
          <w:rFonts w:ascii="Arial" w:eastAsia="Arial" w:hAnsi="Arial" w:cs="Arial"/>
          <w:color w:val="222222"/>
          <w:sz w:val="22"/>
          <w:szCs w:val="22"/>
        </w:rPr>
      </w:pPr>
      <w:r w:rsidRPr="002C1A8E">
        <w:rPr>
          <w:rFonts w:ascii="Arial" w:eastAsia="Arial" w:hAnsi="Arial" w:cs="Arial"/>
          <w:color w:val="222222"/>
          <w:sz w:val="22"/>
          <w:szCs w:val="22"/>
        </w:rPr>
        <w:t xml:space="preserve">Mazhar, S.A., Anjum, R., Anwar, A.I. and Khan, A.A., 2021. Methods of data collection: A fundamental tool of research. </w:t>
      </w:r>
      <w:r w:rsidRPr="002C1A8E">
        <w:rPr>
          <w:rFonts w:ascii="Arial" w:eastAsia="Arial" w:hAnsi="Arial" w:cs="Arial"/>
          <w:i/>
          <w:iCs/>
          <w:color w:val="222222"/>
          <w:sz w:val="22"/>
          <w:szCs w:val="22"/>
        </w:rPr>
        <w:t>Journal of Integrated Community Health</w:t>
      </w:r>
      <w:r w:rsidRPr="002C1A8E">
        <w:rPr>
          <w:rFonts w:ascii="Arial" w:eastAsia="Arial" w:hAnsi="Arial" w:cs="Arial"/>
          <w:color w:val="222222"/>
          <w:sz w:val="22"/>
          <w:szCs w:val="22"/>
        </w:rPr>
        <w:t xml:space="preserve">, </w:t>
      </w:r>
      <w:r w:rsidRPr="002C1A8E">
        <w:rPr>
          <w:rFonts w:ascii="Arial" w:eastAsia="Arial" w:hAnsi="Arial" w:cs="Arial"/>
          <w:i/>
          <w:iCs/>
          <w:color w:val="222222"/>
          <w:sz w:val="22"/>
          <w:szCs w:val="22"/>
        </w:rPr>
        <w:t>10</w:t>
      </w:r>
      <w:r w:rsidRPr="002C1A8E">
        <w:rPr>
          <w:rFonts w:ascii="Arial" w:eastAsia="Arial" w:hAnsi="Arial" w:cs="Arial"/>
          <w:color w:val="222222"/>
          <w:sz w:val="22"/>
          <w:szCs w:val="22"/>
        </w:rPr>
        <w:t>(1), pp.6-10.</w:t>
      </w:r>
    </w:p>
    <w:p w14:paraId="4C490AD8" w14:textId="77777777" w:rsidR="00F55F4F" w:rsidRPr="002C1A8E" w:rsidRDefault="00F55F4F" w:rsidP="00D50C17">
      <w:pPr>
        <w:spacing w:after="0" w:line="360" w:lineRule="auto"/>
        <w:jc w:val="both"/>
        <w:textAlignment w:val="baseline"/>
        <w:rPr>
          <w:rFonts w:ascii="Arial" w:eastAsia="Arial" w:hAnsi="Arial" w:cs="Arial"/>
          <w:color w:val="222222"/>
          <w:sz w:val="22"/>
          <w:szCs w:val="22"/>
        </w:rPr>
      </w:pPr>
    </w:p>
    <w:p w14:paraId="25ECA59D" w14:textId="77777777" w:rsidR="00742A21" w:rsidRPr="002C1A8E" w:rsidRDefault="00742A21" w:rsidP="00D50C17">
      <w:pPr>
        <w:spacing w:after="0" w:line="360" w:lineRule="auto"/>
        <w:jc w:val="both"/>
        <w:textAlignment w:val="baseline"/>
        <w:rPr>
          <w:rFonts w:ascii="Arial" w:eastAsia="Arial" w:hAnsi="Arial" w:cs="Arial"/>
          <w:color w:val="222222"/>
          <w:sz w:val="22"/>
          <w:szCs w:val="22"/>
        </w:rPr>
      </w:pPr>
      <w:proofErr w:type="spellStart"/>
      <w:r w:rsidRPr="002C1A8E">
        <w:rPr>
          <w:rFonts w:ascii="Arial" w:eastAsia="Arial" w:hAnsi="Arial" w:cs="Arial"/>
          <w:color w:val="222222"/>
          <w:sz w:val="22"/>
          <w:szCs w:val="22"/>
        </w:rPr>
        <w:t>Stadtländer</w:t>
      </w:r>
      <w:proofErr w:type="spellEnd"/>
      <w:r w:rsidRPr="002C1A8E">
        <w:rPr>
          <w:rFonts w:ascii="Arial" w:eastAsia="Arial" w:hAnsi="Arial" w:cs="Arial"/>
          <w:color w:val="222222"/>
          <w:sz w:val="22"/>
          <w:szCs w:val="22"/>
        </w:rPr>
        <w:t xml:space="preserve">, C.T.H., 2009. Qualitative, quantitative, and mixed-methods research. </w:t>
      </w:r>
      <w:r w:rsidRPr="002C1A8E">
        <w:rPr>
          <w:rFonts w:ascii="Arial" w:eastAsia="Arial" w:hAnsi="Arial" w:cs="Arial"/>
          <w:i/>
          <w:iCs/>
          <w:color w:val="222222"/>
          <w:sz w:val="22"/>
          <w:szCs w:val="22"/>
        </w:rPr>
        <w:t>Microbe Magazine</w:t>
      </w:r>
      <w:r w:rsidRPr="002C1A8E">
        <w:rPr>
          <w:rFonts w:ascii="Arial" w:eastAsia="Arial" w:hAnsi="Arial" w:cs="Arial"/>
          <w:color w:val="222222"/>
          <w:sz w:val="22"/>
          <w:szCs w:val="22"/>
        </w:rPr>
        <w:t xml:space="preserve">, </w:t>
      </w:r>
      <w:r w:rsidRPr="002C1A8E">
        <w:rPr>
          <w:rFonts w:ascii="Arial" w:eastAsia="Arial" w:hAnsi="Arial" w:cs="Arial"/>
          <w:i/>
          <w:iCs/>
          <w:color w:val="222222"/>
          <w:sz w:val="22"/>
          <w:szCs w:val="22"/>
        </w:rPr>
        <w:t>4</w:t>
      </w:r>
      <w:r w:rsidRPr="002C1A8E">
        <w:rPr>
          <w:rFonts w:ascii="Arial" w:eastAsia="Arial" w:hAnsi="Arial" w:cs="Arial"/>
          <w:color w:val="222222"/>
          <w:sz w:val="22"/>
          <w:szCs w:val="22"/>
        </w:rPr>
        <w:t>(11), pp.485-485.</w:t>
      </w:r>
    </w:p>
    <w:p w14:paraId="30E464C3" w14:textId="49C83A63" w:rsidR="00742A21" w:rsidRPr="002C1A8E" w:rsidRDefault="00742A21" w:rsidP="00D50C17">
      <w:pPr>
        <w:spacing w:after="0" w:line="360" w:lineRule="auto"/>
        <w:jc w:val="both"/>
        <w:textAlignment w:val="baseline"/>
        <w:rPr>
          <w:rFonts w:ascii="Arial" w:eastAsia="Arial" w:hAnsi="Arial" w:cs="Arial"/>
          <w:color w:val="222222"/>
          <w:sz w:val="22"/>
          <w:szCs w:val="22"/>
        </w:rPr>
      </w:pPr>
    </w:p>
    <w:p w14:paraId="064BB7DA" w14:textId="77777777" w:rsidR="00742A21" w:rsidRPr="002C1A8E" w:rsidRDefault="00742A21" w:rsidP="00D50C17">
      <w:pPr>
        <w:spacing w:line="360" w:lineRule="auto"/>
        <w:jc w:val="both"/>
        <w:textAlignment w:val="baseline"/>
        <w:rPr>
          <w:rFonts w:ascii="Arial" w:hAnsi="Arial" w:cs="Arial"/>
          <w:sz w:val="22"/>
          <w:szCs w:val="22"/>
        </w:rPr>
      </w:pPr>
      <w:hyperlink r:id="rId18">
        <w:r w:rsidRPr="002C1A8E">
          <w:rPr>
            <w:rStyle w:val="Hyperlink"/>
            <w:rFonts w:ascii="Arial" w:eastAsia="Arial" w:hAnsi="Arial" w:cs="Arial"/>
            <w:sz w:val="22"/>
            <w:szCs w:val="22"/>
          </w:rPr>
          <w:t>Symptoms of acute lymphoblastic leukaemia (ALL) | Cancer Research UK</w:t>
        </w:r>
      </w:hyperlink>
    </w:p>
    <w:p w14:paraId="44FA64F5" w14:textId="77777777" w:rsidR="00742A21" w:rsidRPr="002C1A8E" w:rsidRDefault="00742A21" w:rsidP="00D50C17">
      <w:pPr>
        <w:spacing w:after="0" w:line="360" w:lineRule="auto"/>
        <w:jc w:val="both"/>
        <w:textAlignment w:val="baseline"/>
        <w:rPr>
          <w:rFonts w:ascii="Arial" w:eastAsia="Arial" w:hAnsi="Arial" w:cs="Arial"/>
          <w:sz w:val="22"/>
          <w:szCs w:val="22"/>
        </w:rPr>
      </w:pPr>
    </w:p>
    <w:p w14:paraId="094932D9" w14:textId="77777777" w:rsidR="00742A21" w:rsidRPr="002C1A8E" w:rsidRDefault="00742A21" w:rsidP="0029007D">
      <w:pPr>
        <w:spacing w:after="0" w:line="360" w:lineRule="auto"/>
        <w:jc w:val="both"/>
        <w:textAlignment w:val="baseline"/>
        <w:rPr>
          <w:rFonts w:ascii="Arial" w:hAnsi="Arial" w:cs="Arial"/>
          <w:sz w:val="22"/>
          <w:szCs w:val="22"/>
        </w:rPr>
      </w:pPr>
    </w:p>
    <w:p w14:paraId="7AC083CC" w14:textId="77777777" w:rsidR="00742A21" w:rsidRPr="001A174B" w:rsidRDefault="00742A21" w:rsidP="0029007D">
      <w:pPr>
        <w:spacing w:after="0" w:line="360" w:lineRule="auto"/>
        <w:jc w:val="both"/>
        <w:textAlignment w:val="baseline"/>
        <w:rPr>
          <w:rFonts w:ascii="Arial" w:eastAsia="Arial" w:hAnsi="Arial" w:cs="Arial"/>
          <w:sz w:val="22"/>
          <w:szCs w:val="22"/>
        </w:rPr>
      </w:pPr>
    </w:p>
    <w:p w14:paraId="27A3EEE3" w14:textId="3EF182DE" w:rsidR="00530E16" w:rsidRPr="00D50C17" w:rsidRDefault="00530E16" w:rsidP="009E5BF2">
      <w:pPr>
        <w:rPr>
          <w:rFonts w:ascii="Arial" w:hAnsi="Arial" w:cs="Arial"/>
          <w:sz w:val="22"/>
          <w:szCs w:val="22"/>
        </w:rPr>
      </w:pPr>
    </w:p>
    <w:sectPr w:rsidR="00530E16" w:rsidRPr="00D50C17" w:rsidSect="00722EFE">
      <w:footerReference w:type="first" r:id="rId19"/>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C70B4D" w14:textId="77777777" w:rsidR="00503387" w:rsidRDefault="00503387" w:rsidP="002A1842">
      <w:pPr>
        <w:spacing w:after="0" w:line="240" w:lineRule="auto"/>
      </w:pPr>
      <w:r>
        <w:separator/>
      </w:r>
    </w:p>
  </w:endnote>
  <w:endnote w:type="continuationSeparator" w:id="0">
    <w:p w14:paraId="3731D676" w14:textId="77777777" w:rsidR="00503387" w:rsidRDefault="00503387"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68CE133E"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44C52D3B"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4DA41879"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2B4BB812"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519044" w14:textId="77777777" w:rsidR="00503387" w:rsidRDefault="00503387" w:rsidP="002A1842">
      <w:pPr>
        <w:spacing w:after="0" w:line="240" w:lineRule="auto"/>
      </w:pPr>
      <w:r>
        <w:separator/>
      </w:r>
    </w:p>
  </w:footnote>
  <w:footnote w:type="continuationSeparator" w:id="0">
    <w:p w14:paraId="52D834E1" w14:textId="77777777" w:rsidR="00503387" w:rsidRDefault="00503387"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E595A47"/>
    <w:multiLevelType w:val="hybridMultilevel"/>
    <w:tmpl w:val="FFFFFFFF"/>
    <w:lvl w:ilvl="0" w:tplc="FDBCC6AE">
      <w:start w:val="1"/>
      <w:numFmt w:val="bullet"/>
      <w:lvlText w:val=""/>
      <w:lvlJc w:val="left"/>
      <w:pPr>
        <w:ind w:left="720" w:hanging="360"/>
      </w:pPr>
      <w:rPr>
        <w:rFonts w:ascii="Symbol" w:hAnsi="Symbol" w:hint="default"/>
      </w:rPr>
    </w:lvl>
    <w:lvl w:ilvl="1" w:tplc="78F492F0">
      <w:start w:val="1"/>
      <w:numFmt w:val="bullet"/>
      <w:lvlText w:val="o"/>
      <w:lvlJc w:val="left"/>
      <w:pPr>
        <w:ind w:left="1440" w:hanging="360"/>
      </w:pPr>
      <w:rPr>
        <w:rFonts w:ascii="Courier New" w:hAnsi="Courier New" w:hint="default"/>
      </w:rPr>
    </w:lvl>
    <w:lvl w:ilvl="2" w:tplc="7A7E9800">
      <w:start w:val="1"/>
      <w:numFmt w:val="bullet"/>
      <w:lvlText w:val=""/>
      <w:lvlJc w:val="left"/>
      <w:pPr>
        <w:ind w:left="2160" w:hanging="360"/>
      </w:pPr>
      <w:rPr>
        <w:rFonts w:ascii="Wingdings" w:hAnsi="Wingdings" w:hint="default"/>
      </w:rPr>
    </w:lvl>
    <w:lvl w:ilvl="3" w:tplc="E60AA4A8">
      <w:start w:val="1"/>
      <w:numFmt w:val="bullet"/>
      <w:lvlText w:val=""/>
      <w:lvlJc w:val="left"/>
      <w:pPr>
        <w:ind w:left="2880" w:hanging="360"/>
      </w:pPr>
      <w:rPr>
        <w:rFonts w:ascii="Symbol" w:hAnsi="Symbol" w:hint="default"/>
      </w:rPr>
    </w:lvl>
    <w:lvl w:ilvl="4" w:tplc="2D047B3C">
      <w:start w:val="1"/>
      <w:numFmt w:val="bullet"/>
      <w:lvlText w:val="o"/>
      <w:lvlJc w:val="left"/>
      <w:pPr>
        <w:ind w:left="3600" w:hanging="360"/>
      </w:pPr>
      <w:rPr>
        <w:rFonts w:ascii="Courier New" w:hAnsi="Courier New" w:hint="default"/>
      </w:rPr>
    </w:lvl>
    <w:lvl w:ilvl="5" w:tplc="3476FE40">
      <w:start w:val="1"/>
      <w:numFmt w:val="bullet"/>
      <w:lvlText w:val=""/>
      <w:lvlJc w:val="left"/>
      <w:pPr>
        <w:ind w:left="4320" w:hanging="360"/>
      </w:pPr>
      <w:rPr>
        <w:rFonts w:ascii="Wingdings" w:hAnsi="Wingdings" w:hint="default"/>
      </w:rPr>
    </w:lvl>
    <w:lvl w:ilvl="6" w:tplc="75049D7A">
      <w:start w:val="1"/>
      <w:numFmt w:val="bullet"/>
      <w:lvlText w:val=""/>
      <w:lvlJc w:val="left"/>
      <w:pPr>
        <w:ind w:left="5040" w:hanging="360"/>
      </w:pPr>
      <w:rPr>
        <w:rFonts w:ascii="Symbol" w:hAnsi="Symbol" w:hint="default"/>
      </w:rPr>
    </w:lvl>
    <w:lvl w:ilvl="7" w:tplc="E4A42CD2">
      <w:start w:val="1"/>
      <w:numFmt w:val="bullet"/>
      <w:lvlText w:val="o"/>
      <w:lvlJc w:val="left"/>
      <w:pPr>
        <w:ind w:left="5760" w:hanging="360"/>
      </w:pPr>
      <w:rPr>
        <w:rFonts w:ascii="Courier New" w:hAnsi="Courier New" w:hint="default"/>
      </w:rPr>
    </w:lvl>
    <w:lvl w:ilvl="8" w:tplc="F2A09148">
      <w:start w:val="1"/>
      <w:numFmt w:val="bullet"/>
      <w:lvlText w:val=""/>
      <w:lvlJc w:val="left"/>
      <w:pPr>
        <w:ind w:left="6480" w:hanging="360"/>
      </w:pPr>
      <w:rPr>
        <w:rFonts w:ascii="Wingdings" w:hAnsi="Wingdings" w:hint="default"/>
      </w:rPr>
    </w:lvl>
  </w:abstractNum>
  <w:abstractNum w:abstractNumId="2"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3D3138E0"/>
    <w:multiLevelType w:val="multilevel"/>
    <w:tmpl w:val="514C20A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76EF7BB8"/>
    <w:multiLevelType w:val="multilevel"/>
    <w:tmpl w:val="14F2D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25839185">
    <w:abstractNumId w:val="7"/>
  </w:num>
  <w:num w:numId="2" w16cid:durableId="1243298724">
    <w:abstractNumId w:val="5"/>
  </w:num>
  <w:num w:numId="3" w16cid:durableId="1346589440">
    <w:abstractNumId w:val="3"/>
  </w:num>
  <w:num w:numId="4" w16cid:durableId="467089097">
    <w:abstractNumId w:val="2"/>
  </w:num>
  <w:num w:numId="5" w16cid:durableId="379092912">
    <w:abstractNumId w:val="6"/>
  </w:num>
  <w:num w:numId="6" w16cid:durableId="1142507470">
    <w:abstractNumId w:val="0"/>
  </w:num>
  <w:num w:numId="7" w16cid:durableId="1872263356">
    <w:abstractNumId w:val="10"/>
  </w:num>
  <w:num w:numId="8" w16cid:durableId="1824422405">
    <w:abstractNumId w:val="9"/>
  </w:num>
  <w:num w:numId="9" w16cid:durableId="886456848">
    <w:abstractNumId w:val="4"/>
  </w:num>
  <w:num w:numId="10" w16cid:durableId="345403874">
    <w:abstractNumId w:val="1"/>
  </w:num>
  <w:num w:numId="11" w16cid:durableId="108156138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312CE"/>
    <w:rsid w:val="000330D9"/>
    <w:rsid w:val="000445CB"/>
    <w:rsid w:val="0008107A"/>
    <w:rsid w:val="0009743A"/>
    <w:rsid w:val="000B48AD"/>
    <w:rsid w:val="000D0B1E"/>
    <w:rsid w:val="000E1A07"/>
    <w:rsid w:val="00115E1A"/>
    <w:rsid w:val="00172AD1"/>
    <w:rsid w:val="00177786"/>
    <w:rsid w:val="001813E7"/>
    <w:rsid w:val="001A0449"/>
    <w:rsid w:val="001A7405"/>
    <w:rsid w:val="001B4DD5"/>
    <w:rsid w:val="001C3140"/>
    <w:rsid w:val="001E0AF6"/>
    <w:rsid w:val="001F3F6D"/>
    <w:rsid w:val="00212E7A"/>
    <w:rsid w:val="00215B33"/>
    <w:rsid w:val="00221107"/>
    <w:rsid w:val="002264D3"/>
    <w:rsid w:val="002273A0"/>
    <w:rsid w:val="0025568D"/>
    <w:rsid w:val="00280EC6"/>
    <w:rsid w:val="0029007D"/>
    <w:rsid w:val="0029787B"/>
    <w:rsid w:val="002A1842"/>
    <w:rsid w:val="002A7B03"/>
    <w:rsid w:val="002C1A8E"/>
    <w:rsid w:val="002D1C88"/>
    <w:rsid w:val="002E03D3"/>
    <w:rsid w:val="002F5ECC"/>
    <w:rsid w:val="00307647"/>
    <w:rsid w:val="00313D94"/>
    <w:rsid w:val="003659AF"/>
    <w:rsid w:val="00396B26"/>
    <w:rsid w:val="003A5AC2"/>
    <w:rsid w:val="003A6CB3"/>
    <w:rsid w:val="003D780D"/>
    <w:rsid w:val="004209CC"/>
    <w:rsid w:val="00432D05"/>
    <w:rsid w:val="004428E2"/>
    <w:rsid w:val="004468F8"/>
    <w:rsid w:val="00462BAE"/>
    <w:rsid w:val="004A63B0"/>
    <w:rsid w:val="004B4962"/>
    <w:rsid w:val="004B59D3"/>
    <w:rsid w:val="00502A7D"/>
    <w:rsid w:val="00503278"/>
    <w:rsid w:val="00503387"/>
    <w:rsid w:val="00530E16"/>
    <w:rsid w:val="00565751"/>
    <w:rsid w:val="00570D67"/>
    <w:rsid w:val="00575E73"/>
    <w:rsid w:val="00594E47"/>
    <w:rsid w:val="00600AD8"/>
    <w:rsid w:val="006254F2"/>
    <w:rsid w:val="00652544"/>
    <w:rsid w:val="00665C3B"/>
    <w:rsid w:val="00680BE1"/>
    <w:rsid w:val="006B5021"/>
    <w:rsid w:val="00701D85"/>
    <w:rsid w:val="00706D49"/>
    <w:rsid w:val="00721CBA"/>
    <w:rsid w:val="00721FE1"/>
    <w:rsid w:val="00722EFE"/>
    <w:rsid w:val="00742A21"/>
    <w:rsid w:val="00744563"/>
    <w:rsid w:val="007637E9"/>
    <w:rsid w:val="00777C1F"/>
    <w:rsid w:val="007C3A96"/>
    <w:rsid w:val="00830EAE"/>
    <w:rsid w:val="00865E3C"/>
    <w:rsid w:val="00892513"/>
    <w:rsid w:val="008B60F1"/>
    <w:rsid w:val="008D2047"/>
    <w:rsid w:val="008E7834"/>
    <w:rsid w:val="009135B5"/>
    <w:rsid w:val="00927326"/>
    <w:rsid w:val="00933C67"/>
    <w:rsid w:val="0093663C"/>
    <w:rsid w:val="009904BC"/>
    <w:rsid w:val="00991EF6"/>
    <w:rsid w:val="0099678A"/>
    <w:rsid w:val="009A77F0"/>
    <w:rsid w:val="009B0354"/>
    <w:rsid w:val="009E5BF2"/>
    <w:rsid w:val="009E65E1"/>
    <w:rsid w:val="009F60D1"/>
    <w:rsid w:val="00A46A3E"/>
    <w:rsid w:val="00A75B15"/>
    <w:rsid w:val="00A933E5"/>
    <w:rsid w:val="00AA7F5A"/>
    <w:rsid w:val="00AB45CE"/>
    <w:rsid w:val="00AC15E6"/>
    <w:rsid w:val="00AE06EA"/>
    <w:rsid w:val="00B010E4"/>
    <w:rsid w:val="00B65ED6"/>
    <w:rsid w:val="00B822FC"/>
    <w:rsid w:val="00B93EED"/>
    <w:rsid w:val="00BA0043"/>
    <w:rsid w:val="00BD3CB7"/>
    <w:rsid w:val="00C949F1"/>
    <w:rsid w:val="00C95C70"/>
    <w:rsid w:val="00CC3681"/>
    <w:rsid w:val="00CE0752"/>
    <w:rsid w:val="00CE4544"/>
    <w:rsid w:val="00CF3D23"/>
    <w:rsid w:val="00CF4BFB"/>
    <w:rsid w:val="00CF650B"/>
    <w:rsid w:val="00D45BB4"/>
    <w:rsid w:val="00D50C17"/>
    <w:rsid w:val="00D62A9C"/>
    <w:rsid w:val="00D63435"/>
    <w:rsid w:val="00D76CE8"/>
    <w:rsid w:val="00D81E7B"/>
    <w:rsid w:val="00D852F4"/>
    <w:rsid w:val="00DB181C"/>
    <w:rsid w:val="00DB7A8E"/>
    <w:rsid w:val="00DC0CCE"/>
    <w:rsid w:val="00DE2C5A"/>
    <w:rsid w:val="00DF73E2"/>
    <w:rsid w:val="00E0419A"/>
    <w:rsid w:val="00E61E7A"/>
    <w:rsid w:val="00E66104"/>
    <w:rsid w:val="00E77FED"/>
    <w:rsid w:val="00E80335"/>
    <w:rsid w:val="00E87807"/>
    <w:rsid w:val="00E926C2"/>
    <w:rsid w:val="00E97431"/>
    <w:rsid w:val="00EA04EC"/>
    <w:rsid w:val="00ED3729"/>
    <w:rsid w:val="00F04C7A"/>
    <w:rsid w:val="00F12EA3"/>
    <w:rsid w:val="00F522C2"/>
    <w:rsid w:val="00F55F4F"/>
    <w:rsid w:val="00F618F2"/>
    <w:rsid w:val="00F65687"/>
    <w:rsid w:val="00F74736"/>
    <w:rsid w:val="00F90F71"/>
    <w:rsid w:val="00F95E96"/>
    <w:rsid w:val="00FC69E3"/>
    <w:rsid w:val="00FE611C"/>
    <w:rsid w:val="00FF5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3D1EB"/>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customStyle="1" w:styleId="chakra-text">
    <w:name w:val="chakra-text"/>
    <w:basedOn w:val="Normal"/>
    <w:rsid w:val="004428E2"/>
    <w:pPr>
      <w:spacing w:before="100" w:beforeAutospacing="1" w:after="100" w:afterAutospacing="1" w:line="240" w:lineRule="auto"/>
    </w:pPr>
    <w:rPr>
      <w:rFonts w:ascii="Times New Roman" w:eastAsia="Times New Roman" w:hAnsi="Times New Roman" w:cs="Times New Roman"/>
    </w:rPr>
  </w:style>
  <w:style w:type="character" w:styleId="UnresolvedMention">
    <w:name w:val="Unresolved Mention"/>
    <w:basedOn w:val="DefaultParagraphFont"/>
    <w:uiPriority w:val="99"/>
    <w:semiHidden/>
    <w:unhideWhenUsed/>
    <w:rsid w:val="004209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ancerresearchuk.org/about-cancer/acute-lymphoblastic-leukaemia-all/symptoms" TargetMode="External"/><Relationship Id="rId18" Type="http://schemas.openxmlformats.org/officeDocument/2006/relationships/hyperlink" Target="https://www.cancerresearchuk.org/about-cancer/acute-lymphoblastic-leukaemia-all/symptoms"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librarysearch.uwtsd.ac.uk/discovery/fulldisplay?docid=cdi_pubmedcentral_primary_oai_pubmedcentral_nih_gov_12121638&amp;context=PC&amp;vid=44WHELF_UWTSD:44WHELF_UWTSD_VU1&amp;lang=en&amp;search_scope=Search_ELEC&amp;adaptor=Primo%20Central&amp;query=any%2Ccontains%2Ccdi_pubmedcentral_primary_oai_pubmedcentral_nih_gov_12121638&amp;facet=citing%2Cexact%2Ccdi_FETCH-LOGICAL-c348t-%20Acute%20lymphoblastic%20leukaemia%20(ALL)%20in%20adolescents%20and%20young%20adults%20(15&#8211;24%20years)%20presents%204a707132bfeb6acc7e70f88719b9a7a6bb2a70ef1e159ea9d48df86abc331f513&amp;offset=0" TargetMode="External"/><Relationship Id="rId17" Type="http://schemas.openxmlformats.org/officeDocument/2006/relationships/hyperlink" Target="https://librarysearch.uwtsd.ac.uk/discovery/fulldisplay?docid=cdi_pubmedcentral_primary_oai_pubmedcentral_nih_gov_12121638&amp;context=PC&amp;vid=44WHELF_UWTSD:44WHELF_UWTSD_VU1&amp;lang=en&amp;search_scope=Search_ELEC&amp;adaptor=Primo%20Central&amp;query=any%2Ccontains%2Ccdi_pubmedcentral_primary_oai_pubmedcentral_nih_gov_12121638&amp;facet=citing%2Cexact%2Ccdi_FETCH-LOGICAL-c348t-4a707132bfeb6acc7e70f88719b9a7a6bb2a70ef1e159ea9d48df86abc331f513&amp;offset=0" TargetMode="External"/><Relationship Id="rId2" Type="http://schemas.openxmlformats.org/officeDocument/2006/relationships/customXml" Target="../customXml/item2.xml"/><Relationship Id="rId16" Type="http://schemas.openxmlformats.org/officeDocument/2006/relationships/hyperlink" Target="https://www.cancerresearchuk.org/health-professional/cancer-statistics/statistics-by-cancer-type/leukaemia-al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clg.org.uk/about-cancer/cancer-teenagers-and-young-adults/types-cancer-teenagers-and-young-adults/leukaemia/all" TargetMode="External"/><Relationship Id="rId5" Type="http://schemas.openxmlformats.org/officeDocument/2006/relationships/settings" Target="settings.xml"/><Relationship Id="rId15" Type="http://schemas.openxmlformats.org/officeDocument/2006/relationships/hyperlink" Target="https://www.cclg.org.uk/about-cancer/cancer-teenagers-and-young-adults/types-cancer-teenagers-and-young-adults/leukaemia/all" TargetMode="External"/><Relationship Id="rId10" Type="http://schemas.openxmlformats.org/officeDocument/2006/relationships/hyperlink" Target="https://www.cclg.org.uk/about-cancer/cancer-teenagers-and-young-adults/types-cancer-teenagers-and-young-adults/leukaemia/aml" TargetMode="External"/><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sciencedirect.com/topics/medicine-and-dentistry/quality-of-lif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327</TotalTime>
  <Pages>7</Pages>
  <Words>2017</Words>
  <Characters>12351</Characters>
  <Application>Microsoft Office Word</Application>
  <DocSecurity>0</DocSecurity>
  <Lines>247</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University of Wales Trinity Saint David</dc:creator>
  <cp:lastModifiedBy>adela jaimes</cp:lastModifiedBy>
  <cp:revision>86</cp:revision>
  <dcterms:created xsi:type="dcterms:W3CDTF">2026-04-19T11:53:00Z</dcterms:created>
  <dcterms:modified xsi:type="dcterms:W3CDTF">2026-04-19T17:42:00Z</dcterms:modified>
</cp:coreProperties>
</file>