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82D272" w14:textId="7C8E6CF0" w:rsidR="00CC1ABA" w:rsidRPr="00CC1ABA" w:rsidRDefault="004F547B" w:rsidP="00CC1ABA">
      <w:pPr>
        <w:spacing w:after="0" w:line="360" w:lineRule="auto"/>
        <w:jc w:val="center"/>
        <w:rPr>
          <w:rFonts w:ascii="Times New Roman" w:eastAsia="Times New Roman" w:hAnsi="Times New Roman" w:cs="Times New Roman"/>
          <w:b/>
          <w:sz w:val="28"/>
          <w:szCs w:val="28"/>
        </w:rPr>
      </w:pPr>
      <w:r w:rsidRPr="004F547B">
        <w:rPr>
          <w:rFonts w:ascii="Arial" w:eastAsia="Calibri" w:hAnsi="Arial" w:cs="Arial"/>
          <w:noProof/>
          <w:color w:val="000000"/>
          <w:sz w:val="24"/>
          <w:lang w:val="en-US"/>
        </w:rPr>
        <w:drawing>
          <wp:inline distT="0" distB="0" distL="0" distR="0" wp14:anchorId="7EF61EDB" wp14:editId="430AB883">
            <wp:extent cx="2965836" cy="1291786"/>
            <wp:effectExtent l="0" t="0" r="6350" b="3810"/>
            <wp:docPr id="102642296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56D011C4" w14:textId="77777777" w:rsidR="00CC1ABA" w:rsidRPr="00CC1ABA" w:rsidRDefault="00CC1ABA" w:rsidP="00CC1ABA">
      <w:pPr>
        <w:spacing w:after="0" w:line="360" w:lineRule="auto"/>
        <w:jc w:val="center"/>
        <w:rPr>
          <w:rFonts w:ascii="Times New Roman" w:eastAsia="Times New Roman" w:hAnsi="Times New Roman" w:cs="Times New Roman"/>
          <w:b/>
          <w:sz w:val="28"/>
          <w:szCs w:val="28"/>
        </w:rPr>
      </w:pPr>
    </w:p>
    <w:p w14:paraId="6C1F9461" w14:textId="77777777" w:rsidR="00781164" w:rsidRDefault="00781164" w:rsidP="00781164">
      <w:pPr>
        <w:spacing w:after="0" w:line="360" w:lineRule="auto"/>
        <w:jc w:val="center"/>
        <w:rPr>
          <w:rFonts w:ascii="Arial" w:eastAsia="Times New Roman" w:hAnsi="Arial" w:cs="Arial"/>
          <w:b/>
          <w:bCs/>
          <w:sz w:val="24"/>
          <w:szCs w:val="24"/>
          <w:lang w:val="en-US"/>
        </w:rPr>
      </w:pPr>
    </w:p>
    <w:p w14:paraId="2A30890F" w14:textId="77777777" w:rsidR="00781164" w:rsidRDefault="00781164" w:rsidP="00781164">
      <w:pPr>
        <w:spacing w:after="0" w:line="360" w:lineRule="auto"/>
        <w:jc w:val="center"/>
        <w:rPr>
          <w:rFonts w:ascii="Arial" w:eastAsia="Times New Roman" w:hAnsi="Arial" w:cs="Arial"/>
          <w:b/>
          <w:bCs/>
          <w:sz w:val="24"/>
          <w:szCs w:val="24"/>
          <w:lang w:val="en-US"/>
        </w:rPr>
      </w:pPr>
    </w:p>
    <w:p w14:paraId="11F462E1" w14:textId="77777777" w:rsidR="00B22525" w:rsidRDefault="00B22525" w:rsidP="00781164">
      <w:pPr>
        <w:spacing w:after="0" w:line="360" w:lineRule="auto"/>
        <w:jc w:val="center"/>
        <w:rPr>
          <w:rFonts w:ascii="Arial" w:eastAsia="Times New Roman" w:hAnsi="Arial" w:cs="Arial"/>
          <w:b/>
          <w:bCs/>
          <w:sz w:val="24"/>
          <w:szCs w:val="24"/>
          <w:lang w:val="en-US"/>
        </w:rPr>
      </w:pPr>
    </w:p>
    <w:p w14:paraId="58A778C5" w14:textId="77777777" w:rsidR="00781164" w:rsidRDefault="00781164" w:rsidP="00781164">
      <w:pPr>
        <w:spacing w:after="0" w:line="360" w:lineRule="auto"/>
        <w:jc w:val="center"/>
        <w:rPr>
          <w:rFonts w:ascii="Arial" w:eastAsia="Times New Roman" w:hAnsi="Arial" w:cs="Arial"/>
          <w:b/>
          <w:bCs/>
          <w:sz w:val="24"/>
          <w:szCs w:val="24"/>
          <w:lang w:val="en-US"/>
        </w:rPr>
      </w:pPr>
    </w:p>
    <w:p w14:paraId="2E40068C" w14:textId="2306D85F" w:rsidR="00781164" w:rsidRPr="00781164" w:rsidRDefault="00781164" w:rsidP="00781164">
      <w:pPr>
        <w:spacing w:after="0" w:line="360" w:lineRule="auto"/>
        <w:jc w:val="center"/>
        <w:rPr>
          <w:rFonts w:ascii="Arial" w:eastAsia="Times New Roman" w:hAnsi="Arial" w:cs="Arial"/>
          <w:b/>
          <w:bCs/>
          <w:sz w:val="24"/>
          <w:szCs w:val="24"/>
          <w:lang w:val="en-US"/>
        </w:rPr>
      </w:pPr>
      <w:proofErr w:type="spellStart"/>
      <w:r w:rsidRPr="00781164">
        <w:rPr>
          <w:rFonts w:ascii="Arial" w:eastAsia="Times New Roman" w:hAnsi="Arial" w:cs="Arial"/>
          <w:b/>
          <w:bCs/>
          <w:sz w:val="24"/>
          <w:szCs w:val="24"/>
          <w:lang w:val="en-US"/>
        </w:rPr>
        <w:t>Programme</w:t>
      </w:r>
      <w:proofErr w:type="spellEnd"/>
      <w:r w:rsidRPr="00781164">
        <w:rPr>
          <w:rFonts w:ascii="Arial" w:eastAsia="Times New Roman" w:hAnsi="Arial" w:cs="Arial"/>
          <w:b/>
          <w:bCs/>
          <w:sz w:val="24"/>
          <w:szCs w:val="24"/>
          <w:lang w:val="en-US"/>
        </w:rPr>
        <w:t>: BA International Hotel Management</w:t>
      </w:r>
    </w:p>
    <w:p w14:paraId="6947FF40" w14:textId="77777777" w:rsidR="00781164" w:rsidRPr="00781164" w:rsidRDefault="00781164" w:rsidP="00781164">
      <w:pPr>
        <w:spacing w:after="0" w:line="360" w:lineRule="auto"/>
        <w:jc w:val="center"/>
        <w:rPr>
          <w:rFonts w:ascii="Arial" w:eastAsia="Times New Roman" w:hAnsi="Arial" w:cs="Arial"/>
          <w:b/>
          <w:sz w:val="24"/>
          <w:szCs w:val="24"/>
          <w:lang w:val="en-US"/>
        </w:rPr>
      </w:pPr>
      <w:r w:rsidRPr="00781164">
        <w:rPr>
          <w:rFonts w:ascii="Arial" w:eastAsia="Times New Roman" w:hAnsi="Arial" w:cs="Arial"/>
          <w:b/>
          <w:sz w:val="24"/>
          <w:szCs w:val="24"/>
          <w:lang w:val="en-US"/>
        </w:rPr>
        <w:t xml:space="preserve">Module code: </w:t>
      </w:r>
      <w:r w:rsidRPr="00781164">
        <w:rPr>
          <w:rFonts w:ascii="Arial" w:eastAsia="Times New Roman" w:hAnsi="Arial" w:cs="Arial"/>
          <w:b/>
          <w:sz w:val="24"/>
          <w:szCs w:val="24"/>
        </w:rPr>
        <w:t>Financial Management for the Hotel Industry</w:t>
      </w:r>
    </w:p>
    <w:p w14:paraId="0A1824A7" w14:textId="77777777" w:rsidR="00781164" w:rsidRPr="00781164" w:rsidRDefault="00781164" w:rsidP="00781164">
      <w:pPr>
        <w:spacing w:after="0" w:line="360" w:lineRule="auto"/>
        <w:jc w:val="center"/>
        <w:rPr>
          <w:rFonts w:ascii="Arial" w:eastAsia="Times New Roman" w:hAnsi="Arial" w:cs="Arial"/>
          <w:b/>
          <w:sz w:val="24"/>
          <w:szCs w:val="24"/>
          <w:lang w:val="en-US"/>
        </w:rPr>
      </w:pPr>
      <w:r w:rsidRPr="00781164">
        <w:rPr>
          <w:rFonts w:ascii="Arial" w:eastAsia="Times New Roman" w:hAnsi="Arial" w:cs="Arial"/>
          <w:b/>
          <w:sz w:val="24"/>
          <w:szCs w:val="24"/>
          <w:lang w:val="en-US"/>
        </w:rPr>
        <w:t>Module code: BMIH5007</w:t>
      </w:r>
    </w:p>
    <w:p w14:paraId="2A46D9B1" w14:textId="77777777" w:rsidR="00781164" w:rsidRDefault="00781164" w:rsidP="00781164">
      <w:pPr>
        <w:spacing w:after="0" w:line="360" w:lineRule="auto"/>
        <w:jc w:val="center"/>
        <w:rPr>
          <w:rFonts w:ascii="Arial" w:eastAsia="Times New Roman" w:hAnsi="Arial" w:cs="Arial"/>
          <w:b/>
          <w:sz w:val="24"/>
          <w:szCs w:val="24"/>
        </w:rPr>
      </w:pPr>
      <w:r w:rsidRPr="00781164">
        <w:rPr>
          <w:rFonts w:ascii="Arial" w:eastAsia="Times New Roman" w:hAnsi="Arial" w:cs="Arial"/>
          <w:b/>
          <w:sz w:val="24"/>
          <w:szCs w:val="24"/>
        </w:rPr>
        <w:t>Assignment Title: Report Case Study: The City Hotel</w:t>
      </w:r>
      <w:r w:rsidRPr="00781164">
        <w:rPr>
          <w:rFonts w:ascii="Arial" w:eastAsia="Times New Roman" w:hAnsi="Arial" w:cs="Arial"/>
          <w:b/>
          <w:sz w:val="24"/>
          <w:szCs w:val="24"/>
        </w:rPr>
        <w:t xml:space="preserve"> </w:t>
      </w:r>
    </w:p>
    <w:p w14:paraId="5B42CB72" w14:textId="1256E2C8" w:rsidR="00781164" w:rsidRPr="00781164" w:rsidRDefault="00781164" w:rsidP="00781164">
      <w:pPr>
        <w:spacing w:after="0" w:line="360" w:lineRule="auto"/>
        <w:jc w:val="center"/>
        <w:rPr>
          <w:rFonts w:ascii="Arial" w:eastAsia="Times New Roman" w:hAnsi="Arial" w:cs="Arial"/>
          <w:b/>
          <w:sz w:val="24"/>
          <w:szCs w:val="24"/>
          <w:lang w:val="en-US"/>
        </w:rPr>
      </w:pPr>
      <w:r w:rsidRPr="00781164">
        <w:rPr>
          <w:rFonts w:ascii="Arial" w:eastAsia="Times New Roman" w:hAnsi="Arial" w:cs="Arial"/>
          <w:b/>
          <w:sz w:val="24"/>
          <w:szCs w:val="24"/>
        </w:rPr>
        <w:t>Organisations</w:t>
      </w:r>
      <w:r w:rsidRPr="00781164">
        <w:rPr>
          <w:rFonts w:ascii="Arial" w:eastAsia="Times New Roman" w:hAnsi="Arial" w:cs="Arial"/>
          <w:b/>
          <w:sz w:val="24"/>
          <w:szCs w:val="24"/>
          <w:lang w:val="en-US"/>
        </w:rPr>
        <w:t xml:space="preserve"> Tutor: Tristan Hawkins</w:t>
      </w:r>
    </w:p>
    <w:p w14:paraId="2C83B7C5" w14:textId="77777777" w:rsidR="00781164" w:rsidRPr="00781164" w:rsidRDefault="00781164" w:rsidP="00781164">
      <w:pPr>
        <w:spacing w:after="0" w:line="360" w:lineRule="auto"/>
        <w:jc w:val="center"/>
        <w:rPr>
          <w:rFonts w:ascii="Arial" w:eastAsia="Times New Roman" w:hAnsi="Arial" w:cs="Arial"/>
          <w:b/>
          <w:sz w:val="24"/>
          <w:szCs w:val="24"/>
          <w:lang w:val="en-US"/>
        </w:rPr>
      </w:pPr>
      <w:r w:rsidRPr="00781164">
        <w:rPr>
          <w:rFonts w:ascii="Arial" w:eastAsia="Times New Roman" w:hAnsi="Arial" w:cs="Arial"/>
          <w:b/>
          <w:sz w:val="24"/>
          <w:szCs w:val="24"/>
          <w:lang w:val="en-US"/>
        </w:rPr>
        <w:t>Name: VASILE PUSCUTA</w:t>
      </w:r>
    </w:p>
    <w:p w14:paraId="43F6095F" w14:textId="542DD4DC" w:rsidR="00781164" w:rsidRDefault="00781164" w:rsidP="00781164">
      <w:pPr>
        <w:pBdr>
          <w:bottom w:val="single" w:sz="4" w:space="1" w:color="auto"/>
        </w:pBdr>
        <w:spacing w:after="0" w:line="360" w:lineRule="auto"/>
        <w:jc w:val="center"/>
        <w:rPr>
          <w:rFonts w:ascii="Arial" w:eastAsia="Times New Roman" w:hAnsi="Arial" w:cs="Arial"/>
          <w:b/>
          <w:sz w:val="24"/>
          <w:szCs w:val="24"/>
          <w:lang w:val="en-US"/>
        </w:rPr>
      </w:pPr>
      <w:r w:rsidRPr="00781164">
        <w:rPr>
          <w:rFonts w:ascii="Arial" w:eastAsia="Times New Roman" w:hAnsi="Arial" w:cs="Arial"/>
          <w:b/>
          <w:sz w:val="24"/>
          <w:szCs w:val="24"/>
          <w:lang w:val="en-US"/>
        </w:rPr>
        <w:t>Student: 2233417</w:t>
      </w:r>
    </w:p>
    <w:p w14:paraId="0353B20B"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44CEB497"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27872DA6"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78261679"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73F8069A"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75732795"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0770EAAA"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6D877CE8"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18DD807E"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37081388"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3D8D9975"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796DA3B2" w14:textId="77777777" w:rsidR="00B22525" w:rsidRDefault="00B22525" w:rsidP="00781164">
      <w:pPr>
        <w:pBdr>
          <w:bottom w:val="single" w:sz="4" w:space="1" w:color="auto"/>
        </w:pBdr>
        <w:spacing w:after="0" w:line="360" w:lineRule="auto"/>
        <w:jc w:val="center"/>
        <w:rPr>
          <w:rFonts w:ascii="Arial" w:eastAsia="Times New Roman" w:hAnsi="Arial" w:cs="Arial"/>
          <w:b/>
          <w:sz w:val="24"/>
          <w:szCs w:val="24"/>
          <w:lang w:val="en-US"/>
        </w:rPr>
      </w:pPr>
    </w:p>
    <w:p w14:paraId="3E443329" w14:textId="77777777" w:rsidR="00B22525" w:rsidRPr="00CC1ABA" w:rsidRDefault="00B22525" w:rsidP="00781164">
      <w:pPr>
        <w:pBdr>
          <w:bottom w:val="single" w:sz="4" w:space="1" w:color="auto"/>
        </w:pBdr>
        <w:spacing w:after="0" w:line="360" w:lineRule="auto"/>
        <w:jc w:val="center"/>
        <w:rPr>
          <w:rFonts w:ascii="Times New Roman" w:eastAsia="Times New Roman" w:hAnsi="Times New Roman" w:cs="Times New Roman"/>
          <w:b/>
          <w:sz w:val="28"/>
          <w:szCs w:val="28"/>
        </w:rPr>
      </w:pPr>
    </w:p>
    <w:p w14:paraId="7FBADE31" w14:textId="77777777" w:rsid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b/>
          <w:sz w:val="24"/>
          <w:szCs w:val="24"/>
        </w:rPr>
        <w:br w:type="page"/>
      </w:r>
    </w:p>
    <w:p w14:paraId="2A899C5F" w14:textId="764AB494" w:rsidR="002A712E" w:rsidRDefault="008C61C4" w:rsidP="00CC1ABA">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AI Declaration:</w:t>
      </w:r>
    </w:p>
    <w:p w14:paraId="5808AF6C" w14:textId="77777777" w:rsidR="002A712E" w:rsidRDefault="002A712E" w:rsidP="00CC1ABA">
      <w:pPr>
        <w:spacing w:after="0" w:line="360" w:lineRule="auto"/>
        <w:jc w:val="both"/>
        <w:rPr>
          <w:rFonts w:ascii="Times New Roman" w:eastAsia="Times New Roman" w:hAnsi="Times New Roman" w:cs="Times New Roman"/>
          <w:b/>
          <w:sz w:val="24"/>
          <w:szCs w:val="24"/>
        </w:rPr>
      </w:pPr>
    </w:p>
    <w:p w14:paraId="5F6EBA1F" w14:textId="77777777" w:rsidR="002A712E" w:rsidRDefault="002A712E" w:rsidP="00CC1ABA">
      <w:pPr>
        <w:spacing w:after="0" w:line="360" w:lineRule="auto"/>
        <w:jc w:val="both"/>
        <w:rPr>
          <w:rFonts w:ascii="Times New Roman" w:eastAsia="Times New Roman" w:hAnsi="Times New Roman" w:cs="Times New Roman"/>
          <w:b/>
          <w:sz w:val="24"/>
          <w:szCs w:val="24"/>
        </w:rPr>
      </w:pPr>
    </w:p>
    <w:p w14:paraId="1786B34E" w14:textId="603EAC8E" w:rsidR="005B7D23" w:rsidRDefault="007D4B7C" w:rsidP="00CC1ABA">
      <w:pPr>
        <w:spacing w:after="0" w:line="360" w:lineRule="auto"/>
        <w:jc w:val="both"/>
        <w:rPr>
          <w:rFonts w:ascii="Times New Roman" w:eastAsia="Times New Roman" w:hAnsi="Times New Roman" w:cs="Times New Roman"/>
          <w:b/>
          <w:sz w:val="24"/>
          <w:szCs w:val="24"/>
        </w:rPr>
      </w:pPr>
      <w:r w:rsidRPr="007D4B7C">
        <w:rPr>
          <w:rFonts w:ascii="Times New Roman" w:eastAsia="Times New Roman" w:hAnsi="Times New Roman" w:cs="Times New Roman"/>
          <w:b/>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CC85B07"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52868A70"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700DC55E"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18A14304"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4B110B3E"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78825B7C"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65C8C1E9"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3420F309"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19D1ED2E"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731D5B9A"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41C963F0"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6A67C458"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39FD9C7E"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53D86249"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2CDD5BE6"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0A230D54"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3BBB8E71"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2D0ECD70"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19E932BD"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60807925"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10D00FA4"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0266DC2C"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44F8C0F9"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7C2ED0AF"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0860296E"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722F0197"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58AE2CAA"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33A15220"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5F89A1CA"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2162448F"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071A98E2"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03DAD6DD" w14:textId="77777777" w:rsidR="005B7D23" w:rsidRDefault="005B7D23" w:rsidP="00CC1ABA">
      <w:pPr>
        <w:spacing w:after="0" w:line="360" w:lineRule="auto"/>
        <w:jc w:val="both"/>
        <w:rPr>
          <w:rFonts w:ascii="Times New Roman" w:eastAsia="Times New Roman" w:hAnsi="Times New Roman" w:cs="Times New Roman"/>
          <w:b/>
          <w:sz w:val="24"/>
          <w:szCs w:val="24"/>
        </w:rPr>
      </w:pPr>
    </w:p>
    <w:p w14:paraId="38069411" w14:textId="77777777" w:rsidR="005B7D23" w:rsidRPr="00CC1ABA" w:rsidRDefault="005B7D23" w:rsidP="00CC1ABA">
      <w:pPr>
        <w:spacing w:after="0" w:line="360" w:lineRule="auto"/>
        <w:jc w:val="both"/>
        <w:rPr>
          <w:rFonts w:ascii="Times New Roman" w:eastAsia="Times New Roman" w:hAnsi="Times New Roman" w:cs="Times New Roman"/>
          <w:b/>
          <w:sz w:val="24"/>
          <w:szCs w:val="24"/>
        </w:rPr>
      </w:pPr>
    </w:p>
    <w:sdt>
      <w:sdtPr>
        <w:rPr>
          <w:rFonts w:ascii="Times New Roman" w:eastAsia="Times New Roman" w:hAnsi="Times New Roman" w:cs="Times New Roman"/>
          <w:sz w:val="24"/>
          <w:szCs w:val="24"/>
        </w:rPr>
        <w:id w:val="-2030937627"/>
        <w:docPartObj>
          <w:docPartGallery w:val="Table of Contents"/>
          <w:docPartUnique/>
        </w:docPartObj>
      </w:sdtPr>
      <w:sdtEndPr>
        <w:rPr>
          <w:b/>
          <w:bCs/>
          <w:noProof/>
        </w:rPr>
      </w:sdtEndPr>
      <w:sdtContent>
        <w:p w14:paraId="3EEB0B42" w14:textId="77777777" w:rsidR="00CC1ABA" w:rsidRPr="00CC1ABA" w:rsidRDefault="00CC1ABA" w:rsidP="00CC1ABA">
          <w:pPr>
            <w:keepNext/>
            <w:keepLines/>
            <w:spacing w:before="240" w:after="0"/>
            <w:jc w:val="center"/>
            <w:rPr>
              <w:rFonts w:ascii="Times New Roman" w:eastAsia="Times New Roman" w:hAnsi="Times New Roman" w:cs="Times New Roman"/>
              <w:b/>
              <w:bCs/>
              <w:color w:val="000000"/>
              <w:sz w:val="32"/>
              <w:szCs w:val="32"/>
              <w:lang w:val="en-US"/>
            </w:rPr>
          </w:pPr>
          <w:r w:rsidRPr="00CC1ABA">
            <w:rPr>
              <w:rFonts w:ascii="Times New Roman" w:eastAsia="Times New Roman" w:hAnsi="Times New Roman" w:cs="Times New Roman"/>
              <w:b/>
              <w:bCs/>
              <w:color w:val="000000"/>
              <w:sz w:val="32"/>
              <w:szCs w:val="32"/>
              <w:lang w:val="en-US"/>
            </w:rPr>
            <w:t>Table of Contents</w:t>
          </w:r>
        </w:p>
        <w:p w14:paraId="5A1BAB48" w14:textId="77777777" w:rsidR="00CC1ABA" w:rsidRPr="00CC1ABA" w:rsidRDefault="00CC1ABA" w:rsidP="00CC1ABA">
          <w:pPr>
            <w:tabs>
              <w:tab w:val="right" w:leader="dot" w:pos="9350"/>
            </w:tabs>
            <w:spacing w:after="100" w:line="360" w:lineRule="auto"/>
            <w:jc w:val="both"/>
            <w:rPr>
              <w:rFonts w:ascii="Times New Roman" w:eastAsia="Times New Roman" w:hAnsi="Times New Roman" w:cs="Times New Roman"/>
              <w:noProof/>
              <w:sz w:val="24"/>
              <w:szCs w:val="24"/>
            </w:rPr>
          </w:pPr>
          <w:r w:rsidRPr="00CC1ABA">
            <w:rPr>
              <w:rFonts w:ascii="Times New Roman" w:eastAsia="Times New Roman" w:hAnsi="Times New Roman" w:cs="Times New Roman"/>
              <w:sz w:val="24"/>
              <w:szCs w:val="24"/>
            </w:rPr>
            <w:fldChar w:fldCharType="begin"/>
          </w:r>
          <w:r w:rsidRPr="00CC1ABA">
            <w:rPr>
              <w:rFonts w:ascii="Times New Roman" w:eastAsia="Times New Roman" w:hAnsi="Times New Roman" w:cs="Times New Roman"/>
              <w:sz w:val="24"/>
              <w:szCs w:val="24"/>
            </w:rPr>
            <w:instrText xml:space="preserve"> TOC \o "1-3" \h \z \u </w:instrText>
          </w:r>
          <w:r w:rsidRPr="00CC1ABA">
            <w:rPr>
              <w:rFonts w:ascii="Times New Roman" w:eastAsia="Times New Roman" w:hAnsi="Times New Roman" w:cs="Times New Roman"/>
              <w:sz w:val="24"/>
              <w:szCs w:val="24"/>
            </w:rPr>
            <w:fldChar w:fldCharType="separate"/>
          </w:r>
          <w:hyperlink w:anchor="_Toc179112981" w:history="1">
            <w:r w:rsidRPr="00CC1ABA">
              <w:rPr>
                <w:rFonts w:ascii="Times New Roman" w:eastAsia="Times New Roman" w:hAnsi="Times New Roman" w:cs="Times New Roman"/>
                <w:noProof/>
                <w:color w:val="0000FF"/>
                <w:sz w:val="24"/>
                <w:szCs w:val="24"/>
                <w:u w:val="single"/>
              </w:rPr>
              <w:t>Introduction</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_Toc179112981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3</w:t>
            </w:r>
            <w:r w:rsidRPr="00CC1ABA">
              <w:rPr>
                <w:rFonts w:ascii="Times New Roman" w:eastAsia="Times New Roman" w:hAnsi="Times New Roman" w:cs="Times New Roman"/>
                <w:noProof/>
                <w:webHidden/>
                <w:sz w:val="24"/>
                <w:szCs w:val="24"/>
              </w:rPr>
              <w:fldChar w:fldCharType="end"/>
            </w:r>
          </w:hyperlink>
        </w:p>
        <w:p w14:paraId="7286CDDB" w14:textId="77777777" w:rsidR="00CC1ABA" w:rsidRPr="00CC1ABA" w:rsidRDefault="00CC1ABA" w:rsidP="00CC1ABA">
          <w:pPr>
            <w:tabs>
              <w:tab w:val="right" w:leader="dot" w:pos="9350"/>
            </w:tabs>
            <w:spacing w:after="100" w:line="360" w:lineRule="auto"/>
            <w:jc w:val="both"/>
            <w:rPr>
              <w:rFonts w:ascii="Times New Roman" w:eastAsia="Times New Roman" w:hAnsi="Times New Roman" w:cs="Times New Roman"/>
              <w:noProof/>
              <w:sz w:val="24"/>
              <w:szCs w:val="24"/>
            </w:rPr>
          </w:pPr>
          <w:hyperlink w:anchor="_Toc179112982" w:history="1">
            <w:r w:rsidRPr="00CC1ABA">
              <w:rPr>
                <w:rFonts w:ascii="Times New Roman" w:eastAsia="Times New Roman" w:hAnsi="Times New Roman" w:cs="Times New Roman"/>
                <w:noProof/>
                <w:color w:val="0000FF"/>
                <w:sz w:val="24"/>
                <w:szCs w:val="24"/>
                <w:u w:val="single"/>
              </w:rPr>
              <w:t>Discussions</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_Toc179112982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3</w:t>
            </w:r>
            <w:r w:rsidRPr="00CC1ABA">
              <w:rPr>
                <w:rFonts w:ascii="Times New Roman" w:eastAsia="Times New Roman" w:hAnsi="Times New Roman" w:cs="Times New Roman"/>
                <w:noProof/>
                <w:webHidden/>
                <w:sz w:val="24"/>
                <w:szCs w:val="24"/>
              </w:rPr>
              <w:fldChar w:fldCharType="end"/>
            </w:r>
          </w:hyperlink>
        </w:p>
        <w:p w14:paraId="38944F8F" w14:textId="77777777" w:rsidR="00CC1ABA" w:rsidRPr="00CC1ABA" w:rsidRDefault="00CC1ABA" w:rsidP="00CC1ABA">
          <w:pPr>
            <w:tabs>
              <w:tab w:val="right" w:leader="dot" w:pos="9350"/>
            </w:tabs>
            <w:spacing w:after="100" w:line="360" w:lineRule="auto"/>
            <w:ind w:left="240"/>
            <w:jc w:val="both"/>
            <w:rPr>
              <w:rFonts w:ascii="Times New Roman" w:eastAsia="Times New Roman" w:hAnsi="Times New Roman" w:cs="Times New Roman"/>
              <w:noProof/>
              <w:sz w:val="24"/>
              <w:szCs w:val="24"/>
            </w:rPr>
          </w:pPr>
          <w:hyperlink w:anchor="_Toc179112983" w:history="1">
            <w:r w:rsidRPr="00CC1ABA">
              <w:rPr>
                <w:rFonts w:ascii="Times New Roman" w:eastAsia="Times New Roman" w:hAnsi="Times New Roman" w:cs="Times New Roman"/>
                <w:noProof/>
                <w:color w:val="0000FF"/>
                <w:sz w:val="24"/>
                <w:szCs w:val="24"/>
                <w:u w:val="single"/>
              </w:rPr>
              <w:t>1. Analysis of the current financial position of The City Hotel</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_Toc179112983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3</w:t>
            </w:r>
            <w:r w:rsidRPr="00CC1ABA">
              <w:rPr>
                <w:rFonts w:ascii="Times New Roman" w:eastAsia="Times New Roman" w:hAnsi="Times New Roman" w:cs="Times New Roman"/>
                <w:noProof/>
                <w:webHidden/>
                <w:sz w:val="24"/>
                <w:szCs w:val="24"/>
              </w:rPr>
              <w:fldChar w:fldCharType="end"/>
            </w:r>
          </w:hyperlink>
        </w:p>
        <w:p w14:paraId="2CBCE450" w14:textId="77777777" w:rsidR="00CC1ABA" w:rsidRPr="00CC1ABA" w:rsidRDefault="00CC1ABA" w:rsidP="00CC1ABA">
          <w:pPr>
            <w:tabs>
              <w:tab w:val="right" w:leader="dot" w:pos="9350"/>
            </w:tabs>
            <w:spacing w:after="100" w:line="360" w:lineRule="auto"/>
            <w:ind w:left="240"/>
            <w:jc w:val="both"/>
            <w:rPr>
              <w:rFonts w:ascii="Times New Roman" w:eastAsia="Times New Roman" w:hAnsi="Times New Roman" w:cs="Times New Roman"/>
              <w:noProof/>
              <w:sz w:val="24"/>
              <w:szCs w:val="24"/>
            </w:rPr>
          </w:pPr>
          <w:hyperlink w:anchor="_Toc179112984" w:history="1">
            <w:r w:rsidRPr="00CC1ABA">
              <w:rPr>
                <w:rFonts w:ascii="Times New Roman" w:eastAsia="Times New Roman" w:hAnsi="Times New Roman" w:cs="Times New Roman"/>
                <w:noProof/>
                <w:color w:val="0000FF"/>
                <w:sz w:val="24"/>
                <w:szCs w:val="24"/>
                <w:u w:val="single"/>
              </w:rPr>
              <w:t>2. Fundamental causes behind declined profit in The City Hotel</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_Toc179112984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6</w:t>
            </w:r>
            <w:r w:rsidRPr="00CC1ABA">
              <w:rPr>
                <w:rFonts w:ascii="Times New Roman" w:eastAsia="Times New Roman" w:hAnsi="Times New Roman" w:cs="Times New Roman"/>
                <w:noProof/>
                <w:webHidden/>
                <w:sz w:val="24"/>
                <w:szCs w:val="24"/>
              </w:rPr>
              <w:fldChar w:fldCharType="end"/>
            </w:r>
          </w:hyperlink>
        </w:p>
        <w:p w14:paraId="658F8FDA" w14:textId="77777777" w:rsidR="00CC1ABA" w:rsidRPr="00CC1ABA" w:rsidRDefault="00CC1ABA" w:rsidP="00CC1ABA">
          <w:pPr>
            <w:tabs>
              <w:tab w:val="right" w:leader="dot" w:pos="9350"/>
            </w:tabs>
            <w:spacing w:after="100" w:line="360" w:lineRule="auto"/>
            <w:ind w:left="240"/>
            <w:jc w:val="both"/>
            <w:rPr>
              <w:rFonts w:ascii="Times New Roman" w:eastAsia="Times New Roman" w:hAnsi="Times New Roman" w:cs="Times New Roman"/>
              <w:noProof/>
              <w:sz w:val="24"/>
              <w:szCs w:val="24"/>
            </w:rPr>
          </w:pPr>
          <w:hyperlink w:anchor="_Toc179112985" w:history="1">
            <w:r w:rsidRPr="00CC1ABA">
              <w:rPr>
                <w:rFonts w:ascii="Times New Roman" w:eastAsia="Times New Roman" w:hAnsi="Times New Roman" w:cs="Times New Roman"/>
                <w:noProof/>
                <w:color w:val="0000FF"/>
                <w:sz w:val="24"/>
                <w:szCs w:val="24"/>
                <w:u w:val="single"/>
              </w:rPr>
              <w:t>3. Application of turnaround strategies for business operations</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_Toc179112985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9</w:t>
            </w:r>
            <w:r w:rsidRPr="00CC1ABA">
              <w:rPr>
                <w:rFonts w:ascii="Times New Roman" w:eastAsia="Times New Roman" w:hAnsi="Times New Roman" w:cs="Times New Roman"/>
                <w:noProof/>
                <w:webHidden/>
                <w:sz w:val="24"/>
                <w:szCs w:val="24"/>
              </w:rPr>
              <w:fldChar w:fldCharType="end"/>
            </w:r>
          </w:hyperlink>
        </w:p>
        <w:p w14:paraId="4F8E8047" w14:textId="77777777" w:rsidR="00CC1ABA" w:rsidRPr="00CC1ABA" w:rsidRDefault="00CC1ABA" w:rsidP="00CC1ABA">
          <w:pPr>
            <w:tabs>
              <w:tab w:val="right" w:leader="dot" w:pos="9350"/>
            </w:tabs>
            <w:spacing w:after="100" w:line="360" w:lineRule="auto"/>
            <w:jc w:val="both"/>
            <w:rPr>
              <w:rFonts w:ascii="Times New Roman" w:eastAsia="Times New Roman" w:hAnsi="Times New Roman" w:cs="Times New Roman"/>
              <w:noProof/>
              <w:sz w:val="24"/>
              <w:szCs w:val="24"/>
            </w:rPr>
          </w:pPr>
          <w:hyperlink w:anchor="_Toc179112986" w:history="1">
            <w:r w:rsidRPr="00CC1ABA">
              <w:rPr>
                <w:rFonts w:ascii="Times New Roman" w:eastAsia="Times New Roman" w:hAnsi="Times New Roman" w:cs="Times New Roman"/>
                <w:noProof/>
                <w:color w:val="0000FF"/>
                <w:sz w:val="24"/>
                <w:szCs w:val="24"/>
                <w:u w:val="single"/>
              </w:rPr>
              <w:t>Conclusions</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_Toc179112986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9</w:t>
            </w:r>
            <w:r w:rsidRPr="00CC1ABA">
              <w:rPr>
                <w:rFonts w:ascii="Times New Roman" w:eastAsia="Times New Roman" w:hAnsi="Times New Roman" w:cs="Times New Roman"/>
                <w:noProof/>
                <w:webHidden/>
                <w:sz w:val="24"/>
                <w:szCs w:val="24"/>
              </w:rPr>
              <w:fldChar w:fldCharType="end"/>
            </w:r>
          </w:hyperlink>
        </w:p>
        <w:p w14:paraId="28DBF4B8" w14:textId="77777777" w:rsidR="00CC1ABA" w:rsidRPr="00CC1ABA" w:rsidRDefault="00CC1ABA" w:rsidP="00CC1ABA">
          <w:pPr>
            <w:tabs>
              <w:tab w:val="right" w:leader="dot" w:pos="9350"/>
            </w:tabs>
            <w:spacing w:after="100" w:line="360" w:lineRule="auto"/>
            <w:jc w:val="both"/>
            <w:rPr>
              <w:rFonts w:ascii="Times New Roman" w:eastAsia="Times New Roman" w:hAnsi="Times New Roman" w:cs="Times New Roman"/>
              <w:noProof/>
              <w:sz w:val="24"/>
              <w:szCs w:val="24"/>
            </w:rPr>
          </w:pPr>
          <w:hyperlink w:anchor="_Toc179112987" w:history="1">
            <w:r w:rsidRPr="00CC1ABA">
              <w:rPr>
                <w:rFonts w:ascii="Times New Roman" w:eastAsia="Times New Roman" w:hAnsi="Times New Roman" w:cs="Times New Roman"/>
                <w:noProof/>
                <w:color w:val="0000FF"/>
                <w:sz w:val="24"/>
                <w:szCs w:val="24"/>
                <w:u w:val="single"/>
              </w:rPr>
              <w:t>References</w:t>
            </w:r>
            <w:r w:rsidRPr="00CC1ABA">
              <w:rPr>
                <w:rFonts w:ascii="Times New Roman" w:eastAsia="Times New Roman" w:hAnsi="Times New Roman" w:cs="Times New Roman"/>
                <w:noProof/>
                <w:webHidden/>
                <w:sz w:val="24"/>
                <w:szCs w:val="24"/>
              </w:rPr>
              <w:tab/>
            </w:r>
            <w:r w:rsidRPr="00CC1ABA">
              <w:rPr>
                <w:rFonts w:ascii="Times New Roman" w:eastAsia="Times New Roman" w:hAnsi="Times New Roman" w:cs="Times New Roman"/>
                <w:noProof/>
                <w:webHidden/>
                <w:sz w:val="24"/>
                <w:szCs w:val="24"/>
              </w:rPr>
              <w:fldChar w:fldCharType="begin"/>
            </w:r>
            <w:r w:rsidRPr="00CC1ABA">
              <w:rPr>
                <w:rFonts w:ascii="Times New Roman" w:eastAsia="Times New Roman" w:hAnsi="Times New Roman" w:cs="Times New Roman"/>
                <w:noProof/>
                <w:webHidden/>
                <w:sz w:val="24"/>
                <w:szCs w:val="24"/>
              </w:rPr>
              <w:instrText xml:space="preserve"> PAGEREF _Toc179112987 \h </w:instrText>
            </w:r>
            <w:r w:rsidRPr="00CC1ABA">
              <w:rPr>
                <w:rFonts w:ascii="Times New Roman" w:eastAsia="Times New Roman" w:hAnsi="Times New Roman" w:cs="Times New Roman"/>
                <w:noProof/>
                <w:webHidden/>
                <w:sz w:val="24"/>
                <w:szCs w:val="24"/>
              </w:rPr>
            </w:r>
            <w:r w:rsidRPr="00CC1ABA">
              <w:rPr>
                <w:rFonts w:ascii="Times New Roman" w:eastAsia="Times New Roman" w:hAnsi="Times New Roman" w:cs="Times New Roman"/>
                <w:noProof/>
                <w:webHidden/>
                <w:sz w:val="24"/>
                <w:szCs w:val="24"/>
              </w:rPr>
              <w:fldChar w:fldCharType="separate"/>
            </w:r>
            <w:r w:rsidRPr="00CC1ABA">
              <w:rPr>
                <w:rFonts w:ascii="Times New Roman" w:eastAsia="Times New Roman" w:hAnsi="Times New Roman" w:cs="Times New Roman"/>
                <w:noProof/>
                <w:webHidden/>
                <w:sz w:val="24"/>
                <w:szCs w:val="24"/>
              </w:rPr>
              <w:t>11</w:t>
            </w:r>
            <w:r w:rsidRPr="00CC1ABA">
              <w:rPr>
                <w:rFonts w:ascii="Times New Roman" w:eastAsia="Times New Roman" w:hAnsi="Times New Roman" w:cs="Times New Roman"/>
                <w:noProof/>
                <w:webHidden/>
                <w:sz w:val="24"/>
                <w:szCs w:val="24"/>
              </w:rPr>
              <w:fldChar w:fldCharType="end"/>
            </w:r>
          </w:hyperlink>
        </w:p>
        <w:p w14:paraId="1947F0EA"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bCs/>
              <w:noProof/>
              <w:sz w:val="24"/>
              <w:szCs w:val="24"/>
            </w:rPr>
            <w:fldChar w:fldCharType="end"/>
          </w:r>
        </w:p>
      </w:sdtContent>
    </w:sdt>
    <w:p w14:paraId="77F21214"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b/>
          <w:sz w:val="24"/>
          <w:szCs w:val="24"/>
        </w:rPr>
        <w:br w:type="page"/>
      </w:r>
    </w:p>
    <w:p w14:paraId="1CAC77A3" w14:textId="77777777" w:rsidR="00CC1ABA" w:rsidRPr="00CC1ABA" w:rsidRDefault="00CC1ABA" w:rsidP="00CC1ABA">
      <w:pPr>
        <w:spacing w:after="0" w:line="360" w:lineRule="auto"/>
        <w:jc w:val="both"/>
        <w:outlineLvl w:val="0"/>
        <w:rPr>
          <w:rFonts w:ascii="Times New Roman" w:eastAsia="Times New Roman" w:hAnsi="Times New Roman" w:cs="Times New Roman"/>
          <w:b/>
          <w:sz w:val="24"/>
          <w:szCs w:val="24"/>
        </w:rPr>
      </w:pPr>
      <w:bookmarkStart w:id="0" w:name="_Toc179112981"/>
      <w:r w:rsidRPr="00CC1ABA">
        <w:rPr>
          <w:rFonts w:ascii="Times New Roman" w:eastAsia="Times New Roman" w:hAnsi="Times New Roman" w:cs="Times New Roman"/>
          <w:b/>
          <w:sz w:val="24"/>
          <w:szCs w:val="24"/>
        </w:rPr>
        <w:lastRenderedPageBreak/>
        <w:t>Introduction</w:t>
      </w:r>
      <w:bookmarkEnd w:id="0"/>
      <w:r w:rsidRPr="00CC1ABA">
        <w:rPr>
          <w:rFonts w:ascii="Times New Roman" w:eastAsia="Times New Roman" w:hAnsi="Times New Roman" w:cs="Times New Roman"/>
          <w:b/>
          <w:sz w:val="24"/>
          <w:szCs w:val="24"/>
        </w:rPr>
        <w:t xml:space="preserve"> </w:t>
      </w:r>
    </w:p>
    <w:p w14:paraId="1F76711F"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applied principles of financial management are initiated for the general development of financial evaluation support, including managerial intervention that formulates proper guidance for resource allocation and operating development in a business. Adequate importance to the presence of both financial and non-financial factors is essential regarding the operating support in a business that ultimately manages the operating growth, including value formulation benefits (Salehi and </w:t>
      </w:r>
      <w:proofErr w:type="spellStart"/>
      <w:r w:rsidRPr="00CC1ABA">
        <w:rPr>
          <w:rFonts w:ascii="Times New Roman" w:eastAsia="Times New Roman" w:hAnsi="Times New Roman" w:cs="Times New Roman"/>
          <w:sz w:val="24"/>
          <w:szCs w:val="24"/>
        </w:rPr>
        <w:t>Arianpoor</w:t>
      </w:r>
      <w:proofErr w:type="spellEnd"/>
      <w:r w:rsidRPr="00CC1ABA">
        <w:rPr>
          <w:rFonts w:ascii="Times New Roman" w:eastAsia="Times New Roman" w:hAnsi="Times New Roman" w:cs="Times New Roman"/>
          <w:sz w:val="24"/>
          <w:szCs w:val="24"/>
        </w:rPr>
        <w:t xml:space="preserve">, 2021). The position of business performance with the involvement of both factors brings operating stability including performance feasibility support that is comprehensive for the maintenance of business development in a progressive manner. In the present position, the financial position related to the organisation </w:t>
      </w:r>
      <w:r w:rsidRPr="00CC1ABA">
        <w:rPr>
          <w:rFonts w:ascii="Times New Roman" w:eastAsia="Times New Roman" w:hAnsi="Times New Roman" w:cs="Times New Roman"/>
          <w:b/>
          <w:sz w:val="24"/>
          <w:szCs w:val="24"/>
        </w:rPr>
        <w:t xml:space="preserve">“The City Hotel” </w:t>
      </w:r>
      <w:r w:rsidRPr="00CC1ABA">
        <w:rPr>
          <w:rFonts w:ascii="Times New Roman" w:eastAsia="Times New Roman" w:hAnsi="Times New Roman" w:cs="Times New Roman"/>
          <w:sz w:val="24"/>
          <w:szCs w:val="24"/>
        </w:rPr>
        <w:t xml:space="preserve">has mainly declined which imposes a certain level of financial and operating burden. This report provides a detailed financial and non-financial position analysis that brings the applied turnaround strategic approach for the development of this organisational performance on a proper basis. </w:t>
      </w:r>
    </w:p>
    <w:p w14:paraId="1DDE81FD" w14:textId="77777777" w:rsidR="00CC1ABA" w:rsidRPr="00CC1ABA" w:rsidRDefault="00CC1ABA" w:rsidP="00CC1ABA">
      <w:pPr>
        <w:spacing w:after="0" w:line="360" w:lineRule="auto"/>
        <w:jc w:val="center"/>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drawing>
          <wp:inline distT="114300" distB="114300" distL="114300" distR="114300" wp14:anchorId="702B3D3F" wp14:editId="45D99358">
            <wp:extent cx="3286125" cy="147637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86125" cy="1476375"/>
                    </a:xfrm>
                    <a:prstGeom prst="rect">
                      <a:avLst/>
                    </a:prstGeom>
                    <a:ln/>
                  </pic:spPr>
                </pic:pic>
              </a:graphicData>
            </a:graphic>
          </wp:inline>
        </w:drawing>
      </w:r>
    </w:p>
    <w:p w14:paraId="7C2D8493" w14:textId="77777777" w:rsidR="00CC1ABA" w:rsidRPr="00CC1ABA" w:rsidRDefault="00CC1ABA" w:rsidP="00CC1ABA">
      <w:pPr>
        <w:spacing w:after="0" w:line="360" w:lineRule="auto"/>
        <w:jc w:val="both"/>
        <w:outlineLvl w:val="0"/>
        <w:rPr>
          <w:rFonts w:ascii="Times New Roman" w:eastAsia="Times New Roman" w:hAnsi="Times New Roman" w:cs="Times New Roman"/>
          <w:b/>
          <w:sz w:val="24"/>
          <w:szCs w:val="24"/>
        </w:rPr>
      </w:pPr>
      <w:bookmarkStart w:id="1" w:name="_Toc179112982"/>
      <w:r w:rsidRPr="00CC1ABA">
        <w:rPr>
          <w:rFonts w:ascii="Times New Roman" w:eastAsia="Times New Roman" w:hAnsi="Times New Roman" w:cs="Times New Roman"/>
          <w:b/>
          <w:sz w:val="24"/>
          <w:szCs w:val="24"/>
        </w:rPr>
        <w:t>Discussions</w:t>
      </w:r>
      <w:bookmarkEnd w:id="1"/>
      <w:r w:rsidRPr="00CC1ABA">
        <w:rPr>
          <w:rFonts w:ascii="Times New Roman" w:eastAsia="Times New Roman" w:hAnsi="Times New Roman" w:cs="Times New Roman"/>
          <w:b/>
          <w:sz w:val="24"/>
          <w:szCs w:val="24"/>
        </w:rPr>
        <w:t xml:space="preserve"> </w:t>
      </w:r>
    </w:p>
    <w:p w14:paraId="7943E80C" w14:textId="77777777" w:rsidR="00CC1ABA" w:rsidRPr="00CC1ABA" w:rsidRDefault="00CC1ABA" w:rsidP="00CC1ABA">
      <w:pPr>
        <w:spacing w:after="0" w:line="360" w:lineRule="auto"/>
        <w:jc w:val="both"/>
        <w:outlineLvl w:val="1"/>
        <w:rPr>
          <w:rFonts w:ascii="Times New Roman" w:eastAsia="Times New Roman" w:hAnsi="Times New Roman" w:cs="Times New Roman"/>
          <w:b/>
          <w:sz w:val="24"/>
          <w:szCs w:val="24"/>
        </w:rPr>
      </w:pPr>
      <w:bookmarkStart w:id="2" w:name="_Toc179112983"/>
      <w:r w:rsidRPr="00CC1ABA">
        <w:rPr>
          <w:rFonts w:ascii="Times New Roman" w:eastAsia="Times New Roman" w:hAnsi="Times New Roman" w:cs="Times New Roman"/>
          <w:b/>
          <w:sz w:val="24"/>
          <w:szCs w:val="24"/>
        </w:rPr>
        <w:t>1. Analysis of the current financial position of The City Hotel</w:t>
      </w:r>
      <w:bookmarkEnd w:id="2"/>
    </w:p>
    <w:p w14:paraId="3D29FCE3"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sz w:val="24"/>
          <w:szCs w:val="24"/>
        </w:rPr>
        <w:t>A primary formulation regarding the performance management approach is necessary for every business for the general initiative of operating development including the value of progressive purpose. The primary applicability of ratio analysis is defined as one of the most significant strategic tools for measuring the trending initiative structure of business financial engagement on a supportive basis which is accountable for the realisation of business values (</w:t>
      </w:r>
      <w:proofErr w:type="spellStart"/>
      <w:r w:rsidRPr="00CC1ABA">
        <w:rPr>
          <w:rFonts w:ascii="Times New Roman" w:eastAsia="Times New Roman" w:hAnsi="Times New Roman" w:cs="Times New Roman"/>
          <w:sz w:val="24"/>
          <w:szCs w:val="24"/>
        </w:rPr>
        <w:t>Milasinovic</w:t>
      </w:r>
      <w:proofErr w:type="spellEnd"/>
      <w:r w:rsidRPr="00CC1ABA">
        <w:rPr>
          <w:rFonts w:ascii="Times New Roman" w:eastAsia="Times New Roman" w:hAnsi="Times New Roman" w:cs="Times New Roman"/>
          <w:sz w:val="24"/>
          <w:szCs w:val="24"/>
        </w:rPr>
        <w:t xml:space="preserve"> </w:t>
      </w:r>
      <w:r w:rsidRPr="00CC1ABA">
        <w:rPr>
          <w:rFonts w:ascii="Times New Roman" w:eastAsia="Times New Roman" w:hAnsi="Times New Roman" w:cs="Times New Roman"/>
          <w:i/>
          <w:sz w:val="24"/>
          <w:szCs w:val="24"/>
        </w:rPr>
        <w:t xml:space="preserve">et al., </w:t>
      </w:r>
      <w:r w:rsidRPr="00CC1ABA">
        <w:rPr>
          <w:rFonts w:ascii="Times New Roman" w:eastAsia="Times New Roman" w:hAnsi="Times New Roman" w:cs="Times New Roman"/>
          <w:sz w:val="24"/>
          <w:szCs w:val="24"/>
        </w:rPr>
        <w:t xml:space="preserve">2021). The formulation of this type of analysis along with the present positioning support also provides general guidance for the trending determinations of business compatibility for the primary initiative of business progress. The formulation of such detailed analysis is provided, </w:t>
      </w:r>
    </w:p>
    <w:p w14:paraId="0ED752E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Revenue: </w:t>
      </w:r>
      <w:r w:rsidRPr="00CC1ABA">
        <w:rPr>
          <w:rFonts w:ascii="Times New Roman" w:eastAsia="Times New Roman" w:hAnsi="Times New Roman" w:cs="Times New Roman"/>
          <w:sz w:val="24"/>
          <w:szCs w:val="24"/>
        </w:rPr>
        <w:t>Fundamental involvement of revenue is defined as a type of source that he derived in a business with the consideration of internal operations and provides a proper stability attribute for business progress (</w:t>
      </w:r>
      <w:proofErr w:type="spellStart"/>
      <w:r w:rsidRPr="00CC1ABA">
        <w:rPr>
          <w:rFonts w:ascii="Times New Roman" w:eastAsia="Times New Roman" w:hAnsi="Times New Roman" w:cs="Times New Roman"/>
          <w:sz w:val="24"/>
          <w:szCs w:val="24"/>
        </w:rPr>
        <w:t>Alrawadieh</w:t>
      </w:r>
      <w:proofErr w:type="spellEnd"/>
      <w:r w:rsidRPr="00CC1ABA">
        <w:rPr>
          <w:rFonts w:ascii="Times New Roman" w:eastAsia="Times New Roman" w:hAnsi="Times New Roman" w:cs="Times New Roman"/>
          <w:sz w:val="24"/>
          <w:szCs w:val="24"/>
        </w:rPr>
        <w:t xml:space="preserve"> </w:t>
      </w:r>
      <w:r w:rsidRPr="00CC1ABA">
        <w:rPr>
          <w:rFonts w:ascii="Times New Roman" w:eastAsia="Times New Roman" w:hAnsi="Times New Roman" w:cs="Times New Roman"/>
          <w:i/>
          <w:sz w:val="24"/>
          <w:szCs w:val="24"/>
        </w:rPr>
        <w:t xml:space="preserve">et al., </w:t>
      </w:r>
      <w:r w:rsidRPr="00CC1ABA">
        <w:rPr>
          <w:rFonts w:ascii="Times New Roman" w:eastAsia="Times New Roman" w:hAnsi="Times New Roman" w:cs="Times New Roman"/>
          <w:sz w:val="24"/>
          <w:szCs w:val="24"/>
        </w:rPr>
        <w:t xml:space="preserve">2021). The primary initiative of the present </w:t>
      </w:r>
      <w:r w:rsidRPr="00CC1ABA">
        <w:rPr>
          <w:rFonts w:ascii="Times New Roman" w:eastAsia="Times New Roman" w:hAnsi="Times New Roman" w:cs="Times New Roman"/>
          <w:sz w:val="24"/>
          <w:szCs w:val="24"/>
        </w:rPr>
        <w:lastRenderedPageBreak/>
        <w:t xml:space="preserve">analysis indicates a progressive level of development related to the revenue performances has been impacted in this business that indicates a general expanded level of 5248290 in 2021 to 5307480 in 2022. However, in the present period of 2023 such value mainly represents a declining position of 2325440 that is non-sustainable due to the general market uncertainties. The primary positions of decline market demand mainly impose this type of negative approach in the current year in the urban side of United Kingdom compared to the rural side. </w:t>
      </w:r>
    </w:p>
    <w:p w14:paraId="75952C5B"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Expenses: </w:t>
      </w:r>
      <w:r w:rsidRPr="00CC1ABA">
        <w:rPr>
          <w:rFonts w:ascii="Times New Roman" w:eastAsia="Times New Roman" w:hAnsi="Times New Roman" w:cs="Times New Roman"/>
          <w:sz w:val="24"/>
          <w:szCs w:val="24"/>
        </w:rPr>
        <w:t>These generally represent the primary level of charges that generally impose an impact on the business operations for the reasons of maintaining effective performance stability (Alvarez</w:t>
      </w:r>
      <w:r w:rsidRPr="00CC1ABA">
        <w:rPr>
          <w:rFonts w:ascii="Times New Roman" w:eastAsia="Times New Roman" w:hAnsi="Times New Roman" w:cs="Times New Roman"/>
          <w:i/>
          <w:sz w:val="24"/>
          <w:szCs w:val="24"/>
        </w:rPr>
        <w:t xml:space="preserve"> et al.,</w:t>
      </w:r>
      <w:r w:rsidRPr="00CC1ABA">
        <w:rPr>
          <w:rFonts w:ascii="Times New Roman" w:eastAsia="Times New Roman" w:hAnsi="Times New Roman" w:cs="Times New Roman"/>
          <w:sz w:val="24"/>
          <w:szCs w:val="24"/>
        </w:rPr>
        <w:t xml:space="preserve"> 2021). The primary positions related to this type of value of the business presently indicate a generally expanded approach during the period of 2022 with 4632750 from the previous standard of 4584130 in 2021. In addition, the present period of expenditure (2023) represents a proportionate level of expansions which is 1106590 indicating a certain insufficient market formulation and mainly occurred due to the reasons of uncertain market positioning and expansion of inflation level on an unethical order. </w:t>
      </w:r>
    </w:p>
    <w:p w14:paraId="76D38C3A"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Profitability: </w:t>
      </w:r>
      <w:r w:rsidRPr="00CC1ABA">
        <w:rPr>
          <w:rFonts w:ascii="Times New Roman" w:eastAsia="Times New Roman" w:hAnsi="Times New Roman" w:cs="Times New Roman"/>
          <w:sz w:val="24"/>
          <w:szCs w:val="24"/>
        </w:rPr>
        <w:t xml:space="preserve">The formulation of this is defined as one of the necessary attributes through the processing of veg the ultimate compatibility in relation to the earning formulations of a business is mainly structured (Panno, 2020). It is defined as a general initiative of business contemporary positioning attribute for the general processing support of trend analysis and compatibility determination support. </w:t>
      </w:r>
    </w:p>
    <w:p w14:paraId="2CB77FF0"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drawing>
          <wp:inline distT="114300" distB="114300" distL="114300" distR="114300" wp14:anchorId="46F681BE" wp14:editId="79DC29A4">
            <wp:extent cx="5943600" cy="16129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1612900"/>
                    </a:xfrm>
                    <a:prstGeom prst="rect">
                      <a:avLst/>
                    </a:prstGeom>
                    <a:ln/>
                  </pic:spPr>
                </pic:pic>
              </a:graphicData>
            </a:graphic>
          </wp:inline>
        </w:drawing>
      </w:r>
    </w:p>
    <w:p w14:paraId="16B3DF33"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current positioning structure related to the profitability definitions in the form of gross profit margin indicates a progressive standard development initiative of 92.4% in the year 2022 which also be maintained during the period of 2023 as well. The formulation of these values mainly represents a positive stability development related to the market proportionate engagement. However, the primary level of operating profit margin indicates a significant volume of decline from 12.7% standard in 2022 to the level of (52.4%) in 2023 which represents the excessive expansions of revenues in the business compared to the generating capability of revenue. Even the variant analysis also indicates around (56%) declined approach </w:t>
      </w:r>
      <w:r w:rsidRPr="00CC1ABA">
        <w:rPr>
          <w:rFonts w:ascii="Times New Roman" w:eastAsia="Times New Roman" w:hAnsi="Times New Roman" w:cs="Times New Roman"/>
          <w:sz w:val="24"/>
          <w:szCs w:val="24"/>
        </w:rPr>
        <w:lastRenderedPageBreak/>
        <w:t xml:space="preserve">in relation to the previous year's positions in gross profit and around (281%) declining positions in operating profit margin compared to the level of 2022. </w:t>
      </w:r>
    </w:p>
    <w:p w14:paraId="0D86662C"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Liquidity: </w:t>
      </w:r>
      <w:r w:rsidRPr="00CC1ABA">
        <w:rPr>
          <w:rFonts w:ascii="Times New Roman" w:eastAsia="Times New Roman" w:hAnsi="Times New Roman" w:cs="Times New Roman"/>
          <w:sz w:val="24"/>
          <w:szCs w:val="24"/>
        </w:rPr>
        <w:t xml:space="preserve">The formulated presence and involvement of this analysis are structured for the recognition of liquidity or cash flow formulation purpose that is optimal for the realisations of business values on a specific basis (Lima Santos </w:t>
      </w:r>
      <w:r w:rsidRPr="00CC1ABA">
        <w:rPr>
          <w:rFonts w:ascii="Times New Roman" w:eastAsia="Times New Roman" w:hAnsi="Times New Roman" w:cs="Times New Roman"/>
          <w:i/>
          <w:sz w:val="24"/>
          <w:szCs w:val="24"/>
        </w:rPr>
        <w:t>et al.,</w:t>
      </w:r>
      <w:r w:rsidRPr="00CC1ABA">
        <w:rPr>
          <w:rFonts w:ascii="Times New Roman" w:eastAsia="Times New Roman" w:hAnsi="Times New Roman" w:cs="Times New Roman"/>
          <w:sz w:val="24"/>
          <w:szCs w:val="24"/>
        </w:rPr>
        <w:t xml:space="preserve"> 2021). It provides an identification related to the short-term payment capability and investment initiative of the business also that is reasonable for the maintenance of business furtherance. </w:t>
      </w:r>
    </w:p>
    <w:p w14:paraId="780A53C3"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drawing>
          <wp:inline distT="114300" distB="114300" distL="114300" distR="114300" wp14:anchorId="0E366DB2" wp14:editId="591AF58B">
            <wp:extent cx="5943600" cy="1422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1422400"/>
                    </a:xfrm>
                    <a:prstGeom prst="rect">
                      <a:avLst/>
                    </a:prstGeom>
                    <a:ln/>
                  </pic:spPr>
                </pic:pic>
              </a:graphicData>
            </a:graphic>
          </wp:inline>
        </w:drawing>
      </w:r>
    </w:p>
    <w:p w14:paraId="3F3C5F5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formulation structure and identification of current measurement are initiated for the basic understanding position of liquidity which represents a general declining standard from 0.96 Times in 2021 to the level of 0.93 times in 2022. In the present period, such volume has significantly declined up to the level of 0.63 times mainly that imposes a certain volume of expanded initiative related to the current liability. In proportions of the quick ratio structure, the same declining approaches were also noticed in the current period which indicates the value of decreasing standard from 0.91 Times during 2022 to the level of 0.62 times in the current period. The excessive expansions of the current liability and the general insufficiency standard of liquidity mainly imposed this type of negative approach. </w:t>
      </w:r>
    </w:p>
    <w:p w14:paraId="0A2378FC"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Solvency: </w:t>
      </w:r>
      <w:r w:rsidRPr="00CC1ABA">
        <w:rPr>
          <w:rFonts w:ascii="Times New Roman" w:eastAsia="Times New Roman" w:hAnsi="Times New Roman" w:cs="Times New Roman"/>
          <w:sz w:val="24"/>
          <w:szCs w:val="24"/>
        </w:rPr>
        <w:t>The initiative of this type of analysis is mainly formulated with the general intention of recognising that leverage formulations are the general approach of business accounting elements that ultimately provide some structural guidance to the capital processing benefit in a specific order (</w:t>
      </w:r>
      <w:proofErr w:type="spellStart"/>
      <w:r w:rsidRPr="00CC1ABA">
        <w:rPr>
          <w:rFonts w:ascii="Times New Roman" w:eastAsia="Times New Roman" w:hAnsi="Times New Roman" w:cs="Times New Roman"/>
          <w:sz w:val="24"/>
          <w:szCs w:val="24"/>
        </w:rPr>
        <w:t>Akbulaev</w:t>
      </w:r>
      <w:proofErr w:type="spellEnd"/>
      <w:r w:rsidRPr="00CC1ABA">
        <w:rPr>
          <w:rFonts w:ascii="Times New Roman" w:eastAsia="Times New Roman" w:hAnsi="Times New Roman" w:cs="Times New Roman"/>
          <w:sz w:val="24"/>
          <w:szCs w:val="24"/>
        </w:rPr>
        <w:t xml:space="preserve"> </w:t>
      </w:r>
      <w:r w:rsidRPr="00CC1ABA">
        <w:rPr>
          <w:rFonts w:ascii="Times New Roman" w:eastAsia="Times New Roman" w:hAnsi="Times New Roman" w:cs="Times New Roman"/>
          <w:i/>
          <w:sz w:val="24"/>
          <w:szCs w:val="24"/>
        </w:rPr>
        <w:t xml:space="preserve">et al., </w:t>
      </w:r>
      <w:r w:rsidRPr="00CC1ABA">
        <w:rPr>
          <w:rFonts w:ascii="Times New Roman" w:eastAsia="Times New Roman" w:hAnsi="Times New Roman" w:cs="Times New Roman"/>
          <w:sz w:val="24"/>
          <w:szCs w:val="24"/>
        </w:rPr>
        <w:t xml:space="preserve">2020). It is populated for realisations of market potential and the general dependencies on the Outsourcing financial engagement purpose. </w:t>
      </w:r>
    </w:p>
    <w:p w14:paraId="0DE51B3D"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lastRenderedPageBreak/>
        <w:drawing>
          <wp:inline distT="114300" distB="114300" distL="114300" distR="114300" wp14:anchorId="7A4AB1F4" wp14:editId="1E99E364">
            <wp:extent cx="5943600" cy="26543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2654300"/>
                    </a:xfrm>
                    <a:prstGeom prst="rect">
                      <a:avLst/>
                    </a:prstGeom>
                    <a:ln/>
                  </pic:spPr>
                </pic:pic>
              </a:graphicData>
            </a:graphic>
          </wp:inline>
        </w:drawing>
      </w:r>
    </w:p>
    <w:p w14:paraId="2952B5C6"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identification of this measurement related to the business mainly represents a contemporary growth-initiated attribute which can be identified through the formulations of Debt-to-equity processing basis and currently, it indicates the general standard of progress up to 8.66 Times of development compared to the previous standard of 4.34 times development in 2022. These expansions generally indicate the dependency level on Outsourcing financial values of the business on a comparatively higher basis. </w:t>
      </w:r>
    </w:p>
    <w:p w14:paraId="651432C3"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other analysis of the interest coverage ratio mainly imposes a negative approach due to the declined profitability standard which can be Notice from the standard of 26.95 times of development initiative to the standard of (29.65) times in the present period. On the other hand, the equity ratios structure of the business indicates a certain level of declining position from 0.16 Times development to the level of 0.090 times of initiative which is not comprehensive due to certain market insufficiencies and mainly indicates the non-optimal positions of the equity capital performances in the market. </w:t>
      </w:r>
    </w:p>
    <w:p w14:paraId="52EC47C4" w14:textId="77777777" w:rsidR="00CC1ABA" w:rsidRPr="00CC1ABA" w:rsidRDefault="00CC1ABA" w:rsidP="00CC1ABA">
      <w:pPr>
        <w:spacing w:after="0" w:line="360" w:lineRule="auto"/>
        <w:jc w:val="both"/>
        <w:outlineLvl w:val="1"/>
        <w:rPr>
          <w:rFonts w:ascii="Times New Roman" w:eastAsia="Times New Roman" w:hAnsi="Times New Roman" w:cs="Times New Roman"/>
          <w:b/>
          <w:sz w:val="24"/>
          <w:szCs w:val="24"/>
        </w:rPr>
      </w:pPr>
      <w:bookmarkStart w:id="3" w:name="_Toc179112984"/>
      <w:r w:rsidRPr="00CC1ABA">
        <w:rPr>
          <w:rFonts w:ascii="Times New Roman" w:eastAsia="Times New Roman" w:hAnsi="Times New Roman" w:cs="Times New Roman"/>
          <w:b/>
          <w:sz w:val="24"/>
          <w:szCs w:val="24"/>
        </w:rPr>
        <w:t>2. Fundamental causes behind declined profit in The City Hotel</w:t>
      </w:r>
      <w:bookmarkEnd w:id="3"/>
    </w:p>
    <w:p w14:paraId="4D8A1DB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conceptual environment related to both the macro and microeconomic factors is identified as a relevant attribute that imposes an impact on the business positions and performances depending on which the revenue or earning formulations are initiated. In relation to this </w:t>
      </w:r>
      <w:proofErr w:type="gramStart"/>
      <w:r w:rsidRPr="00CC1ABA">
        <w:rPr>
          <w:rFonts w:ascii="Times New Roman" w:eastAsia="Times New Roman" w:hAnsi="Times New Roman" w:cs="Times New Roman"/>
          <w:sz w:val="24"/>
          <w:szCs w:val="24"/>
        </w:rPr>
        <w:t>particular Hotel</w:t>
      </w:r>
      <w:proofErr w:type="gramEnd"/>
      <w:r w:rsidRPr="00CC1ABA">
        <w:rPr>
          <w:rFonts w:ascii="Times New Roman" w:eastAsia="Times New Roman" w:hAnsi="Times New Roman" w:cs="Times New Roman"/>
          <w:sz w:val="24"/>
          <w:szCs w:val="24"/>
        </w:rPr>
        <w:t xml:space="preserve">, the following reasons related to the UK industrial positions can be identified as the general cause behind the declined earning formulation of this hotel. Such factors are enumerated for the general understanding support of the business position. </w:t>
      </w:r>
    </w:p>
    <w:p w14:paraId="46A3DF4F"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 xml:space="preserve">Geopolitics and world events: </w:t>
      </w:r>
      <w:r w:rsidRPr="00CC1ABA">
        <w:rPr>
          <w:rFonts w:ascii="Times New Roman" w:eastAsia="Times New Roman" w:hAnsi="Times New Roman" w:cs="Times New Roman"/>
          <w:sz w:val="24"/>
          <w:szCs w:val="24"/>
        </w:rPr>
        <w:t xml:space="preserve">As per the general involvement the primary applicability of geo-political circumstances imposes a significant impact on industrial values. The present reasons of the Russia-Ukraine war mainly impose a negative impact on supply chain </w:t>
      </w:r>
      <w:r w:rsidRPr="00CC1ABA">
        <w:rPr>
          <w:rFonts w:ascii="Times New Roman" w:eastAsia="Times New Roman" w:hAnsi="Times New Roman" w:cs="Times New Roman"/>
          <w:sz w:val="24"/>
          <w:szCs w:val="24"/>
        </w:rPr>
        <w:lastRenderedPageBreak/>
        <w:t xml:space="preserve">engagement which imposes a certain uncertainty in the hospitality sector. Additionally, the present level of inflation in the UK represents the level of 2.2% of market potential engagement while the level of interest charges by the BOE is expanded up to the position of 5.25%. The formulation of this type of uncertainty mainly imposes certain insufficiency positions related to the hospitality business growth (Peachey, 2023). </w:t>
      </w:r>
    </w:p>
    <w:p w14:paraId="17BAB903" w14:textId="77777777" w:rsidR="00CC1ABA" w:rsidRPr="00CC1ABA" w:rsidRDefault="00CC1ABA" w:rsidP="00CC1ABA">
      <w:pPr>
        <w:spacing w:after="0" w:line="360" w:lineRule="auto"/>
        <w:jc w:val="center"/>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drawing>
          <wp:inline distT="114300" distB="114300" distL="114300" distR="114300" wp14:anchorId="10B52FA6" wp14:editId="11F1AF40">
            <wp:extent cx="4919663" cy="3248239"/>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919663" cy="3248239"/>
                    </a:xfrm>
                    <a:prstGeom prst="rect">
                      <a:avLst/>
                    </a:prstGeom>
                    <a:ln/>
                  </pic:spPr>
                </pic:pic>
              </a:graphicData>
            </a:graphic>
          </wp:inline>
        </w:drawing>
      </w:r>
    </w:p>
    <w:p w14:paraId="71585D5C"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Global warming:</w:t>
      </w:r>
      <w:r w:rsidRPr="00CC1ABA">
        <w:rPr>
          <w:rFonts w:ascii="Times New Roman" w:eastAsia="Times New Roman" w:hAnsi="Times New Roman" w:cs="Times New Roman"/>
          <w:sz w:val="24"/>
          <w:szCs w:val="24"/>
        </w:rPr>
        <w:t xml:space="preserve"> The present positions of temperature levels in the United Kingdom are rapidly expanding reaching the level of +0.83°C with the GHG emission level in the UK 417.1 </w:t>
      </w:r>
      <w:proofErr w:type="spellStart"/>
      <w:r w:rsidRPr="00CC1ABA">
        <w:rPr>
          <w:rFonts w:ascii="Times New Roman" w:eastAsia="Times New Roman" w:hAnsi="Times New Roman" w:cs="Times New Roman"/>
          <w:sz w:val="24"/>
          <w:szCs w:val="24"/>
        </w:rPr>
        <w:t>MtCO₂e</w:t>
      </w:r>
      <w:proofErr w:type="spellEnd"/>
      <w:r w:rsidRPr="00CC1ABA">
        <w:rPr>
          <w:rFonts w:ascii="Times New Roman" w:eastAsia="Times New Roman" w:hAnsi="Times New Roman" w:cs="Times New Roman"/>
          <w:sz w:val="24"/>
          <w:szCs w:val="24"/>
        </w:rPr>
        <w:t xml:space="preserve">. The formulated level of temperature on the other hand also expanded up to 1.19 degrees Celsius ultimately imposing a certain negative impact on global warming (Salas, 2023). Due to expansions of this type of temperature there is negative impact on the tourist engagement level in the UK on a rapid basis which is also identified as one of the primary reasons behind the declining positions of business earnings. </w:t>
      </w:r>
    </w:p>
    <w:p w14:paraId="6602983E" w14:textId="77777777" w:rsidR="00CC1ABA" w:rsidRPr="00CC1ABA" w:rsidRDefault="00CC1ABA" w:rsidP="00CC1ABA">
      <w:pPr>
        <w:spacing w:after="0" w:line="360" w:lineRule="auto"/>
        <w:jc w:val="center"/>
        <w:rPr>
          <w:rFonts w:ascii="Times New Roman" w:eastAsia="Times New Roman" w:hAnsi="Times New Roman" w:cs="Times New Roman"/>
          <w:sz w:val="24"/>
          <w:szCs w:val="24"/>
        </w:rPr>
      </w:pPr>
      <w:r w:rsidRPr="00CC1ABA">
        <w:rPr>
          <w:rFonts w:ascii="Times New Roman" w:eastAsia="Times New Roman" w:hAnsi="Times New Roman" w:cs="Times New Roman"/>
          <w:noProof/>
          <w:sz w:val="24"/>
          <w:szCs w:val="24"/>
        </w:rPr>
        <w:lastRenderedPageBreak/>
        <w:drawing>
          <wp:inline distT="114300" distB="114300" distL="114300" distR="114300" wp14:anchorId="7FDCE9B6" wp14:editId="58FEE58D">
            <wp:extent cx="5104596" cy="310038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104596" cy="3100388"/>
                    </a:xfrm>
                    <a:prstGeom prst="rect">
                      <a:avLst/>
                    </a:prstGeom>
                    <a:ln/>
                  </pic:spPr>
                </pic:pic>
              </a:graphicData>
            </a:graphic>
          </wp:inline>
        </w:drawing>
      </w:r>
    </w:p>
    <w:p w14:paraId="0C976C40"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b/>
          <w:sz w:val="24"/>
          <w:szCs w:val="24"/>
        </w:rPr>
        <w:t>Rise of virtual meetings:</w:t>
      </w:r>
      <w:r w:rsidRPr="00CC1ABA">
        <w:rPr>
          <w:rFonts w:ascii="Times New Roman" w:eastAsia="Times New Roman" w:hAnsi="Times New Roman" w:cs="Times New Roman"/>
          <w:sz w:val="24"/>
          <w:szCs w:val="24"/>
        </w:rPr>
        <w:t xml:space="preserve"> Compared to the general Meeting initiative in the presence situation of the expansions of </w:t>
      </w:r>
      <w:proofErr w:type="gramStart"/>
      <w:r w:rsidRPr="00CC1ABA">
        <w:rPr>
          <w:rFonts w:ascii="Times New Roman" w:eastAsia="Times New Roman" w:hAnsi="Times New Roman" w:cs="Times New Roman"/>
          <w:sz w:val="24"/>
          <w:szCs w:val="24"/>
        </w:rPr>
        <w:t>Technical</w:t>
      </w:r>
      <w:proofErr w:type="gramEnd"/>
      <w:r w:rsidRPr="00CC1ABA">
        <w:rPr>
          <w:rFonts w:ascii="Times New Roman" w:eastAsia="Times New Roman" w:hAnsi="Times New Roman" w:cs="Times New Roman"/>
          <w:sz w:val="24"/>
          <w:szCs w:val="24"/>
        </w:rPr>
        <w:t xml:space="preserve"> progress the overall applicability of video conferences including the Zoom meeting engagement is rapidly expanded which imposes a certain level of declining approach for the hospitality business in the aspects of official engagement (correspondent, 2020). During 2021, the general volume of engagement was more than 300 million on a daily meeting basis via Zoom meetings or any other video conference support ultimately imposing is negative impact on the general marketing demand of the hospitality business. </w:t>
      </w:r>
    </w:p>
    <w:p w14:paraId="2820920B"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b/>
          <w:sz w:val="24"/>
          <w:szCs w:val="24"/>
        </w:rPr>
        <w:t xml:space="preserve">Rising labour costs and hotel staff shortages: </w:t>
      </w:r>
      <w:r w:rsidRPr="00CC1ABA">
        <w:rPr>
          <w:rFonts w:ascii="Times New Roman" w:eastAsia="Times New Roman" w:hAnsi="Times New Roman" w:cs="Times New Roman"/>
          <w:sz w:val="24"/>
          <w:szCs w:val="24"/>
        </w:rPr>
        <w:t xml:space="preserve">As per the basic engagement the level of unemployment positions in the UK presently indicates a volume of 4.20% initiative compared to the level of earlier around 8.04%. The general volume of this declining initiative poses a positive approach, however, the general level of labour market charges rapidly expanded change the period of war. It is also recognised that currently, around 9.30 million people in the UK are economically inactive indicating a rate of 21.9% while the average wage rate is generally expanded around 1.90% within the period of 3 months also imposes a certain volume of negative impact over the operating expenditure of an individual (Powell </w:t>
      </w:r>
      <w:r w:rsidRPr="00CC1ABA">
        <w:rPr>
          <w:rFonts w:ascii="Times New Roman" w:eastAsia="Times New Roman" w:hAnsi="Times New Roman" w:cs="Times New Roman"/>
          <w:i/>
          <w:sz w:val="24"/>
          <w:szCs w:val="24"/>
        </w:rPr>
        <w:t xml:space="preserve">et al., </w:t>
      </w:r>
      <w:r w:rsidRPr="00CC1ABA">
        <w:rPr>
          <w:rFonts w:ascii="Times New Roman" w:eastAsia="Times New Roman" w:hAnsi="Times New Roman" w:cs="Times New Roman"/>
          <w:sz w:val="24"/>
          <w:szCs w:val="24"/>
        </w:rPr>
        <w:t xml:space="preserve">2023). The primary positions of this declining employment availability and expanded labour charges impose a certain volume of operating crisis. </w:t>
      </w:r>
    </w:p>
    <w:p w14:paraId="048F6BB8"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sz w:val="24"/>
          <w:szCs w:val="24"/>
        </w:rPr>
        <w:br w:type="page"/>
      </w:r>
    </w:p>
    <w:p w14:paraId="0D241C68" w14:textId="77777777" w:rsidR="00CC1ABA" w:rsidRPr="00CC1ABA" w:rsidRDefault="00CC1ABA" w:rsidP="00CC1ABA">
      <w:pPr>
        <w:spacing w:after="0" w:line="360" w:lineRule="auto"/>
        <w:jc w:val="both"/>
        <w:outlineLvl w:val="1"/>
        <w:rPr>
          <w:rFonts w:ascii="Times New Roman" w:eastAsia="Times New Roman" w:hAnsi="Times New Roman" w:cs="Times New Roman"/>
          <w:b/>
          <w:sz w:val="24"/>
          <w:szCs w:val="24"/>
        </w:rPr>
      </w:pPr>
      <w:bookmarkStart w:id="4" w:name="_Toc179112985"/>
      <w:r w:rsidRPr="00CC1ABA">
        <w:rPr>
          <w:rFonts w:ascii="Times New Roman" w:eastAsia="Times New Roman" w:hAnsi="Times New Roman" w:cs="Times New Roman"/>
          <w:b/>
          <w:sz w:val="24"/>
          <w:szCs w:val="24"/>
        </w:rPr>
        <w:lastRenderedPageBreak/>
        <w:t>3. Application of turnaround strategies for business operations</w:t>
      </w:r>
      <w:bookmarkEnd w:id="4"/>
      <w:r w:rsidRPr="00CC1ABA">
        <w:rPr>
          <w:rFonts w:ascii="Times New Roman" w:eastAsia="Times New Roman" w:hAnsi="Times New Roman" w:cs="Times New Roman"/>
          <w:b/>
          <w:sz w:val="24"/>
          <w:szCs w:val="24"/>
        </w:rPr>
        <w:t xml:space="preserve"> </w:t>
      </w:r>
    </w:p>
    <w:p w14:paraId="3D627BDA"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The conceptual initiative and the applicability of turnaround strategy are initiated to formulate revenue progressive attribute and stability support that formulates a standardisation development in related to the business positioning approach. Under the present situation, this </w:t>
      </w:r>
      <w:proofErr w:type="gramStart"/>
      <w:r w:rsidRPr="00CC1ABA">
        <w:rPr>
          <w:rFonts w:ascii="Times New Roman" w:eastAsia="Times New Roman" w:hAnsi="Times New Roman" w:cs="Times New Roman"/>
          <w:sz w:val="24"/>
          <w:szCs w:val="24"/>
        </w:rPr>
        <w:t>particular hospitality</w:t>
      </w:r>
      <w:proofErr w:type="gramEnd"/>
      <w:r w:rsidRPr="00CC1ABA">
        <w:rPr>
          <w:rFonts w:ascii="Times New Roman" w:eastAsia="Times New Roman" w:hAnsi="Times New Roman" w:cs="Times New Roman"/>
          <w:sz w:val="24"/>
          <w:szCs w:val="24"/>
        </w:rPr>
        <w:t xml:space="preserve"> business needs to focus on a value-based pricing strategy with the allocations of discounting facilities on seasonal support for maintaining a proper volume of revenue development with an Occupancy rate (Christen</w:t>
      </w:r>
      <w:r w:rsidRPr="00CC1ABA">
        <w:rPr>
          <w:rFonts w:ascii="Times New Roman" w:eastAsia="Times New Roman" w:hAnsi="Times New Roman" w:cs="Times New Roman"/>
          <w:i/>
          <w:sz w:val="24"/>
          <w:szCs w:val="24"/>
        </w:rPr>
        <w:t xml:space="preserve"> et al.</w:t>
      </w:r>
      <w:r w:rsidRPr="00CC1ABA">
        <w:rPr>
          <w:rFonts w:ascii="Times New Roman" w:eastAsia="Times New Roman" w:hAnsi="Times New Roman" w:cs="Times New Roman"/>
          <w:sz w:val="24"/>
          <w:szCs w:val="24"/>
        </w:rPr>
        <w:t xml:space="preserve">, 2022). </w:t>
      </w:r>
    </w:p>
    <w:p w14:paraId="06362B46"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A proper volume of importance to the cultural diversity initiative will be a standardised attribute for maintaining a proper volume of employee engagement in the business which will be able to provide stable development and contemporary initiative simultaneously (Reidhead, 2020). In the present situation depending on the technical formulations the applicability of AI engagement including the networking booking facilities is also required to be established in this business which will be able to provide customer awareness and promotional attributes on a simultaneous basis (</w:t>
      </w:r>
      <w:proofErr w:type="spellStart"/>
      <w:r w:rsidRPr="00CC1ABA">
        <w:rPr>
          <w:rFonts w:ascii="Times New Roman" w:eastAsia="Times New Roman" w:hAnsi="Times New Roman" w:cs="Times New Roman"/>
          <w:sz w:val="24"/>
          <w:szCs w:val="24"/>
        </w:rPr>
        <w:t>Doborjeh</w:t>
      </w:r>
      <w:proofErr w:type="spellEnd"/>
      <w:r w:rsidRPr="00CC1ABA">
        <w:rPr>
          <w:rFonts w:ascii="Times New Roman" w:eastAsia="Times New Roman" w:hAnsi="Times New Roman" w:cs="Times New Roman"/>
          <w:sz w:val="24"/>
          <w:szCs w:val="24"/>
        </w:rPr>
        <w:t xml:space="preserve"> </w:t>
      </w:r>
      <w:r w:rsidRPr="00CC1ABA">
        <w:rPr>
          <w:rFonts w:ascii="Times New Roman" w:eastAsia="Times New Roman" w:hAnsi="Times New Roman" w:cs="Times New Roman"/>
          <w:i/>
          <w:sz w:val="24"/>
          <w:szCs w:val="24"/>
        </w:rPr>
        <w:t>et al.,</w:t>
      </w:r>
      <w:r w:rsidRPr="00CC1ABA">
        <w:rPr>
          <w:rFonts w:ascii="Times New Roman" w:eastAsia="Times New Roman" w:hAnsi="Times New Roman" w:cs="Times New Roman"/>
          <w:sz w:val="24"/>
          <w:szCs w:val="24"/>
        </w:rPr>
        <w:t xml:space="preserve"> 2022). The general applicability of sustainability development including importance to the equity capital engagement will be a stable approach for managing the business capital progress and stability instead of depending on the bank borrowings due to the reasons of certain interest charges (</w:t>
      </w:r>
      <w:proofErr w:type="spellStart"/>
      <w:r w:rsidRPr="00CC1ABA">
        <w:rPr>
          <w:rFonts w:ascii="Times New Roman" w:eastAsia="Times New Roman" w:hAnsi="Times New Roman" w:cs="Times New Roman"/>
          <w:sz w:val="24"/>
          <w:szCs w:val="24"/>
        </w:rPr>
        <w:t>Awaliyah</w:t>
      </w:r>
      <w:proofErr w:type="spellEnd"/>
      <w:r w:rsidRPr="00CC1ABA">
        <w:rPr>
          <w:rFonts w:ascii="Times New Roman" w:eastAsia="Times New Roman" w:hAnsi="Times New Roman" w:cs="Times New Roman"/>
          <w:i/>
          <w:sz w:val="24"/>
          <w:szCs w:val="24"/>
        </w:rPr>
        <w:t xml:space="preserve"> et al., </w:t>
      </w:r>
      <w:r w:rsidRPr="00CC1ABA">
        <w:rPr>
          <w:rFonts w:ascii="Times New Roman" w:eastAsia="Times New Roman" w:hAnsi="Times New Roman" w:cs="Times New Roman"/>
          <w:sz w:val="24"/>
          <w:szCs w:val="24"/>
        </w:rPr>
        <w:t xml:space="preserve">2021). </w:t>
      </w:r>
    </w:p>
    <w:p w14:paraId="6726BE12"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sz w:val="24"/>
          <w:szCs w:val="24"/>
        </w:rPr>
        <w:t xml:space="preserve">It is also considerable that in the present situation, the applicability of proper business expansion initiatives including a compatibility development related to market stability with a promotional approach will be a sufficient attribute for the formulation of business growth and stability for the upcoming period associated with the marketing potential. </w:t>
      </w:r>
    </w:p>
    <w:p w14:paraId="5456A7BB" w14:textId="77777777" w:rsidR="00CC1ABA" w:rsidRPr="00CC1ABA" w:rsidRDefault="00CC1ABA" w:rsidP="00CC1ABA">
      <w:pPr>
        <w:spacing w:after="0" w:line="360" w:lineRule="auto"/>
        <w:jc w:val="both"/>
        <w:outlineLvl w:val="0"/>
        <w:rPr>
          <w:rFonts w:ascii="Times New Roman" w:eastAsia="Times New Roman" w:hAnsi="Times New Roman" w:cs="Times New Roman"/>
          <w:b/>
          <w:sz w:val="24"/>
          <w:szCs w:val="24"/>
        </w:rPr>
      </w:pPr>
      <w:bookmarkStart w:id="5" w:name="_Toc179112986"/>
      <w:r w:rsidRPr="00CC1ABA">
        <w:rPr>
          <w:rFonts w:ascii="Times New Roman" w:eastAsia="Times New Roman" w:hAnsi="Times New Roman" w:cs="Times New Roman"/>
          <w:b/>
          <w:sz w:val="24"/>
          <w:szCs w:val="24"/>
        </w:rPr>
        <w:t>Conclusions</w:t>
      </w:r>
      <w:bookmarkEnd w:id="5"/>
      <w:r w:rsidRPr="00CC1ABA">
        <w:rPr>
          <w:rFonts w:ascii="Times New Roman" w:eastAsia="Times New Roman" w:hAnsi="Times New Roman" w:cs="Times New Roman"/>
          <w:b/>
          <w:sz w:val="24"/>
          <w:szCs w:val="24"/>
        </w:rPr>
        <w:t xml:space="preserve"> </w:t>
      </w:r>
    </w:p>
    <w:p w14:paraId="1B6DA00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In summary, the present position related to both the financial and non-financial processing related to the business of </w:t>
      </w:r>
      <w:r w:rsidRPr="00CC1ABA">
        <w:rPr>
          <w:rFonts w:ascii="Times New Roman" w:eastAsia="Times New Roman" w:hAnsi="Times New Roman" w:cs="Times New Roman"/>
          <w:b/>
          <w:sz w:val="24"/>
          <w:szCs w:val="24"/>
        </w:rPr>
        <w:t xml:space="preserve">The City Hotel </w:t>
      </w:r>
      <w:r w:rsidRPr="00CC1ABA">
        <w:rPr>
          <w:rFonts w:ascii="Times New Roman" w:eastAsia="Times New Roman" w:hAnsi="Times New Roman" w:cs="Times New Roman"/>
          <w:sz w:val="24"/>
          <w:szCs w:val="24"/>
        </w:rPr>
        <w:t xml:space="preserve">indicates a contemporary positioning growth including the value formulation support. It can be recognised that in the present position, the level of earnings including the liquidity position of the business is declined due to certain uncertainties including insufficiencies reasons that are unable to manage the value-formulated approach on a proper basis. Additionally, the presence of inefficient price-elasticity of demand structure including the market uncertainties also initiates a general level of challenging approach to the business operation in a general manner. Applied the initiative of turnaround strategy also formulates a progressive attribute benefit that represents standardised development support regarding the present business compatibility. </w:t>
      </w:r>
    </w:p>
    <w:p w14:paraId="57A1FADF" w14:textId="77777777" w:rsidR="00CC1ABA" w:rsidRPr="00CC1ABA" w:rsidRDefault="00CC1ABA" w:rsidP="00CC1ABA">
      <w:pPr>
        <w:spacing w:after="0" w:line="360" w:lineRule="auto"/>
        <w:jc w:val="both"/>
        <w:rPr>
          <w:rFonts w:ascii="Times New Roman" w:eastAsia="Times New Roman" w:hAnsi="Times New Roman" w:cs="Times New Roman"/>
          <w:b/>
          <w:sz w:val="24"/>
          <w:szCs w:val="24"/>
        </w:rPr>
      </w:pPr>
      <w:r w:rsidRPr="00CC1ABA">
        <w:rPr>
          <w:rFonts w:ascii="Times New Roman" w:eastAsia="Times New Roman" w:hAnsi="Times New Roman" w:cs="Times New Roman"/>
          <w:b/>
          <w:sz w:val="24"/>
          <w:szCs w:val="24"/>
        </w:rPr>
        <w:br w:type="page"/>
      </w:r>
    </w:p>
    <w:p w14:paraId="7C222948" w14:textId="77777777" w:rsidR="00CC1ABA" w:rsidRPr="00CC1ABA" w:rsidRDefault="00CC1ABA" w:rsidP="00CC1ABA">
      <w:pPr>
        <w:spacing w:after="0" w:line="360" w:lineRule="auto"/>
        <w:jc w:val="both"/>
        <w:outlineLvl w:val="0"/>
        <w:rPr>
          <w:rFonts w:ascii="Times New Roman" w:eastAsia="Times New Roman" w:hAnsi="Times New Roman" w:cs="Times New Roman"/>
          <w:b/>
          <w:sz w:val="24"/>
          <w:szCs w:val="24"/>
        </w:rPr>
      </w:pPr>
      <w:bookmarkStart w:id="6" w:name="_Toc179112987"/>
      <w:r w:rsidRPr="00CC1ABA">
        <w:rPr>
          <w:rFonts w:ascii="Times New Roman" w:eastAsia="Times New Roman" w:hAnsi="Times New Roman" w:cs="Times New Roman"/>
          <w:b/>
          <w:sz w:val="24"/>
          <w:szCs w:val="24"/>
        </w:rPr>
        <w:lastRenderedPageBreak/>
        <w:t>References</w:t>
      </w:r>
      <w:bookmarkEnd w:id="6"/>
    </w:p>
    <w:p w14:paraId="45969B0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roofErr w:type="spellStart"/>
      <w:r w:rsidRPr="00CC1ABA">
        <w:rPr>
          <w:rFonts w:ascii="Times New Roman" w:eastAsia="Times New Roman" w:hAnsi="Times New Roman" w:cs="Times New Roman"/>
          <w:sz w:val="24"/>
          <w:szCs w:val="24"/>
        </w:rPr>
        <w:t>Akbulaev</w:t>
      </w:r>
      <w:proofErr w:type="spellEnd"/>
      <w:r w:rsidRPr="00CC1ABA">
        <w:rPr>
          <w:rFonts w:ascii="Times New Roman" w:eastAsia="Times New Roman" w:hAnsi="Times New Roman" w:cs="Times New Roman"/>
          <w:sz w:val="24"/>
          <w:szCs w:val="24"/>
        </w:rPr>
        <w:t xml:space="preserve">, N., </w:t>
      </w:r>
      <w:proofErr w:type="spellStart"/>
      <w:r w:rsidRPr="00CC1ABA">
        <w:rPr>
          <w:rFonts w:ascii="Times New Roman" w:eastAsia="Times New Roman" w:hAnsi="Times New Roman" w:cs="Times New Roman"/>
          <w:sz w:val="24"/>
          <w:szCs w:val="24"/>
        </w:rPr>
        <w:t>Guliyeva</w:t>
      </w:r>
      <w:proofErr w:type="spellEnd"/>
      <w:r w:rsidRPr="00CC1ABA">
        <w:rPr>
          <w:rFonts w:ascii="Times New Roman" w:eastAsia="Times New Roman" w:hAnsi="Times New Roman" w:cs="Times New Roman"/>
          <w:sz w:val="24"/>
          <w:szCs w:val="24"/>
        </w:rPr>
        <w:t>, N. and Aslanova, G., 2020. Economic analysis of tourism enterprise solvency and the possibility of bankruptcy: The case of the Thomas cook group. </w:t>
      </w:r>
      <w:r w:rsidRPr="00CC1ABA">
        <w:rPr>
          <w:rFonts w:ascii="Times New Roman" w:eastAsia="Times New Roman" w:hAnsi="Times New Roman" w:cs="Times New Roman"/>
          <w:i/>
          <w:iCs/>
          <w:sz w:val="24"/>
          <w:szCs w:val="24"/>
        </w:rPr>
        <w:t>African Journal of Hospitality, Tourism and Leisure</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9</w:t>
      </w:r>
      <w:r w:rsidRPr="00CC1ABA">
        <w:rPr>
          <w:rFonts w:ascii="Times New Roman" w:eastAsia="Times New Roman" w:hAnsi="Times New Roman" w:cs="Times New Roman"/>
          <w:sz w:val="24"/>
          <w:szCs w:val="24"/>
        </w:rPr>
        <w:t>(2), pp.1-12.</w:t>
      </w:r>
    </w:p>
    <w:p w14:paraId="3DC73124"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roofErr w:type="spellStart"/>
      <w:r w:rsidRPr="00CC1ABA">
        <w:rPr>
          <w:rFonts w:ascii="Times New Roman" w:eastAsia="Times New Roman" w:hAnsi="Times New Roman" w:cs="Times New Roman"/>
          <w:sz w:val="24"/>
          <w:szCs w:val="24"/>
        </w:rPr>
        <w:t>Alrawadieh</w:t>
      </w:r>
      <w:proofErr w:type="spellEnd"/>
      <w:r w:rsidRPr="00CC1ABA">
        <w:rPr>
          <w:rFonts w:ascii="Times New Roman" w:eastAsia="Times New Roman" w:hAnsi="Times New Roman" w:cs="Times New Roman"/>
          <w:sz w:val="24"/>
          <w:szCs w:val="24"/>
        </w:rPr>
        <w:t xml:space="preserve">, Z., </w:t>
      </w:r>
      <w:proofErr w:type="spellStart"/>
      <w:r w:rsidRPr="00CC1ABA">
        <w:rPr>
          <w:rFonts w:ascii="Times New Roman" w:eastAsia="Times New Roman" w:hAnsi="Times New Roman" w:cs="Times New Roman"/>
          <w:sz w:val="24"/>
          <w:szCs w:val="24"/>
        </w:rPr>
        <w:t>Alrawadieh</w:t>
      </w:r>
      <w:proofErr w:type="spellEnd"/>
      <w:r w:rsidRPr="00CC1ABA">
        <w:rPr>
          <w:rFonts w:ascii="Times New Roman" w:eastAsia="Times New Roman" w:hAnsi="Times New Roman" w:cs="Times New Roman"/>
          <w:sz w:val="24"/>
          <w:szCs w:val="24"/>
        </w:rPr>
        <w:t>, Z. and Cetin, G., 2021. Digital transformation and revenue management: Evidence from the hotel industry. </w:t>
      </w:r>
      <w:r w:rsidRPr="00CC1ABA">
        <w:rPr>
          <w:rFonts w:ascii="Times New Roman" w:eastAsia="Times New Roman" w:hAnsi="Times New Roman" w:cs="Times New Roman"/>
          <w:i/>
          <w:iCs/>
          <w:sz w:val="24"/>
          <w:szCs w:val="24"/>
        </w:rPr>
        <w:t>Tourism Economics</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27</w:t>
      </w:r>
      <w:r w:rsidRPr="00CC1ABA">
        <w:rPr>
          <w:rFonts w:ascii="Times New Roman" w:eastAsia="Times New Roman" w:hAnsi="Times New Roman" w:cs="Times New Roman"/>
          <w:sz w:val="24"/>
          <w:szCs w:val="24"/>
        </w:rPr>
        <w:t>(2), pp.328-345.</w:t>
      </w:r>
    </w:p>
    <w:p w14:paraId="1DB50FBE"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Alvarez, T., </w:t>
      </w:r>
      <w:proofErr w:type="spellStart"/>
      <w:r w:rsidRPr="00CC1ABA">
        <w:rPr>
          <w:rFonts w:ascii="Times New Roman" w:eastAsia="Times New Roman" w:hAnsi="Times New Roman" w:cs="Times New Roman"/>
          <w:sz w:val="24"/>
          <w:szCs w:val="24"/>
        </w:rPr>
        <w:t>Sensini</w:t>
      </w:r>
      <w:proofErr w:type="spellEnd"/>
      <w:r w:rsidRPr="00CC1ABA">
        <w:rPr>
          <w:rFonts w:ascii="Times New Roman" w:eastAsia="Times New Roman" w:hAnsi="Times New Roman" w:cs="Times New Roman"/>
          <w:sz w:val="24"/>
          <w:szCs w:val="24"/>
        </w:rPr>
        <w:t>, L., Bello, C. and Vazquez, M., 2021. Management accounting practices and performance of SMEs in the Hotel industry: Evidence from an emerging economy. </w:t>
      </w:r>
      <w:r w:rsidRPr="00CC1ABA">
        <w:rPr>
          <w:rFonts w:ascii="Times New Roman" w:eastAsia="Times New Roman" w:hAnsi="Times New Roman" w:cs="Times New Roman"/>
          <w:i/>
          <w:iCs/>
          <w:sz w:val="24"/>
          <w:szCs w:val="24"/>
        </w:rPr>
        <w:t>International Journal of Business and Social Science</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12</w:t>
      </w:r>
      <w:r w:rsidRPr="00CC1ABA">
        <w:rPr>
          <w:rFonts w:ascii="Times New Roman" w:eastAsia="Times New Roman" w:hAnsi="Times New Roman" w:cs="Times New Roman"/>
          <w:sz w:val="24"/>
          <w:szCs w:val="24"/>
        </w:rPr>
        <w:t>(2), pp.24-35.</w:t>
      </w:r>
    </w:p>
    <w:p w14:paraId="4629A172"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roofErr w:type="spellStart"/>
      <w:r w:rsidRPr="00CC1ABA">
        <w:rPr>
          <w:rFonts w:ascii="Times New Roman" w:eastAsia="Times New Roman" w:hAnsi="Times New Roman" w:cs="Times New Roman"/>
          <w:sz w:val="24"/>
          <w:szCs w:val="24"/>
        </w:rPr>
        <w:t>Awaliyah</w:t>
      </w:r>
      <w:proofErr w:type="spellEnd"/>
      <w:r w:rsidRPr="00CC1ABA">
        <w:rPr>
          <w:rFonts w:ascii="Times New Roman" w:eastAsia="Times New Roman" w:hAnsi="Times New Roman" w:cs="Times New Roman"/>
          <w:sz w:val="24"/>
          <w:szCs w:val="24"/>
        </w:rPr>
        <w:t xml:space="preserve">, S., </w:t>
      </w:r>
      <w:proofErr w:type="spellStart"/>
      <w:r w:rsidRPr="00CC1ABA">
        <w:rPr>
          <w:rFonts w:ascii="Times New Roman" w:eastAsia="Times New Roman" w:hAnsi="Times New Roman" w:cs="Times New Roman"/>
          <w:sz w:val="24"/>
          <w:szCs w:val="24"/>
        </w:rPr>
        <w:t>Negoro</w:t>
      </w:r>
      <w:proofErr w:type="spellEnd"/>
      <w:r w:rsidRPr="00CC1ABA">
        <w:rPr>
          <w:rFonts w:ascii="Times New Roman" w:eastAsia="Times New Roman" w:hAnsi="Times New Roman" w:cs="Times New Roman"/>
          <w:sz w:val="24"/>
          <w:szCs w:val="24"/>
        </w:rPr>
        <w:t xml:space="preserve">, D.A., Syah, T.Y.R. and </w:t>
      </w:r>
      <w:proofErr w:type="spellStart"/>
      <w:r w:rsidRPr="00CC1ABA">
        <w:rPr>
          <w:rFonts w:ascii="Times New Roman" w:eastAsia="Times New Roman" w:hAnsi="Times New Roman" w:cs="Times New Roman"/>
          <w:sz w:val="24"/>
          <w:szCs w:val="24"/>
        </w:rPr>
        <w:t>Bertuah</w:t>
      </w:r>
      <w:proofErr w:type="spellEnd"/>
      <w:r w:rsidRPr="00CC1ABA">
        <w:rPr>
          <w:rFonts w:ascii="Times New Roman" w:eastAsia="Times New Roman" w:hAnsi="Times New Roman" w:cs="Times New Roman"/>
          <w:sz w:val="24"/>
          <w:szCs w:val="24"/>
        </w:rPr>
        <w:t xml:space="preserve">, E., 2021. Impact of </w:t>
      </w:r>
      <w:proofErr w:type="spellStart"/>
      <w:r w:rsidRPr="00CC1ABA">
        <w:rPr>
          <w:rFonts w:ascii="Times New Roman" w:eastAsia="Times New Roman" w:hAnsi="Times New Roman" w:cs="Times New Roman"/>
          <w:sz w:val="24"/>
          <w:szCs w:val="24"/>
        </w:rPr>
        <w:t>empiris</w:t>
      </w:r>
      <w:proofErr w:type="spellEnd"/>
      <w:r w:rsidRPr="00CC1ABA">
        <w:rPr>
          <w:rFonts w:ascii="Times New Roman" w:eastAsia="Times New Roman" w:hAnsi="Times New Roman" w:cs="Times New Roman"/>
          <w:sz w:val="24"/>
          <w:szCs w:val="24"/>
        </w:rPr>
        <w:t xml:space="preserve"> profitability, growth, size firm, tangibility on capital structure of the hotel industry.</w:t>
      </w:r>
    </w:p>
    <w:p w14:paraId="46237FCF"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Christen, T., Hess, M., </w:t>
      </w:r>
      <w:proofErr w:type="spellStart"/>
      <w:r w:rsidRPr="00CC1ABA">
        <w:rPr>
          <w:rFonts w:ascii="Times New Roman" w:eastAsia="Times New Roman" w:hAnsi="Times New Roman" w:cs="Times New Roman"/>
          <w:sz w:val="24"/>
          <w:szCs w:val="24"/>
        </w:rPr>
        <w:t>Grichnik</w:t>
      </w:r>
      <w:proofErr w:type="spellEnd"/>
      <w:r w:rsidRPr="00CC1ABA">
        <w:rPr>
          <w:rFonts w:ascii="Times New Roman" w:eastAsia="Times New Roman" w:hAnsi="Times New Roman" w:cs="Times New Roman"/>
          <w:sz w:val="24"/>
          <w:szCs w:val="24"/>
        </w:rPr>
        <w:t xml:space="preserve">, D. and Wincent, J., 2022. Value-based pricing in digital platforms: A machine learning approach to </w:t>
      </w:r>
      <w:proofErr w:type="spellStart"/>
      <w:r w:rsidRPr="00CC1ABA">
        <w:rPr>
          <w:rFonts w:ascii="Times New Roman" w:eastAsia="Times New Roman" w:hAnsi="Times New Roman" w:cs="Times New Roman"/>
          <w:sz w:val="24"/>
          <w:szCs w:val="24"/>
        </w:rPr>
        <w:t>signaling</w:t>
      </w:r>
      <w:proofErr w:type="spellEnd"/>
      <w:r w:rsidRPr="00CC1ABA">
        <w:rPr>
          <w:rFonts w:ascii="Times New Roman" w:eastAsia="Times New Roman" w:hAnsi="Times New Roman" w:cs="Times New Roman"/>
          <w:sz w:val="24"/>
          <w:szCs w:val="24"/>
        </w:rPr>
        <w:t xml:space="preserve"> beyond core product attributes in cross-platform settings. </w:t>
      </w:r>
      <w:r w:rsidRPr="00CC1ABA">
        <w:rPr>
          <w:rFonts w:ascii="Times New Roman" w:eastAsia="Times New Roman" w:hAnsi="Times New Roman" w:cs="Times New Roman"/>
          <w:i/>
          <w:iCs/>
          <w:sz w:val="24"/>
          <w:szCs w:val="24"/>
        </w:rPr>
        <w:t>Journal of Business Research</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152</w:t>
      </w:r>
      <w:r w:rsidRPr="00CC1ABA">
        <w:rPr>
          <w:rFonts w:ascii="Times New Roman" w:eastAsia="Times New Roman" w:hAnsi="Times New Roman" w:cs="Times New Roman"/>
          <w:sz w:val="24"/>
          <w:szCs w:val="24"/>
        </w:rPr>
        <w:t>, pp.82-92.</w:t>
      </w:r>
    </w:p>
    <w:p w14:paraId="5AEB0988"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correspondent, R.N.W. (2020). Zoom booms as demand for video-conferencing tech grows. </w:t>
      </w:r>
      <w:r w:rsidRPr="00CC1ABA">
        <w:rPr>
          <w:rFonts w:ascii="Times New Roman" w:eastAsia="Times New Roman" w:hAnsi="Times New Roman" w:cs="Times New Roman"/>
          <w:i/>
          <w:iCs/>
          <w:sz w:val="24"/>
          <w:szCs w:val="24"/>
        </w:rPr>
        <w:t>The Guardian</w:t>
      </w:r>
      <w:r w:rsidRPr="00CC1ABA">
        <w:rPr>
          <w:rFonts w:ascii="Times New Roman" w:eastAsia="Times New Roman" w:hAnsi="Times New Roman" w:cs="Times New Roman"/>
          <w:sz w:val="24"/>
          <w:szCs w:val="24"/>
        </w:rPr>
        <w:t>. [online] 31 Mar. Available at: https://www.theguardian.com/technology/2020/mar/31/zoom-booms-as-demand-for-video-conferencing-tech-grows-in-coronavirus-outbreak [Accessed 30 Sep. 2024].</w:t>
      </w:r>
    </w:p>
    <w:p w14:paraId="05D97E60"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roofErr w:type="spellStart"/>
      <w:r w:rsidRPr="00CC1ABA">
        <w:rPr>
          <w:rFonts w:ascii="Times New Roman" w:eastAsia="Times New Roman" w:hAnsi="Times New Roman" w:cs="Times New Roman"/>
          <w:sz w:val="24"/>
          <w:szCs w:val="24"/>
        </w:rPr>
        <w:t>Doborjeh</w:t>
      </w:r>
      <w:proofErr w:type="spellEnd"/>
      <w:r w:rsidRPr="00CC1ABA">
        <w:rPr>
          <w:rFonts w:ascii="Times New Roman" w:eastAsia="Times New Roman" w:hAnsi="Times New Roman" w:cs="Times New Roman"/>
          <w:sz w:val="24"/>
          <w:szCs w:val="24"/>
        </w:rPr>
        <w:t xml:space="preserve">, Z., Hemmington, N., </w:t>
      </w:r>
      <w:proofErr w:type="spellStart"/>
      <w:r w:rsidRPr="00CC1ABA">
        <w:rPr>
          <w:rFonts w:ascii="Times New Roman" w:eastAsia="Times New Roman" w:hAnsi="Times New Roman" w:cs="Times New Roman"/>
          <w:sz w:val="24"/>
          <w:szCs w:val="24"/>
        </w:rPr>
        <w:t>Doborjeh</w:t>
      </w:r>
      <w:proofErr w:type="spellEnd"/>
      <w:r w:rsidRPr="00CC1ABA">
        <w:rPr>
          <w:rFonts w:ascii="Times New Roman" w:eastAsia="Times New Roman" w:hAnsi="Times New Roman" w:cs="Times New Roman"/>
          <w:sz w:val="24"/>
          <w:szCs w:val="24"/>
        </w:rPr>
        <w:t xml:space="preserve">, M. and </w:t>
      </w:r>
      <w:proofErr w:type="spellStart"/>
      <w:r w:rsidRPr="00CC1ABA">
        <w:rPr>
          <w:rFonts w:ascii="Times New Roman" w:eastAsia="Times New Roman" w:hAnsi="Times New Roman" w:cs="Times New Roman"/>
          <w:sz w:val="24"/>
          <w:szCs w:val="24"/>
        </w:rPr>
        <w:t>Kasabov</w:t>
      </w:r>
      <w:proofErr w:type="spellEnd"/>
      <w:r w:rsidRPr="00CC1ABA">
        <w:rPr>
          <w:rFonts w:ascii="Times New Roman" w:eastAsia="Times New Roman" w:hAnsi="Times New Roman" w:cs="Times New Roman"/>
          <w:sz w:val="24"/>
          <w:szCs w:val="24"/>
        </w:rPr>
        <w:t>, N., 2022. Artificial intelligence: a systematic review of methods and applications in hospitality and tourism. </w:t>
      </w:r>
      <w:r w:rsidRPr="00CC1ABA">
        <w:rPr>
          <w:rFonts w:ascii="Times New Roman" w:eastAsia="Times New Roman" w:hAnsi="Times New Roman" w:cs="Times New Roman"/>
          <w:i/>
          <w:iCs/>
          <w:sz w:val="24"/>
          <w:szCs w:val="24"/>
        </w:rPr>
        <w:t>International Journal of Contemporary Hospitality Management</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34</w:t>
      </w:r>
      <w:r w:rsidRPr="00CC1ABA">
        <w:rPr>
          <w:rFonts w:ascii="Times New Roman" w:eastAsia="Times New Roman" w:hAnsi="Times New Roman" w:cs="Times New Roman"/>
          <w:sz w:val="24"/>
          <w:szCs w:val="24"/>
        </w:rPr>
        <w:t>(3), pp.1154-1176.</w:t>
      </w:r>
    </w:p>
    <w:p w14:paraId="03D1E5CC"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Lima Santos, L., Gomes, C., Malheiros, C. and Lucas, A., 2021. Impact factors on Portuguese hotels’ liquidity. </w:t>
      </w:r>
      <w:r w:rsidRPr="00CC1ABA">
        <w:rPr>
          <w:rFonts w:ascii="Times New Roman" w:eastAsia="Times New Roman" w:hAnsi="Times New Roman" w:cs="Times New Roman"/>
          <w:i/>
          <w:iCs/>
          <w:sz w:val="24"/>
          <w:szCs w:val="24"/>
        </w:rPr>
        <w:t>Journal of Risk and Financial Management</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14</w:t>
      </w:r>
      <w:r w:rsidRPr="00CC1ABA">
        <w:rPr>
          <w:rFonts w:ascii="Times New Roman" w:eastAsia="Times New Roman" w:hAnsi="Times New Roman" w:cs="Times New Roman"/>
          <w:sz w:val="24"/>
          <w:szCs w:val="24"/>
        </w:rPr>
        <w:t>(4), p.144.</w:t>
      </w:r>
    </w:p>
    <w:p w14:paraId="26696A13"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roofErr w:type="spellStart"/>
      <w:r w:rsidRPr="00CC1ABA">
        <w:rPr>
          <w:rFonts w:ascii="Times New Roman" w:eastAsia="Times New Roman" w:hAnsi="Times New Roman" w:cs="Times New Roman"/>
          <w:sz w:val="24"/>
          <w:szCs w:val="24"/>
        </w:rPr>
        <w:t>Milasinovic</w:t>
      </w:r>
      <w:proofErr w:type="spellEnd"/>
      <w:r w:rsidRPr="00CC1ABA">
        <w:rPr>
          <w:rFonts w:ascii="Times New Roman" w:eastAsia="Times New Roman" w:hAnsi="Times New Roman" w:cs="Times New Roman"/>
          <w:sz w:val="24"/>
          <w:szCs w:val="24"/>
        </w:rPr>
        <w:t>, M., Mitrović, A. and Milojević, S., 2020. Financial performance measuring of a hotel company-case study. </w:t>
      </w:r>
      <w:r w:rsidRPr="00CC1ABA">
        <w:rPr>
          <w:rFonts w:ascii="Times New Roman" w:eastAsia="Times New Roman" w:hAnsi="Times New Roman" w:cs="Times New Roman"/>
          <w:i/>
          <w:iCs/>
          <w:sz w:val="24"/>
          <w:szCs w:val="24"/>
        </w:rPr>
        <w:t>Challenges of Tourism and Business Logistics in the 21st Century</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3</w:t>
      </w:r>
      <w:r w:rsidRPr="00CC1ABA">
        <w:rPr>
          <w:rFonts w:ascii="Times New Roman" w:eastAsia="Times New Roman" w:hAnsi="Times New Roman" w:cs="Times New Roman"/>
          <w:sz w:val="24"/>
          <w:szCs w:val="24"/>
        </w:rPr>
        <w:t>(1), pp.228-234.</w:t>
      </w:r>
    </w:p>
    <w:p w14:paraId="35171FC3"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Panno, A., 2020. Performance measurement and management in small companies of the service sector; evidence from a sample of Italian hotels. </w:t>
      </w:r>
      <w:r w:rsidRPr="00CC1ABA">
        <w:rPr>
          <w:rFonts w:ascii="Times New Roman" w:eastAsia="Times New Roman" w:hAnsi="Times New Roman" w:cs="Times New Roman"/>
          <w:i/>
          <w:iCs/>
          <w:sz w:val="24"/>
          <w:szCs w:val="24"/>
        </w:rPr>
        <w:t>Measuring business excellence</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24</w:t>
      </w:r>
      <w:r w:rsidRPr="00CC1ABA">
        <w:rPr>
          <w:rFonts w:ascii="Times New Roman" w:eastAsia="Times New Roman" w:hAnsi="Times New Roman" w:cs="Times New Roman"/>
          <w:sz w:val="24"/>
          <w:szCs w:val="24"/>
        </w:rPr>
        <w:t>(2), pp.133-160.</w:t>
      </w:r>
    </w:p>
    <w:p w14:paraId="532A52E8" w14:textId="77777777" w:rsidR="00CC1ABA" w:rsidRPr="00CC1ABA" w:rsidRDefault="00CC1ABA" w:rsidP="00CC1ABA">
      <w:pPr>
        <w:spacing w:after="0" w:line="360" w:lineRule="auto"/>
        <w:jc w:val="both"/>
        <w:rPr>
          <w:rFonts w:ascii="Times New Roman" w:eastAsia="Cambria" w:hAnsi="Times New Roman" w:cs="Times New Roman"/>
          <w:sz w:val="24"/>
          <w:szCs w:val="24"/>
        </w:rPr>
      </w:pPr>
      <w:r w:rsidRPr="00CC1ABA">
        <w:rPr>
          <w:rFonts w:ascii="Times New Roman" w:eastAsia="Times New Roman" w:hAnsi="Times New Roman" w:cs="Times New Roman"/>
          <w:sz w:val="24"/>
          <w:szCs w:val="24"/>
          <w:lang w:eastAsia="en-IN"/>
        </w:rPr>
        <w:t xml:space="preserve">Peachey, K. (2023). Bank of England: What are interest rates? </w:t>
      </w:r>
      <w:r w:rsidRPr="00CC1ABA">
        <w:rPr>
          <w:rFonts w:ascii="Times New Roman" w:eastAsia="Times New Roman" w:hAnsi="Times New Roman" w:cs="Times New Roman"/>
          <w:i/>
          <w:iCs/>
          <w:sz w:val="24"/>
          <w:szCs w:val="24"/>
          <w:lang w:eastAsia="en-IN"/>
        </w:rPr>
        <w:t>BBC News</w:t>
      </w:r>
      <w:r w:rsidRPr="00CC1ABA">
        <w:rPr>
          <w:rFonts w:ascii="Times New Roman" w:eastAsia="Times New Roman" w:hAnsi="Times New Roman" w:cs="Times New Roman"/>
          <w:sz w:val="24"/>
          <w:szCs w:val="24"/>
          <w:lang w:eastAsia="en-IN"/>
        </w:rPr>
        <w:t>. [online] 5 Aug. Available at: https://www.bbc.com/news/business-57764601 [Accessed 30 Sep. 2024].</w:t>
      </w:r>
    </w:p>
    <w:p w14:paraId="19BB6AAC"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Powell, A., Francis-Devine, B. and Clark, H. (2023). UK Labour Market Statistics. </w:t>
      </w:r>
      <w:r w:rsidRPr="00CC1ABA">
        <w:rPr>
          <w:rFonts w:ascii="Times New Roman" w:eastAsia="Times New Roman" w:hAnsi="Times New Roman" w:cs="Times New Roman"/>
          <w:i/>
          <w:iCs/>
          <w:sz w:val="24"/>
          <w:szCs w:val="24"/>
        </w:rPr>
        <w:t>commonslibrary.parliament.uk</w:t>
      </w:r>
      <w:r w:rsidRPr="00CC1ABA">
        <w:rPr>
          <w:rFonts w:ascii="Times New Roman" w:eastAsia="Times New Roman" w:hAnsi="Times New Roman" w:cs="Times New Roman"/>
          <w:sz w:val="24"/>
          <w:szCs w:val="24"/>
        </w:rPr>
        <w:t>, [online] 9366(9366). Available at: https://commonslibrary.parliament.uk/research-briefings/cbp-9366/ [Accessed 30 Sep. 2024].</w:t>
      </w:r>
    </w:p>
    <w:p w14:paraId="45F7FA89"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lastRenderedPageBreak/>
        <w:t>Reidhead, C., 2020. Impact of organizational culture on employee satisfaction: A case of Hilton hotel, United Kingdom. </w:t>
      </w:r>
      <w:r w:rsidRPr="00CC1ABA">
        <w:rPr>
          <w:rFonts w:ascii="Times New Roman" w:eastAsia="Times New Roman" w:hAnsi="Times New Roman" w:cs="Times New Roman"/>
          <w:i/>
          <w:iCs/>
          <w:sz w:val="24"/>
          <w:szCs w:val="24"/>
        </w:rPr>
        <w:t>Journal of Economics and Business</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3</w:t>
      </w:r>
      <w:r w:rsidRPr="00CC1ABA">
        <w:rPr>
          <w:rFonts w:ascii="Times New Roman" w:eastAsia="Times New Roman" w:hAnsi="Times New Roman" w:cs="Times New Roman"/>
          <w:sz w:val="24"/>
          <w:szCs w:val="24"/>
        </w:rPr>
        <w:t>(1).</w:t>
      </w:r>
    </w:p>
    <w:p w14:paraId="5553407F"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Salas, E. (2023). </w:t>
      </w:r>
      <w:r w:rsidRPr="00CC1ABA">
        <w:rPr>
          <w:rFonts w:ascii="Times New Roman" w:eastAsia="Times New Roman" w:hAnsi="Times New Roman" w:cs="Times New Roman"/>
          <w:i/>
          <w:iCs/>
          <w:sz w:val="24"/>
          <w:szCs w:val="24"/>
        </w:rPr>
        <w:t>Land and ocean temperature anomalies worldwide 2020</w:t>
      </w:r>
      <w:r w:rsidRPr="00CC1ABA">
        <w:rPr>
          <w:rFonts w:ascii="Times New Roman" w:eastAsia="Times New Roman" w:hAnsi="Times New Roman" w:cs="Times New Roman"/>
          <w:sz w:val="24"/>
          <w:szCs w:val="24"/>
        </w:rPr>
        <w:t>. [online] Statista. Available at: https://www.statista.com/statistics/224893/land-and-ocean-temperature-anomalies-based-on-temperature-departure/ [Accessed 30 Sep. 2024].</w:t>
      </w:r>
    </w:p>
    <w:p w14:paraId="75DE2319"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Salehi, M. and </w:t>
      </w:r>
      <w:proofErr w:type="spellStart"/>
      <w:r w:rsidRPr="00CC1ABA">
        <w:rPr>
          <w:rFonts w:ascii="Times New Roman" w:eastAsia="Times New Roman" w:hAnsi="Times New Roman" w:cs="Times New Roman"/>
          <w:sz w:val="24"/>
          <w:szCs w:val="24"/>
        </w:rPr>
        <w:t>Arianpoor</w:t>
      </w:r>
      <w:proofErr w:type="spellEnd"/>
      <w:r w:rsidRPr="00CC1ABA">
        <w:rPr>
          <w:rFonts w:ascii="Times New Roman" w:eastAsia="Times New Roman" w:hAnsi="Times New Roman" w:cs="Times New Roman"/>
          <w:sz w:val="24"/>
          <w:szCs w:val="24"/>
        </w:rPr>
        <w:t>, A., 2021. The relationship among financial and non-financial aspects of business sustainability performance: evidence from Iranian panel data. </w:t>
      </w:r>
      <w:r w:rsidRPr="00CC1ABA">
        <w:rPr>
          <w:rFonts w:ascii="Times New Roman" w:eastAsia="Times New Roman" w:hAnsi="Times New Roman" w:cs="Times New Roman"/>
          <w:i/>
          <w:iCs/>
          <w:sz w:val="24"/>
          <w:szCs w:val="24"/>
        </w:rPr>
        <w:t>The TQM Journal</w:t>
      </w:r>
      <w:r w:rsidRPr="00CC1ABA">
        <w:rPr>
          <w:rFonts w:ascii="Times New Roman" w:eastAsia="Times New Roman" w:hAnsi="Times New Roman" w:cs="Times New Roman"/>
          <w:sz w:val="24"/>
          <w:szCs w:val="24"/>
        </w:rPr>
        <w:t>, </w:t>
      </w:r>
      <w:r w:rsidRPr="00CC1ABA">
        <w:rPr>
          <w:rFonts w:ascii="Times New Roman" w:eastAsia="Times New Roman" w:hAnsi="Times New Roman" w:cs="Times New Roman"/>
          <w:i/>
          <w:iCs/>
          <w:sz w:val="24"/>
          <w:szCs w:val="24"/>
        </w:rPr>
        <w:t>33</w:t>
      </w:r>
      <w:r w:rsidRPr="00CC1ABA">
        <w:rPr>
          <w:rFonts w:ascii="Times New Roman" w:eastAsia="Times New Roman" w:hAnsi="Times New Roman" w:cs="Times New Roman"/>
          <w:sz w:val="24"/>
          <w:szCs w:val="24"/>
        </w:rPr>
        <w:t>(6), pp.1447-1468.</w:t>
      </w:r>
    </w:p>
    <w:p w14:paraId="65F5638D"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Statista. (2024). </w:t>
      </w:r>
      <w:r w:rsidRPr="00CC1ABA">
        <w:rPr>
          <w:rFonts w:ascii="Times New Roman" w:eastAsia="Times New Roman" w:hAnsi="Times New Roman" w:cs="Times New Roman"/>
          <w:i/>
          <w:iCs/>
          <w:sz w:val="24"/>
          <w:szCs w:val="24"/>
        </w:rPr>
        <w:t>Average price per night of hotels in big cities UK 2022</w:t>
      </w:r>
      <w:r w:rsidRPr="00CC1ABA">
        <w:rPr>
          <w:rFonts w:ascii="Times New Roman" w:eastAsia="Times New Roman" w:hAnsi="Times New Roman" w:cs="Times New Roman"/>
          <w:sz w:val="24"/>
          <w:szCs w:val="24"/>
        </w:rPr>
        <w:t>. [online] Available at: https://www.statista.com/statistics/1371742/average-price-per-night-hotels-in-big-cities-uk/ [Accessed 30 Sep. 2024].</w:t>
      </w:r>
    </w:p>
    <w:p w14:paraId="11F9009A"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r w:rsidRPr="00CC1ABA">
        <w:rPr>
          <w:rFonts w:ascii="Times New Roman" w:eastAsia="Times New Roman" w:hAnsi="Times New Roman" w:cs="Times New Roman"/>
          <w:sz w:val="24"/>
          <w:szCs w:val="24"/>
        </w:rPr>
        <w:t xml:space="preserve">Thornhill, J. (2024). </w:t>
      </w:r>
      <w:r w:rsidRPr="00CC1ABA">
        <w:rPr>
          <w:rFonts w:ascii="Times New Roman" w:eastAsia="Times New Roman" w:hAnsi="Times New Roman" w:cs="Times New Roman"/>
          <w:i/>
          <w:iCs/>
          <w:sz w:val="24"/>
          <w:szCs w:val="24"/>
        </w:rPr>
        <w:t>Average UK Salary By Age In 2024</w:t>
      </w:r>
      <w:r w:rsidRPr="00CC1ABA">
        <w:rPr>
          <w:rFonts w:ascii="Times New Roman" w:eastAsia="Times New Roman" w:hAnsi="Times New Roman" w:cs="Times New Roman"/>
          <w:sz w:val="24"/>
          <w:szCs w:val="24"/>
        </w:rPr>
        <w:t>. [online] Forbes Advisor UK. Available at: https://www.forbes.com/uk/advisor/business/average-uk-salary-by-age/ [Accessed 30 Sep. 2024].</w:t>
      </w:r>
    </w:p>
    <w:p w14:paraId="1898C866"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
    <w:p w14:paraId="384CAA3A" w14:textId="77777777" w:rsidR="00CC1ABA" w:rsidRPr="00CC1ABA" w:rsidRDefault="00CC1ABA" w:rsidP="00CC1ABA">
      <w:pPr>
        <w:spacing w:after="0" w:line="360" w:lineRule="auto"/>
        <w:jc w:val="both"/>
        <w:rPr>
          <w:rFonts w:ascii="Times New Roman" w:eastAsia="Times New Roman" w:hAnsi="Times New Roman" w:cs="Times New Roman"/>
          <w:sz w:val="24"/>
          <w:szCs w:val="24"/>
        </w:rPr>
      </w:pPr>
    </w:p>
    <w:p w14:paraId="3CC3F5A7" w14:textId="77777777" w:rsidR="006F028B" w:rsidRDefault="006F028B"/>
    <w:sectPr w:rsidR="006F02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10D8FA" w14:textId="77777777" w:rsidR="002A712E" w:rsidRDefault="002A712E" w:rsidP="002A712E">
      <w:pPr>
        <w:spacing w:after="0" w:line="240" w:lineRule="auto"/>
      </w:pPr>
      <w:r>
        <w:separator/>
      </w:r>
    </w:p>
  </w:endnote>
  <w:endnote w:type="continuationSeparator" w:id="0">
    <w:p w14:paraId="1CE915DA" w14:textId="77777777" w:rsidR="002A712E" w:rsidRDefault="002A712E" w:rsidP="002A7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A6B1CB" w14:textId="77777777" w:rsidR="002A712E" w:rsidRDefault="002A712E" w:rsidP="002A712E">
      <w:pPr>
        <w:spacing w:after="0" w:line="240" w:lineRule="auto"/>
      </w:pPr>
      <w:r>
        <w:separator/>
      </w:r>
    </w:p>
  </w:footnote>
  <w:footnote w:type="continuationSeparator" w:id="0">
    <w:p w14:paraId="7C8CB032" w14:textId="77777777" w:rsidR="002A712E" w:rsidRDefault="002A712E" w:rsidP="002A71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58D"/>
    <w:rsid w:val="002A712E"/>
    <w:rsid w:val="004F547B"/>
    <w:rsid w:val="00515507"/>
    <w:rsid w:val="005B7D23"/>
    <w:rsid w:val="006F028B"/>
    <w:rsid w:val="00781164"/>
    <w:rsid w:val="007D4B7C"/>
    <w:rsid w:val="008C61C4"/>
    <w:rsid w:val="00AA6052"/>
    <w:rsid w:val="00B22525"/>
    <w:rsid w:val="00B3458D"/>
    <w:rsid w:val="00CC1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8E955"/>
  <w15:chartTrackingRefBased/>
  <w15:docId w15:val="{BEE64FFD-561F-40E8-9C56-28A5A5F5E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5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45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5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5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5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5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5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5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5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5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5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5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5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5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5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5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5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58D"/>
    <w:rPr>
      <w:rFonts w:eastAsiaTheme="majorEastAsia" w:cstheme="majorBidi"/>
      <w:color w:val="272727" w:themeColor="text1" w:themeTint="D8"/>
    </w:rPr>
  </w:style>
  <w:style w:type="paragraph" w:styleId="Title">
    <w:name w:val="Title"/>
    <w:basedOn w:val="Normal"/>
    <w:next w:val="Normal"/>
    <w:link w:val="TitleChar"/>
    <w:uiPriority w:val="10"/>
    <w:qFormat/>
    <w:rsid w:val="00B345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5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5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5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58D"/>
    <w:pPr>
      <w:spacing w:before="160"/>
      <w:jc w:val="center"/>
    </w:pPr>
    <w:rPr>
      <w:i/>
      <w:iCs/>
      <w:color w:val="404040" w:themeColor="text1" w:themeTint="BF"/>
    </w:rPr>
  </w:style>
  <w:style w:type="character" w:customStyle="1" w:styleId="QuoteChar">
    <w:name w:val="Quote Char"/>
    <w:basedOn w:val="DefaultParagraphFont"/>
    <w:link w:val="Quote"/>
    <w:uiPriority w:val="29"/>
    <w:rsid w:val="00B3458D"/>
    <w:rPr>
      <w:i/>
      <w:iCs/>
      <w:color w:val="404040" w:themeColor="text1" w:themeTint="BF"/>
    </w:rPr>
  </w:style>
  <w:style w:type="paragraph" w:styleId="ListParagraph">
    <w:name w:val="List Paragraph"/>
    <w:basedOn w:val="Normal"/>
    <w:uiPriority w:val="34"/>
    <w:qFormat/>
    <w:rsid w:val="00B3458D"/>
    <w:pPr>
      <w:ind w:left="720"/>
      <w:contextualSpacing/>
    </w:pPr>
  </w:style>
  <w:style w:type="character" w:styleId="IntenseEmphasis">
    <w:name w:val="Intense Emphasis"/>
    <w:basedOn w:val="DefaultParagraphFont"/>
    <w:uiPriority w:val="21"/>
    <w:qFormat/>
    <w:rsid w:val="00B3458D"/>
    <w:rPr>
      <w:i/>
      <w:iCs/>
      <w:color w:val="0F4761" w:themeColor="accent1" w:themeShade="BF"/>
    </w:rPr>
  </w:style>
  <w:style w:type="paragraph" w:styleId="IntenseQuote">
    <w:name w:val="Intense Quote"/>
    <w:basedOn w:val="Normal"/>
    <w:next w:val="Normal"/>
    <w:link w:val="IntenseQuoteChar"/>
    <w:uiPriority w:val="30"/>
    <w:qFormat/>
    <w:rsid w:val="00B345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58D"/>
    <w:rPr>
      <w:i/>
      <w:iCs/>
      <w:color w:val="0F4761" w:themeColor="accent1" w:themeShade="BF"/>
    </w:rPr>
  </w:style>
  <w:style w:type="character" w:styleId="IntenseReference">
    <w:name w:val="Intense Reference"/>
    <w:basedOn w:val="DefaultParagraphFont"/>
    <w:uiPriority w:val="32"/>
    <w:qFormat/>
    <w:rsid w:val="00B3458D"/>
    <w:rPr>
      <w:b/>
      <w:bCs/>
      <w:smallCaps/>
      <w:color w:val="0F4761" w:themeColor="accent1" w:themeShade="BF"/>
      <w:spacing w:val="5"/>
    </w:rPr>
  </w:style>
  <w:style w:type="paragraph" w:styleId="Header">
    <w:name w:val="header"/>
    <w:basedOn w:val="Normal"/>
    <w:link w:val="HeaderChar"/>
    <w:uiPriority w:val="99"/>
    <w:unhideWhenUsed/>
    <w:rsid w:val="002A7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12E"/>
  </w:style>
  <w:style w:type="paragraph" w:styleId="Footer">
    <w:name w:val="footer"/>
    <w:basedOn w:val="Normal"/>
    <w:link w:val="FooterChar"/>
    <w:uiPriority w:val="99"/>
    <w:unhideWhenUsed/>
    <w:rsid w:val="002A7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2805</Words>
  <Characters>15989</Characters>
  <Application>Microsoft Office Word</Application>
  <DocSecurity>0</DocSecurity>
  <Lines>133</Lines>
  <Paragraphs>37</Paragraphs>
  <ScaleCrop>false</ScaleCrop>
  <Company/>
  <LinksUpToDate>false</LinksUpToDate>
  <CharactersWithSpaces>18757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9</cp:revision>
  <dcterms:created xsi:type="dcterms:W3CDTF">2024-11-14T14:39:00Z</dcterms:created>
  <dcterms:modified xsi:type="dcterms:W3CDTF">2024-11-14T14:53:00Z</dcterms:modified>
</cp:coreProperties>
</file>