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lang w:val="en-GB"/>
        </w:rPr>
        <w:id w:val="-1522475554"/>
        <w:docPartObj>
          <w:docPartGallery w:val="Cover Pages"/>
          <w:docPartUnique/>
        </w:docPartObj>
      </w:sdtPr>
      <w:sdtEndPr>
        <w:rPr>
          <w:color w:val="auto"/>
        </w:rPr>
      </w:sdtEndPr>
      <w:sdtContent>
        <w:p w14:paraId="5F21567B" w14:textId="77777777" w:rsidR="001D3AD9" w:rsidRDefault="001D3AD9" w:rsidP="001D3AD9">
          <w:pPr>
            <w:pStyle w:val="NoSpacing"/>
            <w:spacing w:before="1540" w:after="240"/>
            <w:jc w:val="center"/>
            <w:rPr>
              <w:color w:val="4472C4" w:themeColor="accent1"/>
            </w:rPr>
          </w:pPr>
          <w:r>
            <w:rPr>
              <w:noProof/>
              <w:color w:val="4472C4" w:themeColor="accent1"/>
              <w:lang w:val="en-GB" w:eastAsia="en-GB"/>
            </w:rPr>
            <w:drawing>
              <wp:inline distT="0" distB="0" distL="0" distR="0" wp14:anchorId="77EF0BC5" wp14:editId="28A37D6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kern w:val="2"/>
              <w:sz w:val="32"/>
              <w:szCs w:val="32"/>
              <w14:ligatures w14:val="standardContextual"/>
            </w:rPr>
            <w:alias w:val="Title"/>
            <w:tag w:val=""/>
            <w:id w:val="1735040861"/>
            <w:placeholder>
              <w:docPart w:val="3C08D7C5CEF34260828ECF8FDAABE9CA"/>
            </w:placeholder>
            <w:dataBinding w:prefixMappings="xmlns:ns0='http://purl.org/dc/elements/1.1/' xmlns:ns1='http://schemas.openxmlformats.org/package/2006/metadata/core-properties' " w:xpath="/ns1:coreProperties[1]/ns0:title[1]" w:storeItemID="{6C3C8BC8-F283-45AE-878A-BAB7291924A1}"/>
            <w:text/>
          </w:sdtPr>
          <w:sdtContent>
            <w:p w14:paraId="1CFF8913" w14:textId="4C82151C" w:rsidR="001D3AD9" w:rsidRDefault="001D3AD9" w:rsidP="001D3AD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D3AD9">
                <w:rPr>
                  <w:rFonts w:ascii="Times New Roman" w:eastAsia="Times New Roman" w:hAnsi="Times New Roman" w:cs="Times New Roman"/>
                  <w:b/>
                  <w:bCs/>
                  <w:kern w:val="2"/>
                  <w:sz w:val="32"/>
                  <w:szCs w:val="32"/>
                  <w14:ligatures w14:val="standardContextual"/>
                </w:rPr>
                <w:t>STRATEGIC FINANCIAL EVALUATION AND INVESTMENT APPRAISAL OF ASTRAZENECA PLC AND WESTWARD PLC</w:t>
              </w:r>
            </w:p>
          </w:sdtContent>
        </w:sdt>
        <w:sdt>
          <w:sdtPr>
            <w:rPr>
              <w:rFonts w:asciiTheme="majorBidi" w:hAnsiTheme="majorBidi" w:cstheme="majorBidi"/>
              <w:color w:val="000000" w:themeColor="text1"/>
              <w:kern w:val="2"/>
              <w:sz w:val="28"/>
              <w:szCs w:val="28"/>
              <w14:ligatures w14:val="standardContextual"/>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123A4FF5" w14:textId="672B2253" w:rsidR="001D3AD9" w:rsidRDefault="001D3AD9" w:rsidP="001D3AD9">
              <w:pPr>
                <w:pStyle w:val="NoSpacing"/>
                <w:jc w:val="center"/>
                <w:rPr>
                  <w:color w:val="4472C4" w:themeColor="accent1"/>
                  <w:sz w:val="28"/>
                  <w:szCs w:val="28"/>
                </w:rPr>
              </w:pPr>
              <w:r w:rsidRPr="001D3AD9">
                <w:rPr>
                  <w:rFonts w:asciiTheme="majorBidi" w:hAnsiTheme="majorBidi" w:cstheme="majorBidi"/>
                  <w:color w:val="000000" w:themeColor="text1"/>
                  <w:kern w:val="2"/>
                  <w:sz w:val="28"/>
                  <w:szCs w:val="28"/>
                  <w14:ligatures w14:val="standardContextual"/>
                </w:rPr>
                <w:t>FINANCE FOR BUSINESS MANAGERS – BMMB7005DKISHAN MAKVANA - 2422722</w:t>
              </w:r>
            </w:p>
          </w:sdtContent>
        </w:sdt>
        <w:p w14:paraId="621A2A5E" w14:textId="3842C3B5" w:rsidR="001D3AD9" w:rsidRDefault="001D3AD9" w:rsidP="001D3AD9">
          <w:pPr>
            <w:pStyle w:val="NoSpacing"/>
            <w:spacing w:before="480"/>
            <w:jc w:val="center"/>
            <w:rPr>
              <w:color w:val="4472C4" w:themeColor="accent1"/>
            </w:rPr>
          </w:pPr>
          <w:r>
            <w:rPr>
              <w:noProof/>
              <w:color w:val="4472C4" w:themeColor="accent1"/>
              <w:lang w:val="en-GB" w:eastAsia="en-GB"/>
            </w:rPr>
            <w:drawing>
              <wp:anchor distT="0" distB="0" distL="114300" distR="114300" simplePos="0" relativeHeight="251658240" behindDoc="1" locked="0" layoutInCell="1" allowOverlap="1" wp14:anchorId="230F97FD" wp14:editId="0ECE2351">
                <wp:simplePos x="0" y="0"/>
                <wp:positionH relativeFrom="column">
                  <wp:posOffset>2487930</wp:posOffset>
                </wp:positionH>
                <wp:positionV relativeFrom="paragraph">
                  <wp:posOffset>206700</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p w14:paraId="20D8331D" w14:textId="30FEC11A" w:rsidR="001D3AD9" w:rsidRDefault="001D3AD9" w:rsidP="001D3AD9">
          <w:pPr>
            <w:pStyle w:val="NoSpacing"/>
            <w:spacing w:before="480"/>
            <w:jc w:val="center"/>
            <w:rPr>
              <w:color w:val="4472C4" w:themeColor="accent1"/>
            </w:rPr>
          </w:pPr>
        </w:p>
        <w:p w14:paraId="212DA6A5" w14:textId="77777777" w:rsidR="001D3AD9" w:rsidRDefault="001D3AD9" w:rsidP="001D3AD9">
          <w:pPr>
            <w:pStyle w:val="NoSpacing"/>
            <w:spacing w:before="480"/>
            <w:jc w:val="center"/>
            <w:rPr>
              <w:color w:val="4472C4" w:themeColor="accent1"/>
            </w:rPr>
          </w:pPr>
        </w:p>
        <w:p w14:paraId="6F5EC9E0" w14:textId="77777777" w:rsidR="001D3AD9" w:rsidRDefault="001D3AD9" w:rsidP="001D3AD9">
          <w:pPr>
            <w:pStyle w:val="NoSpacing"/>
            <w:spacing w:before="480"/>
            <w:jc w:val="both"/>
            <w:rPr>
              <w:color w:val="4472C4" w:themeColor="accent1"/>
            </w:rPr>
          </w:pPr>
        </w:p>
        <w:p w14:paraId="22739096" w14:textId="77777777" w:rsidR="001D3AD9" w:rsidRDefault="001D3AD9" w:rsidP="001D3AD9">
          <w:pPr>
            <w:pStyle w:val="NoSpacing"/>
            <w:spacing w:before="480"/>
            <w:jc w:val="both"/>
            <w:rPr>
              <w:color w:val="4472C4" w:themeColor="accent1"/>
            </w:rPr>
          </w:pPr>
        </w:p>
        <w:p w14:paraId="467E87DC" w14:textId="77777777" w:rsidR="001D3AD9" w:rsidRDefault="001D3AD9" w:rsidP="001D3AD9">
          <w:pPr>
            <w:pStyle w:val="NoSpacing"/>
            <w:spacing w:before="480"/>
            <w:jc w:val="both"/>
            <w:rPr>
              <w:color w:val="4472C4" w:themeColor="accent1"/>
            </w:rPr>
          </w:pPr>
        </w:p>
        <w:p w14:paraId="7F2ED3B1" w14:textId="5814D572" w:rsidR="001D3AD9" w:rsidRDefault="001D3AD9" w:rsidP="001D3AD9">
          <w:pPr>
            <w:pStyle w:val="NoSpacing"/>
            <w:spacing w:before="480"/>
            <w:jc w:val="both"/>
            <w:rPr>
              <w:color w:val="4472C4" w:themeColor="accent1"/>
            </w:rPr>
          </w:pPr>
          <w:r>
            <w:rPr>
              <w:noProof/>
              <w:color w:val="4472C4" w:themeColor="accent1"/>
              <w:lang w:val="en-GB" w:eastAsia="en-GB"/>
            </w:rPr>
            <mc:AlternateContent>
              <mc:Choice Requires="wps">
                <w:drawing>
                  <wp:anchor distT="0" distB="0" distL="114300" distR="114300" simplePos="0" relativeHeight="251660288" behindDoc="1" locked="0" layoutInCell="1" allowOverlap="1" wp14:anchorId="324D531A" wp14:editId="5B79DA5F">
                    <wp:simplePos x="0" y="0"/>
                    <wp:positionH relativeFrom="margin">
                      <wp:posOffset>0</wp:posOffset>
                    </wp:positionH>
                    <wp:positionV relativeFrom="paragraph">
                      <wp:posOffset>1895475</wp:posOffset>
                    </wp:positionV>
                    <wp:extent cx="5728970" cy="567690"/>
                    <wp:effectExtent l="0" t="0" r="2540" b="3810"/>
                    <wp:wrapTight wrapText="bothSides">
                      <wp:wrapPolygon edited="0">
                        <wp:start x="0" y="0"/>
                        <wp:lineTo x="0" y="21020"/>
                        <wp:lineTo x="21538" y="21020"/>
                        <wp:lineTo x="21538" y="0"/>
                        <wp:lineTo x="0" y="0"/>
                      </wp:wrapPolygon>
                    </wp:wrapTight>
                    <wp:docPr id="142" name="Text Box 142"/>
                    <wp:cNvGraphicFramePr/>
                    <a:graphic xmlns:a="http://schemas.openxmlformats.org/drawingml/2006/main">
                      <a:graphicData uri="http://schemas.microsoft.com/office/word/2010/wordprocessingShape">
                        <wps:wsp>
                          <wps:cNvSpPr txBox="1"/>
                          <wps:spPr>
                            <a:xfrm>
                              <a:off x="0" y="0"/>
                              <a:ext cx="5728970" cy="567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Bidi" w:hAnsiTheme="majorBidi" w:cstheme="majorBidi"/>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1T00:00:00Z">
                                    <w:dateFormat w:val="MMMM d, yyyy"/>
                                    <w:lid w:val="en-US"/>
                                    <w:storeMappedDataAs w:val="dateTime"/>
                                    <w:calendar w:val="gregorian"/>
                                  </w:date>
                                </w:sdtPr>
                                <w:sdtContent>
                                  <w:p w14:paraId="345099D7" w14:textId="012B2DE8" w:rsidR="001D3AD9" w:rsidRPr="00A34B48" w:rsidRDefault="001D3AD9" w:rsidP="001D3AD9">
                                    <w:pPr>
                                      <w:pStyle w:val="NoSpacing"/>
                                      <w:spacing w:after="40"/>
                                      <w:jc w:val="center"/>
                                      <w:rPr>
                                        <w:rFonts w:asciiTheme="majorBidi" w:hAnsiTheme="majorBidi" w:cstheme="majorBidi"/>
                                        <w:caps/>
                                        <w:color w:val="4472C4" w:themeColor="accent1"/>
                                        <w:sz w:val="28"/>
                                        <w:szCs w:val="28"/>
                                      </w:rPr>
                                    </w:pPr>
                                    <w:r>
                                      <w:rPr>
                                        <w:rFonts w:asciiTheme="majorBidi" w:hAnsiTheme="majorBidi" w:cstheme="majorBidi"/>
                                        <w:caps/>
                                        <w:color w:val="4472C4" w:themeColor="accent1"/>
                                        <w:sz w:val="28"/>
                                        <w:szCs w:val="28"/>
                                      </w:rPr>
                                      <w:t>January 11, 2026</w:t>
                                    </w:r>
                                  </w:p>
                                </w:sdtContent>
                              </w:sdt>
                              <w:bookmarkStart w:id="0" w:name="_Hlk219042802"/>
                              <w:p w14:paraId="132A8B26" w14:textId="001E5221" w:rsidR="001D3AD9" w:rsidRPr="00A34B48" w:rsidRDefault="001D3AD9" w:rsidP="001D3AD9">
                                <w:pPr>
                                  <w:pStyle w:val="NoSpacing"/>
                                  <w:jc w:val="center"/>
                                  <w:rPr>
                                    <w:rFonts w:asciiTheme="majorBidi" w:hAnsiTheme="majorBidi" w:cstheme="majorBidi"/>
                                    <w:color w:val="4472C4" w:themeColor="accent1"/>
                                  </w:rPr>
                                </w:pPr>
                                <w:sdt>
                                  <w:sdtPr>
                                    <w:rPr>
                                      <w:rFonts w:asciiTheme="majorBidi" w:hAnsiTheme="majorBidi" w:cstheme="majorBidi"/>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bookmarkEnd w:id="0"/>
                                    <w:r w:rsidR="000367E4">
                                      <w:rPr>
                                        <w:rFonts w:asciiTheme="majorBidi" w:hAnsiTheme="majorBidi" w:cstheme="majorBidi"/>
                                        <w:caps/>
                                        <w:color w:val="4472C4" w:themeColor="accent1"/>
                                      </w:rPr>
                                      <w:t>UNIVERSITY OF WALES TRINITY SAINT DAVID</w:t>
                                    </w:r>
                                  </w:sdtContent>
                                </w:sdt>
                              </w:p>
                              <w:p w14:paraId="6228F390" w14:textId="77777777" w:rsidR="001D3AD9" w:rsidRDefault="001D3AD9" w:rsidP="001D3AD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4D531A" id="_x0000_t202" coordsize="21600,21600" o:spt="202" path="m,l,21600r21600,l21600,xe">
                    <v:stroke joinstyle="miter"/>
                    <v:path gradientshapeok="t" o:connecttype="rect"/>
                  </v:shapetype>
                  <v:shape id="Text Box 142" o:spid="_x0000_s1026" type="#_x0000_t202" style="position:absolute;left:0;text-align:left;margin-left:0;margin-top:149.25pt;width:451.1pt;height:44.7pt;z-index:-251656192;visibility:visible;mso-wrap-style:square;mso-width-percent:1000;mso-height-percent:0;mso-wrap-distance-left:9pt;mso-wrap-distance-top:0;mso-wrap-distance-right:9pt;mso-wrap-distance-bottom:0;mso-position-horizontal:absolute;mso-position-horizontal-relative:margin;mso-position-vertical:absolute;mso-position-vertical-relative:text;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" filled="f" stroked="f" strokeweight=".5pt">
                    <v:textbox style="mso-fit-shape-to-text:t" inset="0,0,0,0">
                      <w:txbxContent>
                        <w:sdt>
                          <w:sdtPr>
                            <w:rPr>
                              <w:rFonts w:asciiTheme="majorBidi" w:hAnsiTheme="majorBidi" w:cstheme="majorBidi"/>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1T00:00:00Z">
                              <w:dateFormat w:val="MMMM d, yyyy"/>
                              <w:lid w:val="en-US"/>
                              <w:storeMappedDataAs w:val="dateTime"/>
                              <w:calendar w:val="gregorian"/>
                            </w:date>
                          </w:sdtPr>
                          <w:sdtContent>
                            <w:p w14:paraId="345099D7" w14:textId="012B2DE8" w:rsidR="001D3AD9" w:rsidRPr="00A34B48" w:rsidRDefault="001D3AD9" w:rsidP="001D3AD9">
                              <w:pPr>
                                <w:pStyle w:val="NoSpacing"/>
                                <w:spacing w:after="40"/>
                                <w:jc w:val="center"/>
                                <w:rPr>
                                  <w:rFonts w:asciiTheme="majorBidi" w:hAnsiTheme="majorBidi" w:cstheme="majorBidi"/>
                                  <w:caps/>
                                  <w:color w:val="4472C4" w:themeColor="accent1"/>
                                  <w:sz w:val="28"/>
                                  <w:szCs w:val="28"/>
                                </w:rPr>
                              </w:pPr>
                              <w:r>
                                <w:rPr>
                                  <w:rFonts w:asciiTheme="majorBidi" w:hAnsiTheme="majorBidi" w:cstheme="majorBidi"/>
                                  <w:caps/>
                                  <w:color w:val="4472C4" w:themeColor="accent1"/>
                                  <w:sz w:val="28"/>
                                  <w:szCs w:val="28"/>
                                </w:rPr>
                                <w:t>January 11, 2026</w:t>
                              </w:r>
                            </w:p>
                          </w:sdtContent>
                        </w:sdt>
                        <w:bookmarkStart w:id="1" w:name="_Hlk219042802"/>
                        <w:p w14:paraId="132A8B26" w14:textId="001E5221" w:rsidR="001D3AD9" w:rsidRPr="00A34B48" w:rsidRDefault="001D3AD9" w:rsidP="001D3AD9">
                          <w:pPr>
                            <w:pStyle w:val="NoSpacing"/>
                            <w:jc w:val="center"/>
                            <w:rPr>
                              <w:rFonts w:asciiTheme="majorBidi" w:hAnsiTheme="majorBidi" w:cstheme="majorBidi"/>
                              <w:color w:val="4472C4" w:themeColor="accent1"/>
                            </w:rPr>
                          </w:pPr>
                          <w:sdt>
                            <w:sdtPr>
                              <w:rPr>
                                <w:rFonts w:asciiTheme="majorBidi" w:hAnsiTheme="majorBidi" w:cstheme="majorBidi"/>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bookmarkEnd w:id="1"/>
                              <w:r w:rsidR="000367E4">
                                <w:rPr>
                                  <w:rFonts w:asciiTheme="majorBidi" w:hAnsiTheme="majorBidi" w:cstheme="majorBidi"/>
                                  <w:caps/>
                                  <w:color w:val="4472C4" w:themeColor="accent1"/>
                                </w:rPr>
                                <w:t>UNIVERSITY OF WALES TRINITY SAINT DAVID</w:t>
                              </w:r>
                            </w:sdtContent>
                          </w:sdt>
                        </w:p>
                        <w:p w14:paraId="6228F390" w14:textId="77777777" w:rsidR="001D3AD9" w:rsidRDefault="001D3AD9" w:rsidP="001D3AD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type="tight" anchorx="margin"/>
                  </v:shape>
                </w:pict>
              </mc:Fallback>
            </mc:AlternateContent>
          </w:r>
        </w:p>
        <w:p w14:paraId="427C2629" w14:textId="77777777" w:rsidR="001D3AD9" w:rsidRDefault="001D3AD9" w:rsidP="001D3AD9">
          <w:pPr>
            <w:pStyle w:val="NoSpacing"/>
            <w:spacing w:before="480"/>
            <w:jc w:val="both"/>
            <w:rPr>
              <w:color w:val="4472C4" w:themeColor="accent1"/>
            </w:rPr>
          </w:pPr>
        </w:p>
        <w:p w14:paraId="2FD0CC49" w14:textId="77777777" w:rsidR="001D3AD9" w:rsidRDefault="001D3AD9" w:rsidP="001D3AD9">
          <w:pPr>
            <w:pStyle w:val="NoSpacing"/>
            <w:spacing w:before="480"/>
            <w:jc w:val="both"/>
            <w:rPr>
              <w:color w:val="4472C4" w:themeColor="accent1"/>
            </w:rPr>
          </w:pPr>
        </w:p>
        <w:p w14:paraId="2676D87D" w14:textId="5408106B" w:rsidR="001D3AD9" w:rsidRDefault="001D3AD9" w:rsidP="001D3AD9">
          <w:pPr>
            <w:pStyle w:val="NoSpacing"/>
            <w:spacing w:after="40"/>
            <w:jc w:val="center"/>
          </w:pPr>
        </w:p>
        <w:p w14:paraId="38D7E296" w14:textId="77777777" w:rsidR="001D3AD9" w:rsidRDefault="001D3AD9" w:rsidP="001D3AD9">
          <w:pPr>
            <w:pStyle w:val="NoSpacing"/>
            <w:spacing w:after="40"/>
            <w:jc w:val="center"/>
          </w:pPr>
        </w:p>
        <w:p w14:paraId="5506D877" w14:textId="77777777" w:rsidR="001D3AD9" w:rsidRDefault="001D3AD9" w:rsidP="001D3AD9">
          <w:pPr>
            <w:pStyle w:val="NoSpacing"/>
            <w:spacing w:after="40"/>
            <w:jc w:val="center"/>
          </w:pPr>
        </w:p>
        <w:p w14:paraId="1E3A640B" w14:textId="77777777" w:rsidR="001D3AD9" w:rsidRDefault="001D3AD9" w:rsidP="001D3AD9">
          <w:pPr>
            <w:pStyle w:val="NoSpacing"/>
            <w:spacing w:after="40"/>
            <w:jc w:val="center"/>
          </w:pPr>
        </w:p>
        <w:p w14:paraId="7E148C08" w14:textId="77777777" w:rsidR="001D3AD9" w:rsidRDefault="001D3AD9" w:rsidP="001D3AD9">
          <w:pPr>
            <w:pStyle w:val="NoSpacing"/>
            <w:spacing w:after="40"/>
            <w:jc w:val="center"/>
          </w:pPr>
        </w:p>
        <w:p w14:paraId="26F65D1C" w14:textId="77777777" w:rsidR="001D3AD9" w:rsidRDefault="001D3AD9" w:rsidP="001D3AD9">
          <w:pPr>
            <w:pStyle w:val="NoSpacing"/>
            <w:spacing w:after="40"/>
            <w:jc w:val="center"/>
          </w:pPr>
        </w:p>
        <w:p w14:paraId="51D74B86" w14:textId="77777777" w:rsidR="001D3AD9" w:rsidRDefault="001D3AD9" w:rsidP="001D3AD9">
          <w:pPr>
            <w:pStyle w:val="NoSpacing"/>
            <w:spacing w:after="40"/>
            <w:jc w:val="center"/>
          </w:pPr>
        </w:p>
        <w:p w14:paraId="04DF4174" w14:textId="77777777" w:rsidR="001D3AD9" w:rsidRPr="001D3AD9" w:rsidRDefault="001D3AD9" w:rsidP="001D3AD9">
          <w:pPr>
            <w:pStyle w:val="NoSpacing"/>
            <w:spacing w:after="40"/>
            <w:jc w:val="center"/>
            <w:rPr>
              <w:rFonts w:ascii="Times New Roman" w:hAnsi="Times New Roman" w:cs="Times New Roman"/>
            </w:rPr>
          </w:pPr>
        </w:p>
        <w:p w14:paraId="605E3A21" w14:textId="4B793B28" w:rsidR="001D3AD9" w:rsidRPr="001D3AD9" w:rsidRDefault="001D3AD9" w:rsidP="001D3AD9">
          <w:pPr>
            <w:pStyle w:val="NoSpacing"/>
            <w:spacing w:after="40"/>
            <w:jc w:val="center"/>
            <w:rPr>
              <w:rFonts w:ascii="Times New Roman" w:hAnsi="Times New Roman" w:cs="Times New Roman"/>
              <w:b/>
              <w:bCs/>
              <w:sz w:val="28"/>
              <w:szCs w:val="28"/>
            </w:rPr>
          </w:pPr>
          <w:r w:rsidRPr="001D3AD9">
            <w:rPr>
              <w:rFonts w:ascii="Times New Roman" w:hAnsi="Times New Roman" w:cs="Times New Roman"/>
              <w:b/>
              <w:bCs/>
              <w:sz w:val="28"/>
              <w:szCs w:val="28"/>
            </w:rPr>
            <w:t>Executive Summary</w:t>
          </w:r>
        </w:p>
        <w:p w14:paraId="13FB0C1B" w14:textId="77777777" w:rsidR="001D3AD9" w:rsidRPr="001D3AD9" w:rsidRDefault="001D3AD9" w:rsidP="001D3AD9">
          <w:pPr>
            <w:pStyle w:val="NoSpacing"/>
            <w:spacing w:after="40"/>
            <w:jc w:val="center"/>
            <w:rPr>
              <w:rFonts w:asciiTheme="majorBidi" w:hAnsiTheme="majorBidi" w:cstheme="majorBidi"/>
              <w:caps/>
              <w:color w:val="4472C4" w:themeColor="accent1"/>
              <w:sz w:val="28"/>
              <w:szCs w:val="28"/>
            </w:rPr>
          </w:pPr>
        </w:p>
        <w:p w14:paraId="19E8EBD7" w14:textId="77777777" w:rsidR="001D3AD9" w:rsidRPr="003D6BAD" w:rsidRDefault="001D3AD9" w:rsidP="001D3AD9">
          <w:pPr>
            <w:spacing w:line="360" w:lineRule="auto"/>
            <w:jc w:val="both"/>
            <w:rPr>
              <w:rFonts w:ascii="Times New Roman" w:hAnsi="Times New Roman" w:cs="Times New Roman"/>
              <w:sz w:val="24"/>
            </w:rPr>
          </w:pPr>
          <w:r w:rsidRPr="003D6BAD">
            <w:rPr>
              <w:rFonts w:ascii="Times New Roman" w:hAnsi="Times New Roman" w:cs="Times New Roman"/>
              <w:sz w:val="24"/>
            </w:rPr>
            <w:t>This report analyses the financial performance of the AstraZeneca PLC and reviews the investment opportunities offered to the Westward Plc based on the existing financial management and capital appraisal methods. Part 1 discusses the financial statements of AstraZeneca since 20212024, in terms of profitability, liquidity, efficiency, gearing and investor ratios. It demonstrates that AstraZeneca has experienced a high growth in earnings and revenues with effective innovation and diversification of its pharmaceutical products. Investor ratios and profits increased considerably, which suggests the increase in shareholder value. Nevertheless, the liquidity ratios and working capital trends indicate that the company can use its short-term liabilities, and it should better manage its cash flows although the debt-servicing capacity got better.</w:t>
          </w:r>
        </w:p>
        <w:p w14:paraId="17AC6782" w14:textId="77777777" w:rsidR="001D3AD9" w:rsidRDefault="001D3AD9" w:rsidP="001D3AD9">
          <w:pPr>
            <w:spacing w:line="360" w:lineRule="auto"/>
            <w:jc w:val="both"/>
          </w:pPr>
          <w:r w:rsidRPr="003D6BAD">
            <w:rPr>
              <w:rFonts w:ascii="Times New Roman" w:hAnsi="Times New Roman" w:cs="Times New Roman"/>
              <w:sz w:val="24"/>
            </w:rPr>
            <w:t>Part 2 uses Net Present Value (NPV) Internal rate of return (IRR) and Capital rationing to draw a comparison between three strategic expansion choices of Westward Plc. None of these projects give negative NPVs, although the Internet Sales option (Option B) has the highest NPV and an IRR of about 27, which is far much higher than the cost of capital of 6. With the capital constraint of less than or equal to £2.5 million, the optimum investment mix will increase the shareholder value further. The report concludes that option B is the best option that Westward Plc should look at and fund the programmed with a moderate debt and retained earnings to enable it to grow sustainably and at the same time be financially stable.</w:t>
          </w:r>
        </w:p>
        <w:p w14:paraId="4C0B95E1" w14:textId="77777777" w:rsidR="001D3AD9" w:rsidRDefault="001D3AD9" w:rsidP="001D3AD9">
          <w:pPr>
            <w:jc w:val="both"/>
          </w:pPr>
        </w:p>
        <w:p w14:paraId="7381C6A8" w14:textId="77777777" w:rsidR="001D3AD9" w:rsidRDefault="001D3AD9" w:rsidP="001D3AD9">
          <w:pPr>
            <w:jc w:val="both"/>
          </w:pPr>
        </w:p>
        <w:p w14:paraId="54AF06C7" w14:textId="77777777" w:rsidR="001D3AD9" w:rsidRDefault="001D3AD9" w:rsidP="001D3AD9">
          <w:pPr>
            <w:jc w:val="both"/>
          </w:pPr>
        </w:p>
        <w:p w14:paraId="59A3E1EC" w14:textId="77777777" w:rsidR="001D3AD9" w:rsidRDefault="001D3AD9" w:rsidP="001D3AD9">
          <w:pPr>
            <w:jc w:val="both"/>
          </w:pPr>
        </w:p>
        <w:p w14:paraId="6B2B76A4" w14:textId="77777777" w:rsidR="001D3AD9" w:rsidRDefault="001D3AD9" w:rsidP="001D3AD9">
          <w:pPr>
            <w:jc w:val="both"/>
          </w:pPr>
        </w:p>
        <w:p w14:paraId="7D7355E7" w14:textId="77777777" w:rsidR="001D3AD9" w:rsidRDefault="001D3AD9" w:rsidP="001D3AD9">
          <w:pPr>
            <w:jc w:val="both"/>
          </w:pPr>
        </w:p>
        <w:p w14:paraId="458F72D7" w14:textId="77777777" w:rsidR="001D3AD9" w:rsidRDefault="001D3AD9" w:rsidP="001D3AD9">
          <w:pPr>
            <w:jc w:val="both"/>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Cs/>
              <w:noProof/>
            </w:rPr>
          </w:sdtEndPr>
          <w:sdtContent>
            <w:p w14:paraId="2B356FCF" w14:textId="77777777" w:rsidR="001D3AD9" w:rsidRPr="001D3AD9" w:rsidRDefault="001D3AD9" w:rsidP="001D3AD9">
              <w:pPr>
                <w:pStyle w:val="TOCHeading"/>
                <w:jc w:val="center"/>
                <w:rPr>
                  <w:rFonts w:ascii="Times New Roman" w:hAnsi="Times New Roman" w:cs="Times New Roman"/>
                </w:rPr>
              </w:pPr>
              <w:r w:rsidRPr="001D3AD9">
                <w:rPr>
                  <w:rFonts w:ascii="Times New Roman" w:hAnsi="Times New Roman" w:cs="Times New Roman"/>
                </w:rPr>
                <w:t>Table of Contents</w:t>
              </w:r>
            </w:p>
            <w:p w14:paraId="5802E5D9" w14:textId="42E6BB00" w:rsidR="000367E4" w:rsidRDefault="001D3AD9">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r w:rsidRPr="001D3AD9">
                <w:rPr>
                  <w:rFonts w:ascii="Times New Roman" w:hAnsi="Times New Roman" w:cs="Times New Roman"/>
                </w:rPr>
                <w:fldChar w:fldCharType="begin"/>
              </w:r>
              <w:r w:rsidRPr="001D3AD9">
                <w:rPr>
                  <w:rFonts w:ascii="Times New Roman" w:hAnsi="Times New Roman" w:cs="Times New Roman"/>
                </w:rPr>
                <w:instrText xml:space="preserve"> TOC \o "1-3" \h \z \u </w:instrText>
              </w:r>
              <w:r w:rsidRPr="001D3AD9">
                <w:rPr>
                  <w:rFonts w:ascii="Times New Roman" w:hAnsi="Times New Roman" w:cs="Times New Roman"/>
                </w:rPr>
                <w:fldChar w:fldCharType="separate"/>
              </w:r>
              <w:hyperlink w:anchor="_Toc219043999" w:history="1">
                <w:r w:rsidR="000367E4" w:rsidRPr="005E3450">
                  <w:rPr>
                    <w:rStyle w:val="Hyperlink"/>
                    <w:noProof/>
                  </w:rPr>
                  <w:t>PART 1 – Financial Performance Analysis of AstraZeneca PLC</w:t>
                </w:r>
                <w:r w:rsidR="000367E4">
                  <w:rPr>
                    <w:noProof/>
                    <w:webHidden/>
                  </w:rPr>
                  <w:tab/>
                </w:r>
                <w:r w:rsidR="000367E4">
                  <w:rPr>
                    <w:noProof/>
                    <w:webHidden/>
                  </w:rPr>
                  <w:fldChar w:fldCharType="begin"/>
                </w:r>
                <w:r w:rsidR="000367E4">
                  <w:rPr>
                    <w:noProof/>
                    <w:webHidden/>
                  </w:rPr>
                  <w:instrText xml:space="preserve"> PAGEREF _Toc219043999 \h </w:instrText>
                </w:r>
                <w:r w:rsidR="000367E4">
                  <w:rPr>
                    <w:noProof/>
                    <w:webHidden/>
                  </w:rPr>
                </w:r>
                <w:r w:rsidR="000367E4">
                  <w:rPr>
                    <w:noProof/>
                    <w:webHidden/>
                  </w:rPr>
                  <w:fldChar w:fldCharType="separate"/>
                </w:r>
                <w:r w:rsidR="000367E4">
                  <w:rPr>
                    <w:noProof/>
                    <w:webHidden/>
                  </w:rPr>
                  <w:t>1</w:t>
                </w:r>
                <w:r w:rsidR="000367E4">
                  <w:rPr>
                    <w:noProof/>
                    <w:webHidden/>
                  </w:rPr>
                  <w:fldChar w:fldCharType="end"/>
                </w:r>
              </w:hyperlink>
            </w:p>
            <w:p w14:paraId="0238973E" w14:textId="3B0F143C"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00" w:history="1">
                <w:r w:rsidRPr="005E3450">
                  <w:rPr>
                    <w:rStyle w:val="Hyperlink"/>
                    <w:noProof/>
                  </w:rPr>
                  <w:t>1. Introduction</w:t>
                </w:r>
                <w:r>
                  <w:rPr>
                    <w:noProof/>
                    <w:webHidden/>
                  </w:rPr>
                  <w:tab/>
                </w:r>
                <w:r>
                  <w:rPr>
                    <w:noProof/>
                    <w:webHidden/>
                  </w:rPr>
                  <w:fldChar w:fldCharType="begin"/>
                </w:r>
                <w:r>
                  <w:rPr>
                    <w:noProof/>
                    <w:webHidden/>
                  </w:rPr>
                  <w:instrText xml:space="preserve"> PAGEREF _Toc219044000 \h </w:instrText>
                </w:r>
                <w:r>
                  <w:rPr>
                    <w:noProof/>
                    <w:webHidden/>
                  </w:rPr>
                </w:r>
                <w:r>
                  <w:rPr>
                    <w:noProof/>
                    <w:webHidden/>
                  </w:rPr>
                  <w:fldChar w:fldCharType="separate"/>
                </w:r>
                <w:r>
                  <w:rPr>
                    <w:noProof/>
                    <w:webHidden/>
                  </w:rPr>
                  <w:t>1</w:t>
                </w:r>
                <w:r>
                  <w:rPr>
                    <w:noProof/>
                    <w:webHidden/>
                  </w:rPr>
                  <w:fldChar w:fldCharType="end"/>
                </w:r>
              </w:hyperlink>
            </w:p>
            <w:p w14:paraId="500EDE18" w14:textId="1CC42BF3" w:rsidR="000367E4" w:rsidRDefault="000367E4">
              <w:pPr>
                <w:pStyle w:val="TOC3"/>
                <w:tabs>
                  <w:tab w:val="right" w:leader="dot" w:pos="9016"/>
                </w:tabs>
                <w:rPr>
                  <w:rFonts w:eastAsiaTheme="minorEastAsia"/>
                  <w:noProof/>
                  <w:kern w:val="2"/>
                  <w:sz w:val="24"/>
                  <w:szCs w:val="24"/>
                  <w:lang w:val="en-IN" w:eastAsia="en-IN" w:bidi="gu-IN"/>
                  <w14:ligatures w14:val="standardContextual"/>
                </w:rPr>
              </w:pPr>
              <w:hyperlink w:anchor="_Toc219044001" w:history="1">
                <w:r w:rsidRPr="005E3450">
                  <w:rPr>
                    <w:rStyle w:val="Hyperlink"/>
                    <w:noProof/>
                  </w:rPr>
                  <w:t>1.1 Overview of AstraZeneca PLC</w:t>
                </w:r>
                <w:r>
                  <w:rPr>
                    <w:noProof/>
                    <w:webHidden/>
                  </w:rPr>
                  <w:tab/>
                </w:r>
                <w:r>
                  <w:rPr>
                    <w:noProof/>
                    <w:webHidden/>
                  </w:rPr>
                  <w:fldChar w:fldCharType="begin"/>
                </w:r>
                <w:r>
                  <w:rPr>
                    <w:noProof/>
                    <w:webHidden/>
                  </w:rPr>
                  <w:instrText xml:space="preserve"> PAGEREF _Toc219044001 \h </w:instrText>
                </w:r>
                <w:r>
                  <w:rPr>
                    <w:noProof/>
                    <w:webHidden/>
                  </w:rPr>
                </w:r>
                <w:r>
                  <w:rPr>
                    <w:noProof/>
                    <w:webHidden/>
                  </w:rPr>
                  <w:fldChar w:fldCharType="separate"/>
                </w:r>
                <w:r>
                  <w:rPr>
                    <w:noProof/>
                    <w:webHidden/>
                  </w:rPr>
                  <w:t>1</w:t>
                </w:r>
                <w:r>
                  <w:rPr>
                    <w:noProof/>
                    <w:webHidden/>
                  </w:rPr>
                  <w:fldChar w:fldCharType="end"/>
                </w:r>
              </w:hyperlink>
            </w:p>
            <w:p w14:paraId="656B1DE1" w14:textId="473ED0D3" w:rsidR="000367E4" w:rsidRDefault="000367E4">
              <w:pPr>
                <w:pStyle w:val="TOC3"/>
                <w:tabs>
                  <w:tab w:val="right" w:leader="dot" w:pos="9016"/>
                </w:tabs>
                <w:rPr>
                  <w:rFonts w:eastAsiaTheme="minorEastAsia"/>
                  <w:noProof/>
                  <w:kern w:val="2"/>
                  <w:sz w:val="24"/>
                  <w:szCs w:val="24"/>
                  <w:lang w:val="en-IN" w:eastAsia="en-IN" w:bidi="gu-IN"/>
                  <w14:ligatures w14:val="standardContextual"/>
                </w:rPr>
              </w:pPr>
              <w:hyperlink w:anchor="_Toc219044002" w:history="1">
                <w:r w:rsidRPr="005E3450">
                  <w:rPr>
                    <w:rStyle w:val="Hyperlink"/>
                    <w:noProof/>
                  </w:rPr>
                  <w:t>1.2 Position in the Global Pharmaceutical Industry</w:t>
                </w:r>
                <w:r>
                  <w:rPr>
                    <w:noProof/>
                    <w:webHidden/>
                  </w:rPr>
                  <w:tab/>
                </w:r>
                <w:r>
                  <w:rPr>
                    <w:noProof/>
                    <w:webHidden/>
                  </w:rPr>
                  <w:fldChar w:fldCharType="begin"/>
                </w:r>
                <w:r>
                  <w:rPr>
                    <w:noProof/>
                    <w:webHidden/>
                  </w:rPr>
                  <w:instrText xml:space="preserve"> PAGEREF _Toc219044002 \h </w:instrText>
                </w:r>
                <w:r>
                  <w:rPr>
                    <w:noProof/>
                    <w:webHidden/>
                  </w:rPr>
                </w:r>
                <w:r>
                  <w:rPr>
                    <w:noProof/>
                    <w:webHidden/>
                  </w:rPr>
                  <w:fldChar w:fldCharType="separate"/>
                </w:r>
                <w:r>
                  <w:rPr>
                    <w:noProof/>
                    <w:webHidden/>
                  </w:rPr>
                  <w:t>1</w:t>
                </w:r>
                <w:r>
                  <w:rPr>
                    <w:noProof/>
                    <w:webHidden/>
                  </w:rPr>
                  <w:fldChar w:fldCharType="end"/>
                </w:r>
              </w:hyperlink>
            </w:p>
            <w:p w14:paraId="59662571" w14:textId="15712A82" w:rsidR="000367E4" w:rsidRDefault="000367E4">
              <w:pPr>
                <w:pStyle w:val="TOC3"/>
                <w:tabs>
                  <w:tab w:val="right" w:leader="dot" w:pos="9016"/>
                </w:tabs>
                <w:rPr>
                  <w:rFonts w:eastAsiaTheme="minorEastAsia"/>
                  <w:noProof/>
                  <w:kern w:val="2"/>
                  <w:sz w:val="24"/>
                  <w:szCs w:val="24"/>
                  <w:lang w:val="en-IN" w:eastAsia="en-IN" w:bidi="gu-IN"/>
                  <w14:ligatures w14:val="standardContextual"/>
                </w:rPr>
              </w:pPr>
              <w:hyperlink w:anchor="_Toc219044003" w:history="1">
                <w:r w:rsidRPr="005E3450">
                  <w:rPr>
                    <w:rStyle w:val="Hyperlink"/>
                    <w:noProof/>
                  </w:rPr>
                  <w:t>1.3 Importance of Financial Analysis</w:t>
                </w:r>
                <w:r>
                  <w:rPr>
                    <w:noProof/>
                    <w:webHidden/>
                  </w:rPr>
                  <w:tab/>
                </w:r>
                <w:r>
                  <w:rPr>
                    <w:noProof/>
                    <w:webHidden/>
                  </w:rPr>
                  <w:fldChar w:fldCharType="begin"/>
                </w:r>
                <w:r>
                  <w:rPr>
                    <w:noProof/>
                    <w:webHidden/>
                  </w:rPr>
                  <w:instrText xml:space="preserve"> PAGEREF _Toc219044003 \h </w:instrText>
                </w:r>
                <w:r>
                  <w:rPr>
                    <w:noProof/>
                    <w:webHidden/>
                  </w:rPr>
                </w:r>
                <w:r>
                  <w:rPr>
                    <w:noProof/>
                    <w:webHidden/>
                  </w:rPr>
                  <w:fldChar w:fldCharType="separate"/>
                </w:r>
                <w:r>
                  <w:rPr>
                    <w:noProof/>
                    <w:webHidden/>
                  </w:rPr>
                  <w:t>1</w:t>
                </w:r>
                <w:r>
                  <w:rPr>
                    <w:noProof/>
                    <w:webHidden/>
                  </w:rPr>
                  <w:fldChar w:fldCharType="end"/>
                </w:r>
              </w:hyperlink>
            </w:p>
            <w:p w14:paraId="3EB73EB0" w14:textId="740CE09F" w:rsidR="000367E4" w:rsidRDefault="000367E4">
              <w:pPr>
                <w:pStyle w:val="TOC3"/>
                <w:tabs>
                  <w:tab w:val="right" w:leader="dot" w:pos="9016"/>
                </w:tabs>
                <w:rPr>
                  <w:rFonts w:eastAsiaTheme="minorEastAsia"/>
                  <w:noProof/>
                  <w:kern w:val="2"/>
                  <w:sz w:val="24"/>
                  <w:szCs w:val="24"/>
                  <w:lang w:val="en-IN" w:eastAsia="en-IN" w:bidi="gu-IN"/>
                  <w14:ligatures w14:val="standardContextual"/>
                </w:rPr>
              </w:pPr>
              <w:hyperlink w:anchor="_Toc219044004" w:history="1">
                <w:r w:rsidRPr="005E3450">
                  <w:rPr>
                    <w:rStyle w:val="Hyperlink"/>
                    <w:noProof/>
                  </w:rPr>
                  <w:t>1.4 Purpose of the Report</w:t>
                </w:r>
                <w:r>
                  <w:rPr>
                    <w:noProof/>
                    <w:webHidden/>
                  </w:rPr>
                  <w:tab/>
                </w:r>
                <w:r>
                  <w:rPr>
                    <w:noProof/>
                    <w:webHidden/>
                  </w:rPr>
                  <w:fldChar w:fldCharType="begin"/>
                </w:r>
                <w:r>
                  <w:rPr>
                    <w:noProof/>
                    <w:webHidden/>
                  </w:rPr>
                  <w:instrText xml:space="preserve"> PAGEREF _Toc219044004 \h </w:instrText>
                </w:r>
                <w:r>
                  <w:rPr>
                    <w:noProof/>
                    <w:webHidden/>
                  </w:rPr>
                </w:r>
                <w:r>
                  <w:rPr>
                    <w:noProof/>
                    <w:webHidden/>
                  </w:rPr>
                  <w:fldChar w:fldCharType="separate"/>
                </w:r>
                <w:r>
                  <w:rPr>
                    <w:noProof/>
                    <w:webHidden/>
                  </w:rPr>
                  <w:t>1</w:t>
                </w:r>
                <w:r>
                  <w:rPr>
                    <w:noProof/>
                    <w:webHidden/>
                  </w:rPr>
                  <w:fldChar w:fldCharType="end"/>
                </w:r>
              </w:hyperlink>
            </w:p>
            <w:p w14:paraId="16ECA93A" w14:textId="2C1E968C"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05" w:history="1">
                <w:r w:rsidRPr="005E3450">
                  <w:rPr>
                    <w:rStyle w:val="Hyperlink"/>
                    <w:noProof/>
                  </w:rPr>
                  <w:t>2. Methodology and Literature Context</w:t>
                </w:r>
                <w:r>
                  <w:rPr>
                    <w:noProof/>
                    <w:webHidden/>
                  </w:rPr>
                  <w:tab/>
                </w:r>
                <w:r>
                  <w:rPr>
                    <w:noProof/>
                    <w:webHidden/>
                  </w:rPr>
                  <w:fldChar w:fldCharType="begin"/>
                </w:r>
                <w:r>
                  <w:rPr>
                    <w:noProof/>
                    <w:webHidden/>
                  </w:rPr>
                  <w:instrText xml:space="preserve"> PAGEREF _Toc219044005 \h </w:instrText>
                </w:r>
                <w:r>
                  <w:rPr>
                    <w:noProof/>
                    <w:webHidden/>
                  </w:rPr>
                </w:r>
                <w:r>
                  <w:rPr>
                    <w:noProof/>
                    <w:webHidden/>
                  </w:rPr>
                  <w:fldChar w:fldCharType="separate"/>
                </w:r>
                <w:r>
                  <w:rPr>
                    <w:noProof/>
                    <w:webHidden/>
                  </w:rPr>
                  <w:t>2</w:t>
                </w:r>
                <w:r>
                  <w:rPr>
                    <w:noProof/>
                    <w:webHidden/>
                  </w:rPr>
                  <w:fldChar w:fldCharType="end"/>
                </w:r>
              </w:hyperlink>
            </w:p>
            <w:p w14:paraId="1024CDE5" w14:textId="1E581274" w:rsidR="000367E4" w:rsidRDefault="000367E4">
              <w:pPr>
                <w:pStyle w:val="TOC3"/>
                <w:tabs>
                  <w:tab w:val="right" w:leader="dot" w:pos="9016"/>
                </w:tabs>
                <w:rPr>
                  <w:rFonts w:eastAsiaTheme="minorEastAsia"/>
                  <w:noProof/>
                  <w:kern w:val="2"/>
                  <w:sz w:val="24"/>
                  <w:szCs w:val="24"/>
                  <w:lang w:val="en-IN" w:eastAsia="en-IN" w:bidi="gu-IN"/>
                  <w14:ligatures w14:val="standardContextual"/>
                </w:rPr>
              </w:pPr>
              <w:hyperlink w:anchor="_Toc219044006" w:history="1">
                <w:r w:rsidRPr="005E3450">
                  <w:rPr>
                    <w:rStyle w:val="Hyperlink"/>
                    <w:noProof/>
                  </w:rPr>
                  <w:t>2.1 Ratio Analysis as a Financial Evaluation Tool</w:t>
                </w:r>
                <w:r>
                  <w:rPr>
                    <w:noProof/>
                    <w:webHidden/>
                  </w:rPr>
                  <w:tab/>
                </w:r>
                <w:r>
                  <w:rPr>
                    <w:noProof/>
                    <w:webHidden/>
                  </w:rPr>
                  <w:fldChar w:fldCharType="begin"/>
                </w:r>
                <w:r>
                  <w:rPr>
                    <w:noProof/>
                    <w:webHidden/>
                  </w:rPr>
                  <w:instrText xml:space="preserve"> PAGEREF _Toc219044006 \h </w:instrText>
                </w:r>
                <w:r>
                  <w:rPr>
                    <w:noProof/>
                    <w:webHidden/>
                  </w:rPr>
                </w:r>
                <w:r>
                  <w:rPr>
                    <w:noProof/>
                    <w:webHidden/>
                  </w:rPr>
                  <w:fldChar w:fldCharType="separate"/>
                </w:r>
                <w:r>
                  <w:rPr>
                    <w:noProof/>
                    <w:webHidden/>
                  </w:rPr>
                  <w:t>2</w:t>
                </w:r>
                <w:r>
                  <w:rPr>
                    <w:noProof/>
                    <w:webHidden/>
                  </w:rPr>
                  <w:fldChar w:fldCharType="end"/>
                </w:r>
              </w:hyperlink>
            </w:p>
            <w:p w14:paraId="6EFB8A07" w14:textId="33389B38" w:rsidR="000367E4" w:rsidRDefault="000367E4">
              <w:pPr>
                <w:pStyle w:val="TOC3"/>
                <w:tabs>
                  <w:tab w:val="right" w:leader="dot" w:pos="9016"/>
                </w:tabs>
                <w:rPr>
                  <w:rFonts w:eastAsiaTheme="minorEastAsia"/>
                  <w:noProof/>
                  <w:kern w:val="2"/>
                  <w:sz w:val="24"/>
                  <w:szCs w:val="24"/>
                  <w:lang w:val="en-IN" w:eastAsia="en-IN" w:bidi="gu-IN"/>
                  <w14:ligatures w14:val="standardContextual"/>
                </w:rPr>
              </w:pPr>
              <w:hyperlink w:anchor="_Toc219044007" w:history="1">
                <w:r w:rsidRPr="005E3450">
                  <w:rPr>
                    <w:rStyle w:val="Hyperlink"/>
                    <w:noProof/>
                  </w:rPr>
                  <w:t>2.2 Use of Profitability, Liquidity, Efficiency, Gearing, and Investor Ratios</w:t>
                </w:r>
                <w:r>
                  <w:rPr>
                    <w:noProof/>
                    <w:webHidden/>
                  </w:rPr>
                  <w:tab/>
                </w:r>
                <w:r>
                  <w:rPr>
                    <w:noProof/>
                    <w:webHidden/>
                  </w:rPr>
                  <w:fldChar w:fldCharType="begin"/>
                </w:r>
                <w:r>
                  <w:rPr>
                    <w:noProof/>
                    <w:webHidden/>
                  </w:rPr>
                  <w:instrText xml:space="preserve"> PAGEREF _Toc219044007 \h </w:instrText>
                </w:r>
                <w:r>
                  <w:rPr>
                    <w:noProof/>
                    <w:webHidden/>
                  </w:rPr>
                </w:r>
                <w:r>
                  <w:rPr>
                    <w:noProof/>
                    <w:webHidden/>
                  </w:rPr>
                  <w:fldChar w:fldCharType="separate"/>
                </w:r>
                <w:r>
                  <w:rPr>
                    <w:noProof/>
                    <w:webHidden/>
                  </w:rPr>
                  <w:t>2</w:t>
                </w:r>
                <w:r>
                  <w:rPr>
                    <w:noProof/>
                    <w:webHidden/>
                  </w:rPr>
                  <w:fldChar w:fldCharType="end"/>
                </w:r>
              </w:hyperlink>
            </w:p>
            <w:p w14:paraId="42EB2574" w14:textId="3BD2646F" w:rsidR="000367E4" w:rsidRDefault="000367E4">
              <w:pPr>
                <w:pStyle w:val="TOC3"/>
                <w:tabs>
                  <w:tab w:val="right" w:leader="dot" w:pos="9016"/>
                </w:tabs>
                <w:rPr>
                  <w:rFonts w:eastAsiaTheme="minorEastAsia"/>
                  <w:noProof/>
                  <w:kern w:val="2"/>
                  <w:sz w:val="24"/>
                  <w:szCs w:val="24"/>
                  <w:lang w:val="en-IN" w:eastAsia="en-IN" w:bidi="gu-IN"/>
                  <w14:ligatures w14:val="standardContextual"/>
                </w:rPr>
              </w:pPr>
              <w:hyperlink w:anchor="_Toc219044008" w:history="1">
                <w:r w:rsidRPr="005E3450">
                  <w:rPr>
                    <w:rStyle w:val="Hyperlink"/>
                    <w:noProof/>
                  </w:rPr>
                  <w:t>2.3 Importance of Financial Statement Analysis</w:t>
                </w:r>
                <w:r>
                  <w:rPr>
                    <w:noProof/>
                    <w:webHidden/>
                  </w:rPr>
                  <w:tab/>
                </w:r>
                <w:r>
                  <w:rPr>
                    <w:noProof/>
                    <w:webHidden/>
                  </w:rPr>
                  <w:fldChar w:fldCharType="begin"/>
                </w:r>
                <w:r>
                  <w:rPr>
                    <w:noProof/>
                    <w:webHidden/>
                  </w:rPr>
                  <w:instrText xml:space="preserve"> PAGEREF _Toc219044008 \h </w:instrText>
                </w:r>
                <w:r>
                  <w:rPr>
                    <w:noProof/>
                    <w:webHidden/>
                  </w:rPr>
                </w:r>
                <w:r>
                  <w:rPr>
                    <w:noProof/>
                    <w:webHidden/>
                  </w:rPr>
                  <w:fldChar w:fldCharType="separate"/>
                </w:r>
                <w:r>
                  <w:rPr>
                    <w:noProof/>
                    <w:webHidden/>
                  </w:rPr>
                  <w:t>2</w:t>
                </w:r>
                <w:r>
                  <w:rPr>
                    <w:noProof/>
                    <w:webHidden/>
                  </w:rPr>
                  <w:fldChar w:fldCharType="end"/>
                </w:r>
              </w:hyperlink>
            </w:p>
            <w:p w14:paraId="5208B72B" w14:textId="3BDF9C52"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09" w:history="1">
                <w:r w:rsidRPr="005E3450">
                  <w:rPr>
                    <w:rStyle w:val="Hyperlink"/>
                    <w:noProof/>
                  </w:rPr>
                  <w:t>3. Profitability Analysis</w:t>
                </w:r>
                <w:r>
                  <w:rPr>
                    <w:noProof/>
                    <w:webHidden/>
                  </w:rPr>
                  <w:tab/>
                </w:r>
                <w:r>
                  <w:rPr>
                    <w:noProof/>
                    <w:webHidden/>
                  </w:rPr>
                  <w:fldChar w:fldCharType="begin"/>
                </w:r>
                <w:r>
                  <w:rPr>
                    <w:noProof/>
                    <w:webHidden/>
                  </w:rPr>
                  <w:instrText xml:space="preserve"> PAGEREF _Toc219044009 \h </w:instrText>
                </w:r>
                <w:r>
                  <w:rPr>
                    <w:noProof/>
                    <w:webHidden/>
                  </w:rPr>
                </w:r>
                <w:r>
                  <w:rPr>
                    <w:noProof/>
                    <w:webHidden/>
                  </w:rPr>
                  <w:fldChar w:fldCharType="separate"/>
                </w:r>
                <w:r>
                  <w:rPr>
                    <w:noProof/>
                    <w:webHidden/>
                  </w:rPr>
                  <w:t>3</w:t>
                </w:r>
                <w:r>
                  <w:rPr>
                    <w:noProof/>
                    <w:webHidden/>
                  </w:rPr>
                  <w:fldChar w:fldCharType="end"/>
                </w:r>
              </w:hyperlink>
            </w:p>
            <w:p w14:paraId="3367D945" w14:textId="29E5D44B"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0" w:history="1">
                <w:r w:rsidRPr="005E3450">
                  <w:rPr>
                    <w:rStyle w:val="Hyperlink"/>
                    <w:noProof/>
                  </w:rPr>
                  <w:t>4. Liquidity Analysis</w:t>
                </w:r>
                <w:r>
                  <w:rPr>
                    <w:noProof/>
                    <w:webHidden/>
                  </w:rPr>
                  <w:tab/>
                </w:r>
                <w:r>
                  <w:rPr>
                    <w:noProof/>
                    <w:webHidden/>
                  </w:rPr>
                  <w:fldChar w:fldCharType="begin"/>
                </w:r>
                <w:r>
                  <w:rPr>
                    <w:noProof/>
                    <w:webHidden/>
                  </w:rPr>
                  <w:instrText xml:space="preserve"> PAGEREF _Toc219044010 \h </w:instrText>
                </w:r>
                <w:r>
                  <w:rPr>
                    <w:noProof/>
                    <w:webHidden/>
                  </w:rPr>
                </w:r>
                <w:r>
                  <w:rPr>
                    <w:noProof/>
                    <w:webHidden/>
                  </w:rPr>
                  <w:fldChar w:fldCharType="separate"/>
                </w:r>
                <w:r>
                  <w:rPr>
                    <w:noProof/>
                    <w:webHidden/>
                  </w:rPr>
                  <w:t>4</w:t>
                </w:r>
                <w:r>
                  <w:rPr>
                    <w:noProof/>
                    <w:webHidden/>
                  </w:rPr>
                  <w:fldChar w:fldCharType="end"/>
                </w:r>
              </w:hyperlink>
            </w:p>
            <w:p w14:paraId="3206EE14" w14:textId="42A56A05"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1" w:history="1">
                <w:r w:rsidRPr="005E3450">
                  <w:rPr>
                    <w:rStyle w:val="Hyperlink"/>
                    <w:noProof/>
                  </w:rPr>
                  <w:t>5. Efficiency Analysis</w:t>
                </w:r>
                <w:r>
                  <w:rPr>
                    <w:noProof/>
                    <w:webHidden/>
                  </w:rPr>
                  <w:tab/>
                </w:r>
                <w:r>
                  <w:rPr>
                    <w:noProof/>
                    <w:webHidden/>
                  </w:rPr>
                  <w:fldChar w:fldCharType="begin"/>
                </w:r>
                <w:r>
                  <w:rPr>
                    <w:noProof/>
                    <w:webHidden/>
                  </w:rPr>
                  <w:instrText xml:space="preserve"> PAGEREF _Toc219044011 \h </w:instrText>
                </w:r>
                <w:r>
                  <w:rPr>
                    <w:noProof/>
                    <w:webHidden/>
                  </w:rPr>
                </w:r>
                <w:r>
                  <w:rPr>
                    <w:noProof/>
                    <w:webHidden/>
                  </w:rPr>
                  <w:fldChar w:fldCharType="separate"/>
                </w:r>
                <w:r>
                  <w:rPr>
                    <w:noProof/>
                    <w:webHidden/>
                  </w:rPr>
                  <w:t>6</w:t>
                </w:r>
                <w:r>
                  <w:rPr>
                    <w:noProof/>
                    <w:webHidden/>
                  </w:rPr>
                  <w:fldChar w:fldCharType="end"/>
                </w:r>
              </w:hyperlink>
            </w:p>
            <w:p w14:paraId="4EE85014" w14:textId="7F16B4DE"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2" w:history="1">
                <w:r w:rsidRPr="005E3450">
                  <w:rPr>
                    <w:rStyle w:val="Hyperlink"/>
                    <w:noProof/>
                  </w:rPr>
                  <w:t>6. Gearing and Capital Structure</w:t>
                </w:r>
                <w:r>
                  <w:rPr>
                    <w:noProof/>
                    <w:webHidden/>
                  </w:rPr>
                  <w:tab/>
                </w:r>
                <w:r>
                  <w:rPr>
                    <w:noProof/>
                    <w:webHidden/>
                  </w:rPr>
                  <w:fldChar w:fldCharType="begin"/>
                </w:r>
                <w:r>
                  <w:rPr>
                    <w:noProof/>
                    <w:webHidden/>
                  </w:rPr>
                  <w:instrText xml:space="preserve"> PAGEREF _Toc219044012 \h </w:instrText>
                </w:r>
                <w:r>
                  <w:rPr>
                    <w:noProof/>
                    <w:webHidden/>
                  </w:rPr>
                </w:r>
                <w:r>
                  <w:rPr>
                    <w:noProof/>
                    <w:webHidden/>
                  </w:rPr>
                  <w:fldChar w:fldCharType="separate"/>
                </w:r>
                <w:r>
                  <w:rPr>
                    <w:noProof/>
                    <w:webHidden/>
                  </w:rPr>
                  <w:t>8</w:t>
                </w:r>
                <w:r>
                  <w:rPr>
                    <w:noProof/>
                    <w:webHidden/>
                  </w:rPr>
                  <w:fldChar w:fldCharType="end"/>
                </w:r>
              </w:hyperlink>
            </w:p>
            <w:p w14:paraId="4154EECD" w14:textId="32E22CE3"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3" w:history="1">
                <w:r w:rsidRPr="005E3450">
                  <w:rPr>
                    <w:rStyle w:val="Hyperlink"/>
                    <w:noProof/>
                  </w:rPr>
                  <w:t>7. Investor Ratios</w:t>
                </w:r>
                <w:r>
                  <w:rPr>
                    <w:noProof/>
                    <w:webHidden/>
                  </w:rPr>
                  <w:tab/>
                </w:r>
                <w:r>
                  <w:rPr>
                    <w:noProof/>
                    <w:webHidden/>
                  </w:rPr>
                  <w:fldChar w:fldCharType="begin"/>
                </w:r>
                <w:r>
                  <w:rPr>
                    <w:noProof/>
                    <w:webHidden/>
                  </w:rPr>
                  <w:instrText xml:space="preserve"> PAGEREF _Toc219044013 \h </w:instrText>
                </w:r>
                <w:r>
                  <w:rPr>
                    <w:noProof/>
                    <w:webHidden/>
                  </w:rPr>
                </w:r>
                <w:r>
                  <w:rPr>
                    <w:noProof/>
                    <w:webHidden/>
                  </w:rPr>
                  <w:fldChar w:fldCharType="separate"/>
                </w:r>
                <w:r>
                  <w:rPr>
                    <w:noProof/>
                    <w:webHidden/>
                  </w:rPr>
                  <w:t>9</w:t>
                </w:r>
                <w:r>
                  <w:rPr>
                    <w:noProof/>
                    <w:webHidden/>
                  </w:rPr>
                  <w:fldChar w:fldCharType="end"/>
                </w:r>
              </w:hyperlink>
            </w:p>
            <w:p w14:paraId="7259F8A6" w14:textId="333A8777"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4" w:history="1">
                <w:r w:rsidRPr="005E3450">
                  <w:rPr>
                    <w:rStyle w:val="Hyperlink"/>
                    <w:noProof/>
                  </w:rPr>
                  <w:t>8. Limitations of Ratio Analysis</w:t>
                </w:r>
                <w:r>
                  <w:rPr>
                    <w:noProof/>
                    <w:webHidden/>
                  </w:rPr>
                  <w:tab/>
                </w:r>
                <w:r>
                  <w:rPr>
                    <w:noProof/>
                    <w:webHidden/>
                  </w:rPr>
                  <w:fldChar w:fldCharType="begin"/>
                </w:r>
                <w:r>
                  <w:rPr>
                    <w:noProof/>
                    <w:webHidden/>
                  </w:rPr>
                  <w:instrText xml:space="preserve"> PAGEREF _Toc219044014 \h </w:instrText>
                </w:r>
                <w:r>
                  <w:rPr>
                    <w:noProof/>
                    <w:webHidden/>
                  </w:rPr>
                </w:r>
                <w:r>
                  <w:rPr>
                    <w:noProof/>
                    <w:webHidden/>
                  </w:rPr>
                  <w:fldChar w:fldCharType="separate"/>
                </w:r>
                <w:r>
                  <w:rPr>
                    <w:noProof/>
                    <w:webHidden/>
                  </w:rPr>
                  <w:t>11</w:t>
                </w:r>
                <w:r>
                  <w:rPr>
                    <w:noProof/>
                    <w:webHidden/>
                  </w:rPr>
                  <w:fldChar w:fldCharType="end"/>
                </w:r>
              </w:hyperlink>
            </w:p>
            <w:p w14:paraId="00A4F1C5" w14:textId="2852D2CB"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5" w:history="1">
                <w:r w:rsidRPr="005E3450">
                  <w:rPr>
                    <w:rStyle w:val="Hyperlink"/>
                    <w:noProof/>
                  </w:rPr>
                  <w:t>9. Recommendations to the Board</w:t>
                </w:r>
                <w:r>
                  <w:rPr>
                    <w:noProof/>
                    <w:webHidden/>
                  </w:rPr>
                  <w:tab/>
                </w:r>
                <w:r>
                  <w:rPr>
                    <w:noProof/>
                    <w:webHidden/>
                  </w:rPr>
                  <w:fldChar w:fldCharType="begin"/>
                </w:r>
                <w:r>
                  <w:rPr>
                    <w:noProof/>
                    <w:webHidden/>
                  </w:rPr>
                  <w:instrText xml:space="preserve"> PAGEREF _Toc219044015 \h </w:instrText>
                </w:r>
                <w:r>
                  <w:rPr>
                    <w:noProof/>
                    <w:webHidden/>
                  </w:rPr>
                </w:r>
                <w:r>
                  <w:rPr>
                    <w:noProof/>
                    <w:webHidden/>
                  </w:rPr>
                  <w:fldChar w:fldCharType="separate"/>
                </w:r>
                <w:r>
                  <w:rPr>
                    <w:noProof/>
                    <w:webHidden/>
                  </w:rPr>
                  <w:t>12</w:t>
                </w:r>
                <w:r>
                  <w:rPr>
                    <w:noProof/>
                    <w:webHidden/>
                  </w:rPr>
                  <w:fldChar w:fldCharType="end"/>
                </w:r>
              </w:hyperlink>
            </w:p>
            <w:p w14:paraId="52DBB09D" w14:textId="609AB123"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6" w:history="1">
                <w:r w:rsidRPr="005E3450">
                  <w:rPr>
                    <w:rStyle w:val="Hyperlink"/>
                    <w:noProof/>
                  </w:rPr>
                  <w:t>10. Conclusion</w:t>
                </w:r>
                <w:r>
                  <w:rPr>
                    <w:noProof/>
                    <w:webHidden/>
                  </w:rPr>
                  <w:tab/>
                </w:r>
                <w:r>
                  <w:rPr>
                    <w:noProof/>
                    <w:webHidden/>
                  </w:rPr>
                  <w:fldChar w:fldCharType="begin"/>
                </w:r>
                <w:r>
                  <w:rPr>
                    <w:noProof/>
                    <w:webHidden/>
                  </w:rPr>
                  <w:instrText xml:space="preserve"> PAGEREF _Toc219044016 \h </w:instrText>
                </w:r>
                <w:r>
                  <w:rPr>
                    <w:noProof/>
                    <w:webHidden/>
                  </w:rPr>
                </w:r>
                <w:r>
                  <w:rPr>
                    <w:noProof/>
                    <w:webHidden/>
                  </w:rPr>
                  <w:fldChar w:fldCharType="separate"/>
                </w:r>
                <w:r>
                  <w:rPr>
                    <w:noProof/>
                    <w:webHidden/>
                  </w:rPr>
                  <w:t>13</w:t>
                </w:r>
                <w:r>
                  <w:rPr>
                    <w:noProof/>
                    <w:webHidden/>
                  </w:rPr>
                  <w:fldChar w:fldCharType="end"/>
                </w:r>
              </w:hyperlink>
            </w:p>
            <w:p w14:paraId="51134AA8" w14:textId="42B0AD58" w:rsidR="000367E4" w:rsidRDefault="000367E4">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hyperlink w:anchor="_Toc219044017" w:history="1">
                <w:r w:rsidRPr="005E3450">
                  <w:rPr>
                    <w:rStyle w:val="Hyperlink"/>
                    <w:noProof/>
                  </w:rPr>
                  <w:t>PART 2 – Capital Investment Appraisal of Westward Plc</w:t>
                </w:r>
                <w:r>
                  <w:rPr>
                    <w:noProof/>
                    <w:webHidden/>
                  </w:rPr>
                  <w:tab/>
                </w:r>
                <w:r>
                  <w:rPr>
                    <w:noProof/>
                    <w:webHidden/>
                  </w:rPr>
                  <w:fldChar w:fldCharType="begin"/>
                </w:r>
                <w:r>
                  <w:rPr>
                    <w:noProof/>
                    <w:webHidden/>
                  </w:rPr>
                  <w:instrText xml:space="preserve"> PAGEREF _Toc219044017 \h </w:instrText>
                </w:r>
                <w:r>
                  <w:rPr>
                    <w:noProof/>
                    <w:webHidden/>
                  </w:rPr>
                </w:r>
                <w:r>
                  <w:rPr>
                    <w:noProof/>
                    <w:webHidden/>
                  </w:rPr>
                  <w:fldChar w:fldCharType="separate"/>
                </w:r>
                <w:r>
                  <w:rPr>
                    <w:noProof/>
                    <w:webHidden/>
                  </w:rPr>
                  <w:t>13</w:t>
                </w:r>
                <w:r>
                  <w:rPr>
                    <w:noProof/>
                    <w:webHidden/>
                  </w:rPr>
                  <w:fldChar w:fldCharType="end"/>
                </w:r>
              </w:hyperlink>
            </w:p>
            <w:p w14:paraId="6C23E93E" w14:textId="32A9B6E1"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8" w:history="1">
                <w:r w:rsidRPr="005E3450">
                  <w:rPr>
                    <w:rStyle w:val="Hyperlink"/>
                    <w:noProof/>
                  </w:rPr>
                  <w:t>1. Introduction</w:t>
                </w:r>
                <w:r>
                  <w:rPr>
                    <w:noProof/>
                    <w:webHidden/>
                  </w:rPr>
                  <w:tab/>
                </w:r>
                <w:r>
                  <w:rPr>
                    <w:noProof/>
                    <w:webHidden/>
                  </w:rPr>
                  <w:fldChar w:fldCharType="begin"/>
                </w:r>
                <w:r>
                  <w:rPr>
                    <w:noProof/>
                    <w:webHidden/>
                  </w:rPr>
                  <w:instrText xml:space="preserve"> PAGEREF _Toc219044018 \h </w:instrText>
                </w:r>
                <w:r>
                  <w:rPr>
                    <w:noProof/>
                    <w:webHidden/>
                  </w:rPr>
                </w:r>
                <w:r>
                  <w:rPr>
                    <w:noProof/>
                    <w:webHidden/>
                  </w:rPr>
                  <w:fldChar w:fldCharType="separate"/>
                </w:r>
                <w:r>
                  <w:rPr>
                    <w:noProof/>
                    <w:webHidden/>
                  </w:rPr>
                  <w:t>13</w:t>
                </w:r>
                <w:r>
                  <w:rPr>
                    <w:noProof/>
                    <w:webHidden/>
                  </w:rPr>
                  <w:fldChar w:fldCharType="end"/>
                </w:r>
              </w:hyperlink>
            </w:p>
            <w:p w14:paraId="38B7E40A" w14:textId="3DB95A66"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19" w:history="1">
                <w:r w:rsidRPr="005E3450">
                  <w:rPr>
                    <w:rStyle w:val="Hyperlink"/>
                    <w:noProof/>
                  </w:rPr>
                  <w:t>2. Investment Appraisal Methodology</w:t>
                </w:r>
                <w:r>
                  <w:rPr>
                    <w:noProof/>
                    <w:webHidden/>
                  </w:rPr>
                  <w:tab/>
                </w:r>
                <w:r>
                  <w:rPr>
                    <w:noProof/>
                    <w:webHidden/>
                  </w:rPr>
                  <w:fldChar w:fldCharType="begin"/>
                </w:r>
                <w:r>
                  <w:rPr>
                    <w:noProof/>
                    <w:webHidden/>
                  </w:rPr>
                  <w:instrText xml:space="preserve"> PAGEREF _Toc219044019 \h </w:instrText>
                </w:r>
                <w:r>
                  <w:rPr>
                    <w:noProof/>
                    <w:webHidden/>
                  </w:rPr>
                </w:r>
                <w:r>
                  <w:rPr>
                    <w:noProof/>
                    <w:webHidden/>
                  </w:rPr>
                  <w:fldChar w:fldCharType="separate"/>
                </w:r>
                <w:r>
                  <w:rPr>
                    <w:noProof/>
                    <w:webHidden/>
                  </w:rPr>
                  <w:t>14</w:t>
                </w:r>
                <w:r>
                  <w:rPr>
                    <w:noProof/>
                    <w:webHidden/>
                  </w:rPr>
                  <w:fldChar w:fldCharType="end"/>
                </w:r>
              </w:hyperlink>
            </w:p>
            <w:p w14:paraId="01B4187F" w14:textId="16787AD7"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20" w:history="1">
                <w:r w:rsidRPr="005E3450">
                  <w:rPr>
                    <w:rStyle w:val="Hyperlink"/>
                    <w:noProof/>
                  </w:rPr>
                  <w:t>3. NPV Analysis</w:t>
                </w:r>
                <w:r>
                  <w:rPr>
                    <w:noProof/>
                    <w:webHidden/>
                  </w:rPr>
                  <w:tab/>
                </w:r>
                <w:r>
                  <w:rPr>
                    <w:noProof/>
                    <w:webHidden/>
                  </w:rPr>
                  <w:fldChar w:fldCharType="begin"/>
                </w:r>
                <w:r>
                  <w:rPr>
                    <w:noProof/>
                    <w:webHidden/>
                  </w:rPr>
                  <w:instrText xml:space="preserve"> PAGEREF _Toc219044020 \h </w:instrText>
                </w:r>
                <w:r>
                  <w:rPr>
                    <w:noProof/>
                    <w:webHidden/>
                  </w:rPr>
                </w:r>
                <w:r>
                  <w:rPr>
                    <w:noProof/>
                    <w:webHidden/>
                  </w:rPr>
                  <w:fldChar w:fldCharType="separate"/>
                </w:r>
                <w:r>
                  <w:rPr>
                    <w:noProof/>
                    <w:webHidden/>
                  </w:rPr>
                  <w:t>15</w:t>
                </w:r>
                <w:r>
                  <w:rPr>
                    <w:noProof/>
                    <w:webHidden/>
                  </w:rPr>
                  <w:fldChar w:fldCharType="end"/>
                </w:r>
              </w:hyperlink>
            </w:p>
            <w:p w14:paraId="751C70D6" w14:textId="41FD6EEE"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21" w:history="1">
                <w:r w:rsidRPr="005E3450">
                  <w:rPr>
                    <w:rStyle w:val="Hyperlink"/>
                    <w:noProof/>
                  </w:rPr>
                  <w:t>4. Internal Rate of Return (IRR)</w:t>
                </w:r>
                <w:r>
                  <w:rPr>
                    <w:noProof/>
                    <w:webHidden/>
                  </w:rPr>
                  <w:tab/>
                </w:r>
                <w:r>
                  <w:rPr>
                    <w:noProof/>
                    <w:webHidden/>
                  </w:rPr>
                  <w:fldChar w:fldCharType="begin"/>
                </w:r>
                <w:r>
                  <w:rPr>
                    <w:noProof/>
                    <w:webHidden/>
                  </w:rPr>
                  <w:instrText xml:space="preserve"> PAGEREF _Toc219044021 \h </w:instrText>
                </w:r>
                <w:r>
                  <w:rPr>
                    <w:noProof/>
                    <w:webHidden/>
                  </w:rPr>
                </w:r>
                <w:r>
                  <w:rPr>
                    <w:noProof/>
                    <w:webHidden/>
                  </w:rPr>
                  <w:fldChar w:fldCharType="separate"/>
                </w:r>
                <w:r>
                  <w:rPr>
                    <w:noProof/>
                    <w:webHidden/>
                  </w:rPr>
                  <w:t>16</w:t>
                </w:r>
                <w:r>
                  <w:rPr>
                    <w:noProof/>
                    <w:webHidden/>
                  </w:rPr>
                  <w:fldChar w:fldCharType="end"/>
                </w:r>
              </w:hyperlink>
            </w:p>
            <w:p w14:paraId="5F21C47E" w14:textId="2C0E874F"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22" w:history="1">
                <w:r w:rsidRPr="005E3450">
                  <w:rPr>
                    <w:rStyle w:val="Hyperlink"/>
                    <w:noProof/>
                  </w:rPr>
                  <w:t>5. Interpretation for Management</w:t>
                </w:r>
                <w:r>
                  <w:rPr>
                    <w:noProof/>
                    <w:webHidden/>
                  </w:rPr>
                  <w:tab/>
                </w:r>
                <w:r>
                  <w:rPr>
                    <w:noProof/>
                    <w:webHidden/>
                  </w:rPr>
                  <w:fldChar w:fldCharType="begin"/>
                </w:r>
                <w:r>
                  <w:rPr>
                    <w:noProof/>
                    <w:webHidden/>
                  </w:rPr>
                  <w:instrText xml:space="preserve"> PAGEREF _Toc219044022 \h </w:instrText>
                </w:r>
                <w:r>
                  <w:rPr>
                    <w:noProof/>
                    <w:webHidden/>
                  </w:rPr>
                </w:r>
                <w:r>
                  <w:rPr>
                    <w:noProof/>
                    <w:webHidden/>
                  </w:rPr>
                  <w:fldChar w:fldCharType="separate"/>
                </w:r>
                <w:r>
                  <w:rPr>
                    <w:noProof/>
                    <w:webHidden/>
                  </w:rPr>
                  <w:t>18</w:t>
                </w:r>
                <w:r>
                  <w:rPr>
                    <w:noProof/>
                    <w:webHidden/>
                  </w:rPr>
                  <w:fldChar w:fldCharType="end"/>
                </w:r>
              </w:hyperlink>
            </w:p>
            <w:p w14:paraId="2D7C0531" w14:textId="25B7210B"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23" w:history="1">
                <w:r w:rsidRPr="005E3450">
                  <w:rPr>
                    <w:rStyle w:val="Hyperlink"/>
                    <w:noProof/>
                  </w:rPr>
                  <w:t>6. Qualitative Factors</w:t>
                </w:r>
                <w:r>
                  <w:rPr>
                    <w:noProof/>
                    <w:webHidden/>
                  </w:rPr>
                  <w:tab/>
                </w:r>
                <w:r>
                  <w:rPr>
                    <w:noProof/>
                    <w:webHidden/>
                  </w:rPr>
                  <w:fldChar w:fldCharType="begin"/>
                </w:r>
                <w:r>
                  <w:rPr>
                    <w:noProof/>
                    <w:webHidden/>
                  </w:rPr>
                  <w:instrText xml:space="preserve"> PAGEREF _Toc219044023 \h </w:instrText>
                </w:r>
                <w:r>
                  <w:rPr>
                    <w:noProof/>
                    <w:webHidden/>
                  </w:rPr>
                </w:r>
                <w:r>
                  <w:rPr>
                    <w:noProof/>
                    <w:webHidden/>
                  </w:rPr>
                  <w:fldChar w:fldCharType="separate"/>
                </w:r>
                <w:r>
                  <w:rPr>
                    <w:noProof/>
                    <w:webHidden/>
                  </w:rPr>
                  <w:t>19</w:t>
                </w:r>
                <w:r>
                  <w:rPr>
                    <w:noProof/>
                    <w:webHidden/>
                  </w:rPr>
                  <w:fldChar w:fldCharType="end"/>
                </w:r>
              </w:hyperlink>
            </w:p>
            <w:p w14:paraId="09E00677" w14:textId="007788B6"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24" w:history="1">
                <w:r w:rsidRPr="005E3450">
                  <w:rPr>
                    <w:rStyle w:val="Hyperlink"/>
                    <w:noProof/>
                  </w:rPr>
                  <w:t>7. Capital Rationing</w:t>
                </w:r>
                <w:r>
                  <w:rPr>
                    <w:noProof/>
                    <w:webHidden/>
                  </w:rPr>
                  <w:tab/>
                </w:r>
                <w:r>
                  <w:rPr>
                    <w:noProof/>
                    <w:webHidden/>
                  </w:rPr>
                  <w:fldChar w:fldCharType="begin"/>
                </w:r>
                <w:r>
                  <w:rPr>
                    <w:noProof/>
                    <w:webHidden/>
                  </w:rPr>
                  <w:instrText xml:space="preserve"> PAGEREF _Toc219044024 \h </w:instrText>
                </w:r>
                <w:r>
                  <w:rPr>
                    <w:noProof/>
                    <w:webHidden/>
                  </w:rPr>
                </w:r>
                <w:r>
                  <w:rPr>
                    <w:noProof/>
                    <w:webHidden/>
                  </w:rPr>
                  <w:fldChar w:fldCharType="separate"/>
                </w:r>
                <w:r>
                  <w:rPr>
                    <w:noProof/>
                    <w:webHidden/>
                  </w:rPr>
                  <w:t>19</w:t>
                </w:r>
                <w:r>
                  <w:rPr>
                    <w:noProof/>
                    <w:webHidden/>
                  </w:rPr>
                  <w:fldChar w:fldCharType="end"/>
                </w:r>
              </w:hyperlink>
            </w:p>
            <w:p w14:paraId="7264B8A7" w14:textId="7A73F1D3"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25" w:history="1">
                <w:r w:rsidRPr="005E3450">
                  <w:rPr>
                    <w:rStyle w:val="Hyperlink"/>
                    <w:noProof/>
                  </w:rPr>
                  <w:t>8. Financing the Investment Programmed</w:t>
                </w:r>
                <w:r>
                  <w:rPr>
                    <w:noProof/>
                    <w:webHidden/>
                  </w:rPr>
                  <w:tab/>
                </w:r>
                <w:r>
                  <w:rPr>
                    <w:noProof/>
                    <w:webHidden/>
                  </w:rPr>
                  <w:fldChar w:fldCharType="begin"/>
                </w:r>
                <w:r>
                  <w:rPr>
                    <w:noProof/>
                    <w:webHidden/>
                  </w:rPr>
                  <w:instrText xml:space="preserve"> PAGEREF _Toc219044025 \h </w:instrText>
                </w:r>
                <w:r>
                  <w:rPr>
                    <w:noProof/>
                    <w:webHidden/>
                  </w:rPr>
                </w:r>
                <w:r>
                  <w:rPr>
                    <w:noProof/>
                    <w:webHidden/>
                  </w:rPr>
                  <w:fldChar w:fldCharType="separate"/>
                </w:r>
                <w:r>
                  <w:rPr>
                    <w:noProof/>
                    <w:webHidden/>
                  </w:rPr>
                  <w:t>20</w:t>
                </w:r>
                <w:r>
                  <w:rPr>
                    <w:noProof/>
                    <w:webHidden/>
                  </w:rPr>
                  <w:fldChar w:fldCharType="end"/>
                </w:r>
              </w:hyperlink>
            </w:p>
            <w:p w14:paraId="1D0CCC11" w14:textId="23DF4607" w:rsidR="000367E4" w:rsidRDefault="000367E4">
              <w:pPr>
                <w:pStyle w:val="TOC2"/>
                <w:tabs>
                  <w:tab w:val="right" w:leader="dot" w:pos="9016"/>
                </w:tabs>
                <w:rPr>
                  <w:rFonts w:eastAsiaTheme="minorEastAsia"/>
                  <w:noProof/>
                  <w:kern w:val="2"/>
                  <w:sz w:val="24"/>
                  <w:szCs w:val="24"/>
                  <w:lang w:val="en-IN" w:eastAsia="en-IN" w:bidi="gu-IN"/>
                  <w14:ligatures w14:val="standardContextual"/>
                </w:rPr>
              </w:pPr>
              <w:hyperlink w:anchor="_Toc219044026" w:history="1">
                <w:r w:rsidRPr="005E3450">
                  <w:rPr>
                    <w:rStyle w:val="Hyperlink"/>
                    <w:noProof/>
                  </w:rPr>
                  <w:t>9. Conclusion</w:t>
                </w:r>
                <w:r>
                  <w:rPr>
                    <w:noProof/>
                    <w:webHidden/>
                  </w:rPr>
                  <w:tab/>
                </w:r>
                <w:r>
                  <w:rPr>
                    <w:noProof/>
                    <w:webHidden/>
                  </w:rPr>
                  <w:fldChar w:fldCharType="begin"/>
                </w:r>
                <w:r>
                  <w:rPr>
                    <w:noProof/>
                    <w:webHidden/>
                  </w:rPr>
                  <w:instrText xml:space="preserve"> PAGEREF _Toc219044026 \h </w:instrText>
                </w:r>
                <w:r>
                  <w:rPr>
                    <w:noProof/>
                    <w:webHidden/>
                  </w:rPr>
                </w:r>
                <w:r>
                  <w:rPr>
                    <w:noProof/>
                    <w:webHidden/>
                  </w:rPr>
                  <w:fldChar w:fldCharType="separate"/>
                </w:r>
                <w:r>
                  <w:rPr>
                    <w:noProof/>
                    <w:webHidden/>
                  </w:rPr>
                  <w:t>21</w:t>
                </w:r>
                <w:r>
                  <w:rPr>
                    <w:noProof/>
                    <w:webHidden/>
                  </w:rPr>
                  <w:fldChar w:fldCharType="end"/>
                </w:r>
              </w:hyperlink>
            </w:p>
            <w:p w14:paraId="0EFD6326" w14:textId="38A73807" w:rsidR="000367E4" w:rsidRDefault="000367E4">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hyperlink w:anchor="_Toc219044027" w:history="1">
                <w:r w:rsidRPr="005E3450">
                  <w:rPr>
                    <w:rStyle w:val="Hyperlink"/>
                    <w:noProof/>
                  </w:rPr>
                  <w:t>References</w:t>
                </w:r>
                <w:r>
                  <w:rPr>
                    <w:noProof/>
                    <w:webHidden/>
                  </w:rPr>
                  <w:tab/>
                </w:r>
                <w:r>
                  <w:rPr>
                    <w:noProof/>
                    <w:webHidden/>
                  </w:rPr>
                  <w:fldChar w:fldCharType="begin"/>
                </w:r>
                <w:r>
                  <w:rPr>
                    <w:noProof/>
                    <w:webHidden/>
                  </w:rPr>
                  <w:instrText xml:space="preserve"> PAGEREF _Toc219044027 \h </w:instrText>
                </w:r>
                <w:r>
                  <w:rPr>
                    <w:noProof/>
                    <w:webHidden/>
                  </w:rPr>
                </w:r>
                <w:r>
                  <w:rPr>
                    <w:noProof/>
                    <w:webHidden/>
                  </w:rPr>
                  <w:fldChar w:fldCharType="separate"/>
                </w:r>
                <w:r>
                  <w:rPr>
                    <w:noProof/>
                    <w:webHidden/>
                  </w:rPr>
                  <w:t>22</w:t>
                </w:r>
                <w:r>
                  <w:rPr>
                    <w:noProof/>
                    <w:webHidden/>
                  </w:rPr>
                  <w:fldChar w:fldCharType="end"/>
                </w:r>
              </w:hyperlink>
            </w:p>
            <w:p w14:paraId="29D15A69" w14:textId="346E041D" w:rsidR="000367E4" w:rsidRDefault="000367E4">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hyperlink w:anchor="_Toc219044028" w:history="1">
                <w:r w:rsidRPr="005E3450">
                  <w:rPr>
                    <w:rStyle w:val="Hyperlink"/>
                    <w:noProof/>
                  </w:rPr>
                  <w:t>Appendix</w:t>
                </w:r>
                <w:r>
                  <w:rPr>
                    <w:noProof/>
                    <w:webHidden/>
                  </w:rPr>
                  <w:tab/>
                </w:r>
                <w:r>
                  <w:rPr>
                    <w:noProof/>
                    <w:webHidden/>
                  </w:rPr>
                  <w:fldChar w:fldCharType="begin"/>
                </w:r>
                <w:r>
                  <w:rPr>
                    <w:noProof/>
                    <w:webHidden/>
                  </w:rPr>
                  <w:instrText xml:space="preserve"> PAGEREF _Toc219044028 \h </w:instrText>
                </w:r>
                <w:r>
                  <w:rPr>
                    <w:noProof/>
                    <w:webHidden/>
                  </w:rPr>
                </w:r>
                <w:r>
                  <w:rPr>
                    <w:noProof/>
                    <w:webHidden/>
                  </w:rPr>
                  <w:fldChar w:fldCharType="separate"/>
                </w:r>
                <w:r>
                  <w:rPr>
                    <w:noProof/>
                    <w:webHidden/>
                  </w:rPr>
                  <w:t>25</w:t>
                </w:r>
                <w:r>
                  <w:rPr>
                    <w:noProof/>
                    <w:webHidden/>
                  </w:rPr>
                  <w:fldChar w:fldCharType="end"/>
                </w:r>
              </w:hyperlink>
            </w:p>
            <w:p w14:paraId="2C854DE0" w14:textId="5F862B0F" w:rsidR="001D3AD9" w:rsidRDefault="001D3AD9" w:rsidP="001D3AD9">
              <w:pPr>
                <w:jc w:val="both"/>
                <w:sectPr w:rsidR="001D3AD9" w:rsidSect="001D3AD9">
                  <w:footerReference w:type="default" r:id="rId10"/>
                  <w:footerReference w:type="first" r:id="rId11"/>
                  <w:pgSz w:w="11906" w:h="16838"/>
                  <w:pgMar w:top="1440" w:right="1440" w:bottom="1440" w:left="1440" w:header="708" w:footer="708" w:gutter="0"/>
                  <w:pgNumType w:start="0"/>
                  <w:cols w:space="708"/>
                  <w:docGrid w:linePitch="360"/>
                </w:sectPr>
              </w:pPr>
              <w:r w:rsidRPr="001D3AD9">
                <w:rPr>
                  <w:rFonts w:ascii="Times New Roman" w:hAnsi="Times New Roman" w:cs="Times New Roman"/>
                  <w:b/>
                  <w:bCs/>
                  <w:noProof/>
                </w:rPr>
                <w:fldChar w:fldCharType="end"/>
              </w:r>
              <w:r w:rsidRPr="001D3AD9">
                <w:rPr>
                  <w:rFonts w:ascii="Times New Roman" w:hAnsi="Times New Roman" w:cs="Times New Roman"/>
                  <w:b/>
                  <w:bCs/>
                  <w:noProof/>
                </w:rPr>
                <w:t xml:space="preserve"> </w:t>
              </w:r>
            </w:p>
          </w:sdtContent>
        </w:sdt>
        <w:bookmarkStart w:id="2" w:name="_Toc218960016" w:displacedByCustomXml="prev"/>
        <w:p w14:paraId="11095F92" w14:textId="1EC29599" w:rsidR="001D3AD9" w:rsidRDefault="001D3AD9" w:rsidP="001D3AD9">
          <w:pPr>
            <w:pStyle w:val="Heading1"/>
            <w:rPr>
              <w:b w:val="0"/>
            </w:rPr>
          </w:pPr>
          <w:bookmarkStart w:id="3" w:name="_Toc219043999"/>
          <w:r>
            <w:lastRenderedPageBreak/>
            <w:t>PART 1 – Financial Performance Analysis of AstraZeneca PLC</w:t>
          </w:r>
          <w:bookmarkEnd w:id="2"/>
          <w:bookmarkEnd w:id="3"/>
          <w:r>
            <w:t xml:space="preserve"> </w:t>
          </w:r>
        </w:p>
        <w:p w14:paraId="2FA42BAC" w14:textId="77777777" w:rsidR="001D3AD9" w:rsidRDefault="001D3AD9" w:rsidP="001D3AD9">
          <w:pPr>
            <w:pStyle w:val="Heading2"/>
            <w:rPr>
              <w:b w:val="0"/>
            </w:rPr>
          </w:pPr>
          <w:bookmarkStart w:id="4" w:name="_Toc218960017"/>
          <w:bookmarkStart w:id="5" w:name="_Toc219044000"/>
          <w:r>
            <w:t>1. Introduction</w:t>
          </w:r>
          <w:bookmarkEnd w:id="4"/>
          <w:bookmarkEnd w:id="5"/>
        </w:p>
        <w:p w14:paraId="482C31D6" w14:textId="77777777" w:rsidR="001D3AD9" w:rsidRDefault="001D3AD9" w:rsidP="001D3AD9">
          <w:pPr>
            <w:pStyle w:val="Heading3"/>
            <w:jc w:val="both"/>
            <w:rPr>
              <w:b/>
            </w:rPr>
          </w:pPr>
          <w:bookmarkStart w:id="6" w:name="_Toc218960018"/>
          <w:bookmarkStart w:id="7" w:name="_Toc219044001"/>
          <w:r>
            <w:t>1.1 Overview of AstraZeneca PLC</w:t>
          </w:r>
          <w:bookmarkEnd w:id="6"/>
          <w:bookmarkEnd w:id="7"/>
        </w:p>
        <w:p w14:paraId="6280BC1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AstraZeneca PLC is a biopharmaceutical company that is one of the largest in the world, with its headquarters in Cambridge, United Kingdom, listed on the London Stock Exchange and included in the FTSE 100 Index as one of the constituents. The company focuses on the discovery, development, and commercialisation of prescription medicines in the key areas of therapeutics, including oncology, cardiovascular, </w:t>
          </w:r>
          <w:proofErr w:type="gramStart"/>
          <w:r>
            <w:rPr>
              <w:rFonts w:ascii="Times New Roman" w:eastAsia="Times New Roman" w:hAnsi="Times New Roman" w:cs="Times New Roman"/>
              <w:sz w:val="24"/>
              <w:szCs w:val="24"/>
            </w:rPr>
            <w:t>renal</w:t>
          </w:r>
          <w:proofErr w:type="gramEnd"/>
          <w:r>
            <w:rPr>
              <w:rFonts w:ascii="Times New Roman" w:eastAsia="Times New Roman" w:hAnsi="Times New Roman" w:cs="Times New Roman"/>
              <w:sz w:val="24"/>
              <w:szCs w:val="24"/>
            </w:rPr>
            <w:t xml:space="preserve"> and metabolic diseases, respiratory, immunology, and rare diseases. Having operations in over 100 countries, AstraZeneca has an important presence in satisfying the global healthcare requirements in addition to generating much value to the investors (Yuyan, 2023).</w:t>
          </w:r>
        </w:p>
        <w:p w14:paraId="7FBD17B8" w14:textId="77777777" w:rsidR="001D3AD9" w:rsidRDefault="001D3AD9" w:rsidP="001D3AD9">
          <w:pPr>
            <w:pStyle w:val="Heading3"/>
            <w:jc w:val="both"/>
          </w:pPr>
          <w:bookmarkStart w:id="8" w:name="_Toc218960019"/>
          <w:bookmarkStart w:id="9" w:name="_Toc219044002"/>
          <w:r>
            <w:t>1.2 Position in the Global Pharmaceutical Industry</w:t>
          </w:r>
          <w:bookmarkEnd w:id="8"/>
          <w:bookmarkEnd w:id="9"/>
        </w:p>
        <w:p w14:paraId="1443EBB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AstraZeneca enjoys a high level of competitive standing in the worldwide pharmaceutical market, which can be defined by the high level of research and development (R&amp;D), the presence of strong regulatory demands, and difficulties in developing new products. The large and diverse drug portfolio made the company compete successfully with any other major pharmaceutical company due to its large and strong intellectual property portfolio. Companies like AstraZeneca are banking on financial prowess to be innovative, address the legal and reputational risks, and support long-term growth in a very competitive and uncertain world, as discussed by </w:t>
          </w:r>
          <w:proofErr w:type="spellStart"/>
          <w:r>
            <w:rPr>
              <w:rFonts w:ascii="Times New Roman" w:eastAsia="Times New Roman" w:hAnsi="Times New Roman" w:cs="Times New Roman"/>
              <w:sz w:val="24"/>
              <w:szCs w:val="24"/>
            </w:rPr>
            <w:t>Elsakka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w:t>
          </w:r>
        </w:p>
        <w:p w14:paraId="0CB6F80B" w14:textId="77777777" w:rsidR="001D3AD9" w:rsidRDefault="001D3AD9" w:rsidP="001D3AD9">
          <w:pPr>
            <w:pStyle w:val="Heading3"/>
            <w:jc w:val="both"/>
          </w:pPr>
          <w:bookmarkStart w:id="10" w:name="_Toc218960020"/>
          <w:bookmarkStart w:id="11" w:name="_Toc219044003"/>
          <w:r>
            <w:t>1.3 Importance of Financial Analysis</w:t>
          </w:r>
          <w:bookmarkEnd w:id="10"/>
          <w:bookmarkEnd w:id="11"/>
        </w:p>
        <w:p w14:paraId="62567DAF"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shareholders and the management will have to analyse the financial position. To the shareholders, it gives insight into profitability, risk exposure, dividend sustainability, and value creation in general. To the management, the financial analysis assists in strategic planning and makes investment choices and effective resource distribution. Particularly, in the biopharmaceutical industry, with the need to make huge investments in drug development, knowledge of financial performance is particularly relevant (Yuyan, 2023).</w:t>
          </w:r>
        </w:p>
        <w:p w14:paraId="2B208B8D" w14:textId="77777777" w:rsidR="001D3AD9" w:rsidRDefault="001D3AD9" w:rsidP="001D3AD9">
          <w:pPr>
            <w:pStyle w:val="Heading3"/>
            <w:jc w:val="both"/>
          </w:pPr>
          <w:bookmarkStart w:id="12" w:name="_Toc218960021"/>
          <w:bookmarkStart w:id="13" w:name="_Toc219044004"/>
          <w:r>
            <w:t>1.4 Purpose of the Report</w:t>
          </w:r>
          <w:bookmarkEnd w:id="12"/>
          <w:bookmarkEnd w:id="13"/>
        </w:p>
        <w:p w14:paraId="123BE0B0" w14:textId="77777777" w:rsidR="001D3AD9" w:rsidRDefault="001D3AD9" w:rsidP="001D3AD9">
          <w:pPr>
            <w:spacing w:line="360" w:lineRule="auto"/>
            <w:jc w:val="both"/>
            <w:rPr>
              <w:rFonts w:ascii="Times New Roman" w:eastAsia="Times New Roman" w:hAnsi="Times New Roman" w:cs="Times New Roman"/>
              <w:sz w:val="24"/>
              <w:szCs w:val="24"/>
            </w:rPr>
            <w:sectPr w:rsidR="001D3AD9" w:rsidSect="001D3AD9">
              <w:pgSz w:w="11906" w:h="16838"/>
              <w:pgMar w:top="1440" w:right="1440" w:bottom="1440" w:left="1440" w:header="708" w:footer="708" w:gutter="0"/>
              <w:pgNumType w:start="1" w:chapStyle="1"/>
              <w:cols w:space="708"/>
              <w:titlePg/>
              <w:docGrid w:linePitch="360"/>
            </w:sectPr>
          </w:pPr>
          <w:r>
            <w:rPr>
              <w:rFonts w:ascii="Times New Roman" w:eastAsia="Times New Roman" w:hAnsi="Times New Roman" w:cs="Times New Roman"/>
              <w:sz w:val="24"/>
              <w:szCs w:val="24"/>
            </w:rPr>
            <w:t xml:space="preserve">This report is meant to evaluate the financial performance of AstraZeneca PLC based on the financial years 2023 and 2024 through ratio analysis. An evaluation of profitability, liquidity, </w:t>
          </w:r>
        </w:p>
        <w:p w14:paraId="1A96660F"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efficiency, gearing, and investor-related ratios is delivered to determine the financial health of the company and offer recommendations on how the company can enhance financial operations and shareholder value (</w:t>
          </w:r>
          <w:proofErr w:type="spellStart"/>
          <w:r>
            <w:rPr>
              <w:rFonts w:ascii="Times New Roman" w:eastAsia="Times New Roman" w:hAnsi="Times New Roman" w:cs="Times New Roman"/>
              <w:sz w:val="24"/>
              <w:szCs w:val="24"/>
            </w:rPr>
            <w:t>Elsakka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16D60C04" w14:textId="77777777" w:rsidR="001D3AD9" w:rsidRDefault="001D3AD9" w:rsidP="001D3AD9">
          <w:pPr>
            <w:pStyle w:val="Heading2"/>
          </w:pPr>
          <w:bookmarkStart w:id="14" w:name="_Toc218960022"/>
          <w:bookmarkStart w:id="15" w:name="_Toc219044005"/>
          <w:r>
            <w:t>2. Methodology and Literature Context</w:t>
          </w:r>
          <w:bookmarkEnd w:id="14"/>
          <w:bookmarkEnd w:id="15"/>
        </w:p>
        <w:p w14:paraId="2C97C2A1" w14:textId="77777777" w:rsidR="001D3AD9" w:rsidRDefault="001D3AD9" w:rsidP="001D3AD9">
          <w:pPr>
            <w:pStyle w:val="Heading3"/>
            <w:jc w:val="both"/>
          </w:pPr>
          <w:bookmarkStart w:id="16" w:name="_Toc218960023"/>
          <w:bookmarkStart w:id="17" w:name="_Toc219044006"/>
          <w:r>
            <w:t>2.1 Ratio Analysis as a Financial Evaluation Tool</w:t>
          </w:r>
          <w:bookmarkEnd w:id="16"/>
          <w:bookmarkEnd w:id="17"/>
        </w:p>
        <w:p w14:paraId="551277C6"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incorporates the financial ratio analysis as the most relevant methodological approach in analysing the financial position and performance of AstraZeneca PLC. Ratio analysis cannot be done without taking the information presented in the income statement, balance sheet, and cash flow statement and putting it in relative form, which permits meaningful comparison over time and between firms. Penman says that ratio analysis helps the analysts to correlate profitability, risk, and growth </w:t>
          </w:r>
          <w:proofErr w:type="gramStart"/>
          <w:r>
            <w:rPr>
              <w:rFonts w:ascii="Times New Roman" w:eastAsia="Times New Roman" w:hAnsi="Times New Roman" w:cs="Times New Roman"/>
              <w:sz w:val="24"/>
              <w:szCs w:val="24"/>
            </w:rPr>
            <w:t>by the way the</w:t>
          </w:r>
          <w:proofErr w:type="gramEnd"/>
          <w:r>
            <w:rPr>
              <w:rFonts w:ascii="Times New Roman" w:eastAsia="Times New Roman" w:hAnsi="Times New Roman" w:cs="Times New Roman"/>
              <w:sz w:val="24"/>
              <w:szCs w:val="24"/>
            </w:rPr>
            <w:t xml:space="preserve"> company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convert its resources to earnings. This method is especially suitable in the case of pharmaceutical firms like AstraZeneca, where huge amounts of money are invested in research and development, and intangible assets should be converted into financial benefits over time (Tulum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p w14:paraId="4089C63D" w14:textId="77777777" w:rsidR="001D3AD9" w:rsidRDefault="001D3AD9" w:rsidP="001D3AD9">
          <w:pPr>
            <w:pStyle w:val="Heading3"/>
            <w:jc w:val="both"/>
          </w:pPr>
          <w:bookmarkStart w:id="18" w:name="_Toc218960024"/>
          <w:bookmarkStart w:id="19" w:name="_Toc219044007"/>
          <w:r>
            <w:t>2.2 Use of Profitability, Liquidity, Efficiency, Gearing, and Investor Ratios</w:t>
          </w:r>
          <w:bookmarkEnd w:id="18"/>
          <w:bookmarkEnd w:id="19"/>
        </w:p>
        <w:p w14:paraId="0086EDCD"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ratios utilised in this report that are divided into five major segments, such as profitability, liquidity, efficiency, gearing, and investor ratios. Ratios of profitability (e.g., operating margin and return on capital employed) determine the efficiency with which AstraZeneca can produce profits out of the revenues and capital employed. Liquidity ratios determine the capability of the company to fulfil short term requirement, which is paramount in a capital-intensive and research information-based industry. Efficiency ratios are the measures that investigate the efficiency of assets and working capital in facilitating operations (Sami, 2022). Gearing ratios exchange the value of financial risk and how financing choices affect performance, which is significant considering that AstraZeneca uses debt to finance its expansion (</w:t>
          </w:r>
          <w:proofErr w:type="spellStart"/>
          <w:r>
            <w:rPr>
              <w:rFonts w:ascii="Times New Roman" w:eastAsia="Times New Roman" w:hAnsi="Times New Roman" w:cs="Times New Roman"/>
              <w:sz w:val="24"/>
              <w:szCs w:val="24"/>
            </w:rPr>
            <w:t>Bendjazia</w:t>
          </w:r>
          <w:proofErr w:type="spellEnd"/>
          <w:r>
            <w:rPr>
              <w:rFonts w:ascii="Times New Roman" w:eastAsia="Times New Roman" w:hAnsi="Times New Roman" w:cs="Times New Roman"/>
              <w:sz w:val="24"/>
              <w:szCs w:val="24"/>
            </w:rPr>
            <w:t>, 2023). Investor ratios are centred on the earnings, dividends, and market value, which give an insight into the value creation for shareholders.</w:t>
          </w:r>
        </w:p>
        <w:p w14:paraId="535D8A91" w14:textId="77777777" w:rsidR="001D3AD9" w:rsidRDefault="001D3AD9" w:rsidP="001D3AD9">
          <w:pPr>
            <w:pStyle w:val="Heading3"/>
            <w:jc w:val="both"/>
          </w:pPr>
          <w:bookmarkStart w:id="20" w:name="_Toc218960025"/>
          <w:bookmarkStart w:id="21" w:name="_Toc219044008"/>
          <w:r>
            <w:t>2.3 Importance of Financial Statement Analysis</w:t>
          </w:r>
          <w:bookmarkEnd w:id="20"/>
          <w:bookmarkEnd w:id="21"/>
        </w:p>
        <w:p w14:paraId="4699C640"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presented in the financial statements is necessary to comprehend the sustainability of the business model of AstraZeneca. Brigham and Ehrhardt stress the fact that the combination of the income analysis, assets analysis, cash flows, and the capital structure would provide a comprehensive picture of the corporate performance and risk. In the same manner, </w:t>
          </w:r>
          <w:proofErr w:type="spellStart"/>
          <w:r>
            <w:rPr>
              <w:rFonts w:ascii="Times New Roman" w:eastAsia="Times New Roman" w:hAnsi="Times New Roman" w:cs="Times New Roman"/>
              <w:sz w:val="24"/>
              <w:szCs w:val="24"/>
            </w:rPr>
            <w:lastRenderedPageBreak/>
            <w:t>Atrill</w:t>
          </w:r>
          <w:proofErr w:type="spellEnd"/>
          <w:r>
            <w:rPr>
              <w:rFonts w:ascii="Times New Roman" w:eastAsia="Times New Roman" w:hAnsi="Times New Roman" w:cs="Times New Roman"/>
              <w:sz w:val="24"/>
              <w:szCs w:val="24"/>
            </w:rPr>
            <w:t xml:space="preserve"> and McLaney point to the fact that ratio analysis assists a managerial decision-making process as it assists in identifying trends, strengths, and weaknesses. Long-term strategic investment is also aided by the development of strong financial analysis in the pharmaceutical industry, where innovation and social responsibility are directly connected with financial performance (Tulum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w:t>
          </w:r>
        </w:p>
        <w:p w14:paraId="145767EF" w14:textId="77777777" w:rsidR="001D3AD9" w:rsidRDefault="001D3AD9" w:rsidP="001D3AD9">
          <w:pPr>
            <w:pStyle w:val="Heading2"/>
          </w:pPr>
          <w:bookmarkStart w:id="22" w:name="_Toc218960026"/>
          <w:bookmarkStart w:id="23" w:name="_Toc219044009"/>
          <w:r>
            <w:t>3. Profitability Analysis</w:t>
          </w:r>
          <w:bookmarkEnd w:id="22"/>
          <w:bookmarkEnd w:id="23"/>
          <w:r>
            <w:t xml:space="preserve"> </w:t>
          </w:r>
        </w:p>
        <w:p w14:paraId="783AF7C4" w14:textId="77777777" w:rsidR="001D3AD9" w:rsidRPr="009F06E2" w:rsidRDefault="001D3AD9" w:rsidP="001D3AD9">
          <w:pPr>
            <w:jc w:val="both"/>
          </w:pPr>
        </w:p>
        <w:p w14:paraId="09400009" w14:textId="77777777" w:rsidR="001D3AD9"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249FC5EC" wp14:editId="2078C341">
                <wp:extent cx="2905125" cy="1304925"/>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905125" cy="1304925"/>
                        </a:xfrm>
                        <a:prstGeom prst="rect">
                          <a:avLst/>
                        </a:prstGeom>
                        <a:ln/>
                      </pic:spPr>
                    </pic:pic>
                  </a:graphicData>
                </a:graphic>
              </wp:inline>
            </w:drawing>
          </w:r>
        </w:p>
        <w:p w14:paraId="774E070C" w14:textId="77777777" w:rsidR="001D3AD9"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Profitability Analysis</w:t>
          </w:r>
        </w:p>
        <w:p w14:paraId="077156E4"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221F224D"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margins indicate that the gross and operating profitability of the company improved overall but fluctuated, and the net profitability went down. Gross margin increased to 82.0%, reaching a peak of 66.8%, evidencing high pricing power and cost control, with challenges that have started to be experienced in the past year due to an increase in production costs or costs of research and development. The same is for operating margin, and it reaches its highest point of 62.9 and then drops to 61.9, indicating that even though core operations are still highly profitable, they are being outpaced by overheads and operating expenses compared to their revenues. Conversely, the net profit margin dropped drastically to 0.3 percent compared to 13.0 percent, indicating that increased costs on financing, tax, exceptional items, or heavy R&amp;D and restructuring expenses have greatly whittled bottom-line profits, even as operations performance was high.</w:t>
          </w:r>
        </w:p>
        <w:p w14:paraId="1F73A3A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3E76A41" wp14:editId="6FE4310D">
                <wp:extent cx="5943600" cy="31369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3136900"/>
                        </a:xfrm>
                        <a:prstGeom prst="rect">
                          <a:avLst/>
                        </a:prstGeom>
                        <a:ln/>
                      </pic:spPr>
                    </pic:pic>
                  </a:graphicData>
                </a:graphic>
              </wp:inline>
            </w:drawing>
          </w:r>
        </w:p>
        <w:p w14:paraId="325A735F"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Profitability Ratio Plot</w:t>
          </w:r>
        </w:p>
        <w:p w14:paraId="5308C958"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132119E6"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chart on profitability indicates that the company realised very high gross and operating margins in all four years, which would indicate strong pricing power and good control of the costs, especially in the years 2023 and 2024, where gross and operating margin was above 80 and 62, respectively. Nevertheless, irrespective of this good performance in the operations, net profit margin was decreasing sharply, with the number changing to about 13 in 202423 to only 0.3 in 2021, indicating that other reasons, including high financing cost, heavy expenditure on research and development, taxation, or other items, played a major factor in the profitability of shareholders. This gap between high operation margins and weak net margins is an indication that although the company is doing well operationally, its overall profitability is limited by operating expenses and financial issues that are not related to the main business operations of the company.</w:t>
          </w:r>
        </w:p>
        <w:p w14:paraId="12501433" w14:textId="77777777" w:rsidR="000367E4" w:rsidRDefault="000367E4" w:rsidP="001D3AD9">
          <w:pPr>
            <w:spacing w:line="360" w:lineRule="auto"/>
            <w:jc w:val="both"/>
            <w:rPr>
              <w:rFonts w:ascii="Times New Roman" w:eastAsia="Times New Roman" w:hAnsi="Times New Roman" w:cs="Times New Roman"/>
              <w:sz w:val="24"/>
              <w:szCs w:val="24"/>
            </w:rPr>
          </w:pPr>
        </w:p>
        <w:p w14:paraId="3B82FFEC" w14:textId="77777777" w:rsidR="000367E4" w:rsidRDefault="000367E4" w:rsidP="001D3AD9">
          <w:pPr>
            <w:spacing w:line="360" w:lineRule="auto"/>
            <w:jc w:val="both"/>
            <w:rPr>
              <w:rFonts w:ascii="Times New Roman" w:eastAsia="Times New Roman" w:hAnsi="Times New Roman" w:cs="Times New Roman"/>
              <w:sz w:val="24"/>
              <w:szCs w:val="24"/>
            </w:rPr>
          </w:pPr>
        </w:p>
        <w:p w14:paraId="2A29D876" w14:textId="77777777" w:rsidR="000367E4" w:rsidRDefault="000367E4" w:rsidP="001D3AD9">
          <w:pPr>
            <w:spacing w:line="360" w:lineRule="auto"/>
            <w:jc w:val="both"/>
            <w:rPr>
              <w:rFonts w:ascii="Times New Roman" w:eastAsia="Times New Roman" w:hAnsi="Times New Roman" w:cs="Times New Roman"/>
              <w:sz w:val="24"/>
              <w:szCs w:val="24"/>
            </w:rPr>
          </w:pPr>
        </w:p>
        <w:p w14:paraId="00C8974A" w14:textId="77777777" w:rsidR="000367E4" w:rsidRDefault="000367E4" w:rsidP="001D3AD9">
          <w:pPr>
            <w:spacing w:line="360" w:lineRule="auto"/>
            <w:jc w:val="both"/>
            <w:rPr>
              <w:rFonts w:ascii="Times New Roman" w:eastAsia="Times New Roman" w:hAnsi="Times New Roman" w:cs="Times New Roman"/>
              <w:sz w:val="24"/>
              <w:szCs w:val="24"/>
            </w:rPr>
          </w:pPr>
        </w:p>
        <w:p w14:paraId="77EB59BA" w14:textId="77777777" w:rsidR="001D3AD9" w:rsidRDefault="001D3AD9" w:rsidP="001D3AD9">
          <w:pPr>
            <w:pStyle w:val="Heading2"/>
          </w:pPr>
          <w:bookmarkStart w:id="24" w:name="_Toc218960027"/>
          <w:bookmarkStart w:id="25" w:name="_Toc219044010"/>
          <w:r>
            <w:lastRenderedPageBreak/>
            <w:t>4. Liquidity Analysis</w:t>
          </w:r>
          <w:bookmarkEnd w:id="24"/>
          <w:bookmarkEnd w:id="25"/>
        </w:p>
        <w:p w14:paraId="1ADE3839" w14:textId="77777777" w:rsidR="001D3AD9" w:rsidRPr="009F06E2" w:rsidRDefault="001D3AD9" w:rsidP="001D3AD9">
          <w:pPr>
            <w:jc w:val="both"/>
          </w:pPr>
        </w:p>
        <w:p w14:paraId="5A1F9BBA"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203AC014" wp14:editId="08E77897">
                <wp:extent cx="3533775" cy="11811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533775" cy="1181100"/>
                        </a:xfrm>
                        <a:prstGeom prst="rect">
                          <a:avLst/>
                        </a:prstGeom>
                        <a:ln/>
                      </pic:spPr>
                    </pic:pic>
                  </a:graphicData>
                </a:graphic>
              </wp:inline>
            </w:drawing>
          </w:r>
        </w:p>
        <w:p w14:paraId="09A6112E" w14:textId="4B888C5C"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Liquidity Ratio</w:t>
          </w:r>
        </w:p>
        <w:p w14:paraId="42EDC6AF"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36EC1186"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liquidity ratios reveal that the company has been working with a low short-term pattern of liquidity position, as both the current ratio and the quick ratio are below 1 in all years except 2021. The current ratio decreased to approximately 0.820.93 between 2023-2024, whereas the quick ratio decreased to approximately 0.620.72, indicating the growing dependency on continued cash flows as opposed to liquid assets to settle short-term debts. This has been further supported by negative working capital in 2022-2024, with an amount of negative working capital of -5.5bn in 2023, meaning that the company is financing its operations with suppliers and short-term liabilities, and that is a typical but dangerous aspect of a large pharmaceutical company relying on high cash generation but impairs its financial manoeuvrability in case its cash flows decline.</w:t>
          </w:r>
        </w:p>
        <w:p w14:paraId="19691561"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09EA9C" wp14:editId="1E7A2D87">
                <wp:extent cx="5943600" cy="26543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943600" cy="2654300"/>
                        </a:xfrm>
                        <a:prstGeom prst="rect">
                          <a:avLst/>
                        </a:prstGeom>
                        <a:ln/>
                      </pic:spPr>
                    </pic:pic>
                  </a:graphicData>
                </a:graphic>
              </wp:inline>
            </w:drawing>
          </w:r>
        </w:p>
        <w:p w14:paraId="6F65D997"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Liquidity Ratio Plot</w:t>
          </w:r>
        </w:p>
        <w:p w14:paraId="31596E44"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Acquired from Microsoft Excel)</w:t>
          </w:r>
        </w:p>
        <w:p w14:paraId="4EE7FCA5"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liquidity chart indicates a severe decline in the short-term financial position of AstraZeneca since 2021, and the current ratio and the quick ratio decrease to less than 1 between 2022 and 2024, meaning that the number of short-term liabilities exceeds the number of liquid assets. The company has experienced a healthy working capital surplus of 3.65bn in 2021, which took a sharp turn to negative working capital in the years that followed, and it reached the lowest point of -5.49bn in 2023 and improved a little to -2.04bn in 2024. This trend indicates that AstraZeneca depended more on the credit provider and short-term debts to finance its operations, which is typical of large pharmaceutical companies that have strong cash flow but still increase liquidity risk in the event of a fall in cash flow or unexpected liabilities.</w:t>
          </w:r>
        </w:p>
        <w:p w14:paraId="34D42CE5" w14:textId="77777777" w:rsidR="001D3AD9" w:rsidRDefault="001D3AD9" w:rsidP="001D3AD9">
          <w:pPr>
            <w:pStyle w:val="Heading2"/>
          </w:pPr>
          <w:bookmarkStart w:id="26" w:name="_Toc218960028"/>
          <w:bookmarkStart w:id="27" w:name="_Toc219044011"/>
          <w:r>
            <w:t>5. Efficiency Analysis</w:t>
          </w:r>
          <w:bookmarkEnd w:id="26"/>
          <w:bookmarkEnd w:id="27"/>
        </w:p>
        <w:p w14:paraId="4ACB16B2" w14:textId="77777777" w:rsidR="001D3AD9" w:rsidRPr="009F06E2" w:rsidRDefault="001D3AD9" w:rsidP="001D3AD9">
          <w:pPr>
            <w:jc w:val="both"/>
          </w:pPr>
        </w:p>
        <w:p w14:paraId="6C328BC5"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0315920" wp14:editId="10350C9A">
                <wp:extent cx="2552700" cy="15240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2552700" cy="1524000"/>
                        </a:xfrm>
                        <a:prstGeom prst="rect">
                          <a:avLst/>
                        </a:prstGeom>
                        <a:ln/>
                      </pic:spPr>
                    </pic:pic>
                  </a:graphicData>
                </a:graphic>
              </wp:inline>
            </w:drawing>
          </w:r>
        </w:p>
        <w:p w14:paraId="6A28EDFD"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Efficiency Analysis</w:t>
          </w:r>
        </w:p>
        <w:p w14:paraId="3F3EF2A1"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6CEEDDA8"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ratios of the efficiency demonstrate that the companies' asset utilisation and working-capital management have been fluctuating and that it has been improving over the last few years. The ratio of asset turnover was also on the rise, while in 2021 it was 0.35, in 2024, it stood at 0.52, indicating that AstraZeneca is making higher returns on its assets, probably because of the sales of its drug portfolio and improved utilisation of the substantial amount of its assets. These 264 days in inventory days were the highest, but later reduced to 209 days in 2023 and 202,4 respectively, and indicated that there were more positive results of inventory management and demand adjustment following the previous stock accumulation. The days of receivables also increased from 32.6 days in 2021 to 13.2 days in 2024, which means that a company collects the cash more quickly and gains control over the credit. But the number of days payable reduced to 69 in 2024 versus 98 in 2021, indicating that the firm is paying </w:t>
          </w:r>
          <w:r>
            <w:rPr>
              <w:rFonts w:ascii="Times New Roman" w:eastAsia="Times New Roman" w:hAnsi="Times New Roman" w:cs="Times New Roman"/>
              <w:sz w:val="24"/>
              <w:szCs w:val="24"/>
            </w:rPr>
            <w:lastRenderedPageBreak/>
            <w:t>suppliers faster and therefore it is less financing beneficial due to trade credit, but possibly indicates a better relationship with suppliers or less bargaining power. In general, efficiency has enhanced, especially in asset utilisation and cash collection, but the cash flow is strained to an extent due to lower adoption of supplier credit.</w:t>
          </w:r>
        </w:p>
        <w:p w14:paraId="22BA67B3"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E31199B" wp14:editId="1CB028DA">
                <wp:extent cx="5943600" cy="3098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3098800"/>
                        </a:xfrm>
                        <a:prstGeom prst="rect">
                          <a:avLst/>
                        </a:prstGeom>
                        <a:ln/>
                      </pic:spPr>
                    </pic:pic>
                  </a:graphicData>
                </a:graphic>
              </wp:inline>
            </w:drawing>
          </w:r>
        </w:p>
        <w:p w14:paraId="642906A2"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Efficiency Ratio Plot</w:t>
          </w:r>
        </w:p>
        <w:p w14:paraId="14F04F11"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62160D53"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efficiency chart reveals that the efficiency of the overall operations of AstraZeneca has increased over the years, most especially in asset utilisation and cash collection, though the inventories and supplier management have varied. The asset turnover (blue bars) increased gradually from 0.35 in 2021 to approximately 0.52 in 2024, which is a clear indication that the company is drawing more revenue out of its asset base. Stock accumulations or decelerated sales displayed by high inventory days (observe orange bars) were realized in the year 2023, but they significantly declined in 2024, which indicates better management of inventory. Customer payment and improved credit management. The days to receivables (grey bars) reduced considerably in the period between 2021 (the above 32 days) and 2024 (the above 13 days). In the meantime, the payables days (yellow bars) decreased as well by approximately 98 days to about 69 days, which means AstraZeneca is paying its suppliers faster, which enhances supplier relationships but lowers the advantage of trade credit.</w:t>
          </w:r>
        </w:p>
        <w:p w14:paraId="030A144E" w14:textId="77777777" w:rsidR="001D3AD9" w:rsidRDefault="001D3AD9" w:rsidP="001D3AD9">
          <w:pPr>
            <w:spacing w:line="360" w:lineRule="auto"/>
            <w:jc w:val="both"/>
            <w:rPr>
              <w:rFonts w:ascii="Times New Roman" w:eastAsia="Times New Roman" w:hAnsi="Times New Roman" w:cs="Times New Roman"/>
              <w:sz w:val="24"/>
              <w:szCs w:val="24"/>
            </w:rPr>
          </w:pPr>
        </w:p>
        <w:p w14:paraId="34B99E12" w14:textId="77777777" w:rsidR="001D3AD9" w:rsidRDefault="001D3AD9" w:rsidP="001D3AD9">
          <w:pPr>
            <w:pStyle w:val="Heading2"/>
          </w:pPr>
          <w:bookmarkStart w:id="28" w:name="_Toc218960029"/>
          <w:bookmarkStart w:id="29" w:name="_Toc219044012"/>
          <w:r>
            <w:lastRenderedPageBreak/>
            <w:t>6. Gearing and Capital Structure</w:t>
          </w:r>
          <w:bookmarkEnd w:id="28"/>
          <w:bookmarkEnd w:id="29"/>
        </w:p>
        <w:p w14:paraId="4FF1F90C" w14:textId="77777777" w:rsidR="001D3AD9" w:rsidRPr="009F06E2" w:rsidRDefault="001D3AD9" w:rsidP="000367E4">
          <w:pPr>
            <w:jc w:val="center"/>
          </w:pPr>
        </w:p>
        <w:p w14:paraId="10EC3068"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D1BE8FF" wp14:editId="22C64226">
                <wp:extent cx="3733800" cy="1628775"/>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3733800" cy="1628775"/>
                        </a:xfrm>
                        <a:prstGeom prst="rect">
                          <a:avLst/>
                        </a:prstGeom>
                        <a:ln/>
                      </pic:spPr>
                    </pic:pic>
                  </a:graphicData>
                </a:graphic>
              </wp:inline>
            </w:drawing>
          </w:r>
        </w:p>
        <w:p w14:paraId="5009C099"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Gearing Ratio</w:t>
          </w:r>
        </w:p>
        <w:p w14:paraId="212E9DFA"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146F44F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gearing ratios indicate a leverage capital structure that is constant, with the </w:t>
          </w:r>
          <w:proofErr w:type="gramStart"/>
          <w:r>
            <w:rPr>
              <w:rFonts w:ascii="Times New Roman" w:eastAsia="Times New Roman" w:hAnsi="Times New Roman" w:cs="Times New Roman"/>
              <w:sz w:val="24"/>
              <w:szCs w:val="24"/>
            </w:rPr>
            <w:t>debt to equity</w:t>
          </w:r>
          <w:proofErr w:type="gramEnd"/>
          <w:r>
            <w:rPr>
              <w:rFonts w:ascii="Times New Roman" w:eastAsia="Times New Roman" w:hAnsi="Times New Roman" w:cs="Times New Roman"/>
              <w:sz w:val="24"/>
              <w:szCs w:val="24"/>
            </w:rPr>
            <w:t xml:space="preserve"> ratio of 0.73-0.79, which reflects that it has been using borrowed capital to finance a big part of its assets with the help of shareholder equity. Nonetheless, the net debt ratio went up considerably over the years, as in 2024, it was 2.23, but in 2021, it was more than 23, which indicates that previous years have had significantly higher debt rates in comparison with the earnings, although this figure has decreased significantly by 2024 due to the increase in the level of EBITDA. The negative interest cover ratios show that, for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years, operating profits could not be used to pay interest charges, and this is mostly because of the high financing costs, excessive spending on R&amp;D, or extraordinary expenses in the pharmaceutical industry. Capital employed is very high in the meantime, which shows AstraZeneca has invested heavily in fixed assets and other intangible assets like patents and developing new drugs, which earns the company high growth potential after several years, though at a cost of high financial risk if the new drugs do not pay off.</w:t>
          </w:r>
        </w:p>
        <w:p w14:paraId="0BB61DC4"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AE47888" wp14:editId="19F0D33F">
                <wp:extent cx="5943600" cy="288290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943600" cy="2882900"/>
                        </a:xfrm>
                        <a:prstGeom prst="rect">
                          <a:avLst/>
                        </a:prstGeom>
                        <a:ln/>
                      </pic:spPr>
                    </pic:pic>
                  </a:graphicData>
                </a:graphic>
              </wp:inline>
            </w:drawing>
          </w:r>
        </w:p>
        <w:p w14:paraId="64A08DBE"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8: Gearing Ratio Plot</w:t>
          </w:r>
        </w:p>
        <w:p w14:paraId="7E6A8BEF"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4A9DAA62" w14:textId="6480A332"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is indicated in the gearing chart, AstraZeneca has had a comparatively constant debt-equity ratio of about 0.73-0.79 within the 4 years, which reflects a leveraged but managed capital structure. Nevertheless, the net debt ratio (orange bars) improves drastically over time as it fell significantly between a very high level of 23.1 in 2021 and only 2.23 in 2024, indicating a rapid growth of earnings and a change in the debt that significantly reduced the financial risk. This is an indication that, as AstraZeneca has been relying on debt as a source of funding its activities, it has strengthened its ability to service the debt, further enhancing financial stability and making the company less susceptible to interest rate variations or decline in revenues.</w:t>
          </w:r>
        </w:p>
        <w:p w14:paraId="1D9E4FB7" w14:textId="77777777" w:rsidR="001D3AD9" w:rsidRDefault="001D3AD9" w:rsidP="001D3AD9">
          <w:pPr>
            <w:pStyle w:val="Heading2"/>
          </w:pPr>
          <w:bookmarkStart w:id="30" w:name="_Toc218960030"/>
          <w:bookmarkStart w:id="31" w:name="_Toc219044013"/>
          <w:r>
            <w:t>7. Investor Ratios</w:t>
          </w:r>
          <w:bookmarkEnd w:id="30"/>
          <w:bookmarkEnd w:id="31"/>
        </w:p>
        <w:p w14:paraId="5D64D859" w14:textId="77777777" w:rsidR="001D3AD9" w:rsidRPr="009F06E2" w:rsidRDefault="001D3AD9" w:rsidP="001D3AD9">
          <w:pPr>
            <w:jc w:val="both"/>
          </w:pPr>
        </w:p>
        <w:p w14:paraId="00CCC95E"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46E4E98F" wp14:editId="56E0EC56">
                <wp:extent cx="2971800" cy="77152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2971800" cy="771525"/>
                        </a:xfrm>
                        <a:prstGeom prst="rect">
                          <a:avLst/>
                        </a:prstGeom>
                        <a:ln/>
                      </pic:spPr>
                    </pic:pic>
                  </a:graphicData>
                </a:graphic>
              </wp:inline>
            </w:drawing>
          </w:r>
        </w:p>
        <w:p w14:paraId="4B55D85D"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9: Investor Ratio</w:t>
          </w:r>
        </w:p>
        <w:p w14:paraId="375A50FD"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1EE1B9C0"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Investor ratios indicate a great increase in the earnings of shareholders and the ability to pay dividends over the years. The growth of earnings per share (EPS) in 2022, 2023, 2024 was quite fast as it increased by 2.12 times at the beginning of the year, 4.54 times at the end of the years as compared to only 0.07 in 2021, which means that the growth of profitability as it is measured in terms of earnings available to ordinary shareholders is rapid because it is increased by higher revenues and improved operational performance. Simultaneously, the dividend cover is very high in all years, i.e., a very low percentage of the profits goes to dividends, leaving AstraZeneca to use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its profits to fund R&amp;D, new drug development, and debt repayment. This trend is an indication of a growth-oriented approach in which high immediate cash returns to shareholders are not emphasized, but instead focus on reinvestment and value creation over the long-term.</w:t>
          </w:r>
        </w:p>
        <w:p w14:paraId="549FCB4C"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DD793D6" wp14:editId="224F1E22">
                <wp:extent cx="5943600" cy="28067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943600" cy="2806700"/>
                        </a:xfrm>
                        <a:prstGeom prst="rect">
                          <a:avLst/>
                        </a:prstGeom>
                        <a:ln/>
                      </pic:spPr>
                    </pic:pic>
                  </a:graphicData>
                </a:graphic>
              </wp:inline>
            </w:drawing>
          </w:r>
        </w:p>
        <w:p w14:paraId="11470691" w14:textId="77777777" w:rsidR="001D3AD9" w:rsidRDefault="001D3AD9" w:rsidP="000367E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10: Investor Ratio Plot</w:t>
          </w:r>
        </w:p>
        <w:p w14:paraId="6CD3A7FD" w14:textId="77777777" w:rsidR="001D3AD9" w:rsidRDefault="001D3AD9" w:rsidP="000367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Microsoft Excel)</w:t>
          </w:r>
        </w:p>
        <w:p w14:paraId="0EE08169"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chart of investor ratio clearly explains that the earnings per share (EPS) are increasing at a high rate between 2021 and 2024, which implies that the company AstraZeneca has provided a significant growth in shareholder profitability over the given time. EPS grew by nearly zero in 2021 to above 4.5 in 2024, representing an increase in revenues, a better performance of operations, and a more lucrative collection of drugs. By contrast, however, the dividend cover line is very small and not too sloping, indicating that AstraZeneca is paying a very small amount of its profits in the form of dividends and retaining </w:t>
          </w:r>
          <w:proofErr w:type="gramStart"/>
          <w:r>
            <w:rPr>
              <w:rFonts w:ascii="Times New Roman" w:eastAsia="Times New Roman" w:hAnsi="Times New Roman" w:cs="Times New Roman"/>
              <w:sz w:val="24"/>
              <w:szCs w:val="24"/>
            </w:rPr>
            <w:t>a majority of</w:t>
          </w:r>
          <w:proofErr w:type="gramEnd"/>
          <w:r>
            <w:rPr>
              <w:rFonts w:ascii="Times New Roman" w:eastAsia="Times New Roman" w:hAnsi="Times New Roman" w:cs="Times New Roman"/>
              <w:sz w:val="24"/>
              <w:szCs w:val="24"/>
            </w:rPr>
            <w:t xml:space="preserve"> the revenues to reinvest in the company, research and development, and enhancement of the balance sheet. </w:t>
          </w:r>
          <w:r>
            <w:rPr>
              <w:rFonts w:ascii="Times New Roman" w:eastAsia="Times New Roman" w:hAnsi="Times New Roman" w:cs="Times New Roman"/>
              <w:sz w:val="24"/>
              <w:szCs w:val="24"/>
            </w:rPr>
            <w:lastRenderedPageBreak/>
            <w:t>This trend indicates that it has a growth-oriented strategy to expand on long-term shareholder value instead of concentrating on short-term cash payments.</w:t>
          </w:r>
        </w:p>
        <w:p w14:paraId="55D14D38" w14:textId="77777777" w:rsidR="001D3AD9" w:rsidRDefault="001D3AD9" w:rsidP="001D3AD9">
          <w:pPr>
            <w:pStyle w:val="Heading2"/>
          </w:pPr>
          <w:bookmarkStart w:id="32" w:name="_Toc218960031"/>
          <w:bookmarkStart w:id="33" w:name="_Toc219044014"/>
          <w:r>
            <w:t>8. Limitations of Ratio Analysis</w:t>
          </w:r>
          <w:bookmarkEnd w:id="32"/>
          <w:bookmarkEnd w:id="33"/>
        </w:p>
        <w:p w14:paraId="598C4066" w14:textId="77777777" w:rsidR="001D3AD9" w:rsidRPr="009F06E2"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Accounting Policies</w:t>
          </w:r>
        </w:p>
        <w:p w14:paraId="748F67D6"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Ratio analysis is affected by the accounting decisions involved at AstraZeneca, such as its recognition of revenue, the value it puts on intangible assets, and its R&amp;D and impairment costs. These policies may have major implications on profit reports as well as asset value, and comparing them over time as well as with other pharmaceutical companies becomes unreliable (Rodriguez, 2024).</w:t>
          </w:r>
        </w:p>
        <w:p w14:paraId="3C8F7454" w14:textId="77777777" w:rsidR="001D3AD9" w:rsidRDefault="001D3AD9" w:rsidP="001D3AD9">
          <w:pPr>
            <w:spacing w:line="360" w:lineRule="auto"/>
            <w:jc w:val="both"/>
            <w:rPr>
              <w:rFonts w:ascii="Times New Roman" w:eastAsia="Times New Roman" w:hAnsi="Times New Roman" w:cs="Times New Roman"/>
              <w:sz w:val="24"/>
              <w:szCs w:val="24"/>
            </w:rPr>
          </w:pPr>
        </w:p>
        <w:p w14:paraId="666E9075" w14:textId="77777777" w:rsidR="001D3AD9" w:rsidRPr="009F06E2"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Impact of Inflation</w:t>
          </w:r>
        </w:p>
        <w:p w14:paraId="3AA8BF75"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Inflation lowers the availability of comparative financial information with the passage of time since revenues and costs are captured at various price levels. This is likely to disfigure profitability and asset efficiency ratios, particularly during high inflation times.</w:t>
          </w:r>
        </w:p>
        <w:p w14:paraId="76C5B501" w14:textId="77777777" w:rsidR="001D3AD9" w:rsidRDefault="001D3AD9" w:rsidP="001D3AD9">
          <w:pPr>
            <w:spacing w:line="360" w:lineRule="auto"/>
            <w:jc w:val="both"/>
            <w:rPr>
              <w:rFonts w:ascii="Times New Roman" w:eastAsia="Times New Roman" w:hAnsi="Times New Roman" w:cs="Times New Roman"/>
              <w:sz w:val="24"/>
              <w:szCs w:val="24"/>
            </w:rPr>
          </w:pPr>
        </w:p>
        <w:p w14:paraId="19BDEED6" w14:textId="77777777" w:rsidR="001D3AD9" w:rsidRPr="009F06E2"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Pharmaceutical R&amp;D Misalignment</w:t>
          </w:r>
        </w:p>
        <w:p w14:paraId="26804ACE"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pharmaceutical sector is a case where huge R&amp;D costs have been charged off within the same years, </w:t>
          </w: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they produce revenue in the long run. This may misrepresent assets and make the earnings seem more fluctuating (Alber, </w:t>
          </w:r>
          <w:proofErr w:type="spellStart"/>
          <w:r>
            <w:rPr>
              <w:rFonts w:ascii="Times New Roman" w:eastAsia="Times New Roman" w:hAnsi="Times New Roman" w:cs="Times New Roman"/>
              <w:sz w:val="24"/>
              <w:szCs w:val="24"/>
            </w:rPr>
            <w:t>Abdelrhim</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Farouh</w:t>
          </w:r>
          <w:proofErr w:type="spellEnd"/>
          <w:r>
            <w:rPr>
              <w:rFonts w:ascii="Times New Roman" w:eastAsia="Times New Roman" w:hAnsi="Times New Roman" w:cs="Times New Roman"/>
              <w:sz w:val="24"/>
              <w:szCs w:val="24"/>
            </w:rPr>
            <w:t>, 2023).</w:t>
          </w:r>
        </w:p>
        <w:p w14:paraId="22C28A1E" w14:textId="77777777" w:rsidR="001D3AD9" w:rsidRDefault="001D3AD9" w:rsidP="001D3AD9">
          <w:pPr>
            <w:spacing w:line="360" w:lineRule="auto"/>
            <w:jc w:val="both"/>
            <w:rPr>
              <w:rFonts w:ascii="Times New Roman" w:eastAsia="Times New Roman" w:hAnsi="Times New Roman" w:cs="Times New Roman"/>
              <w:sz w:val="24"/>
              <w:szCs w:val="24"/>
            </w:rPr>
          </w:pPr>
        </w:p>
        <w:p w14:paraId="1C396D1A" w14:textId="77777777" w:rsidR="001D3AD9" w:rsidRDefault="001D3AD9" w:rsidP="001D3AD9">
          <w:pPr>
            <w:spacing w:line="360" w:lineRule="auto"/>
            <w:jc w:val="both"/>
            <w:rPr>
              <w:rFonts w:ascii="Times New Roman" w:eastAsia="Times New Roman" w:hAnsi="Times New Roman" w:cs="Times New Roman"/>
              <w:sz w:val="24"/>
              <w:szCs w:val="24"/>
            </w:rPr>
          </w:pPr>
        </w:p>
        <w:p w14:paraId="621B4DDE" w14:textId="77777777" w:rsidR="001D3AD9"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History Data Shortcoming</w:t>
          </w:r>
        </w:p>
        <w:p w14:paraId="4C872C2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ratios rely on past results and would not give a clear picture of the future of AstraZeneca, especially in a business where innovation, loss of patents, and approval of regulations are the driving factors (Rodriguez, 2024).</w:t>
          </w:r>
        </w:p>
        <w:p w14:paraId="78B64463" w14:textId="77777777" w:rsidR="001D3AD9" w:rsidRDefault="001D3AD9" w:rsidP="001D3AD9">
          <w:pPr>
            <w:pStyle w:val="Heading2"/>
          </w:pPr>
          <w:bookmarkStart w:id="34" w:name="_Toc218960032"/>
          <w:bookmarkStart w:id="35" w:name="_Toc219044015"/>
          <w:r>
            <w:lastRenderedPageBreak/>
            <w:t>9. Recommendations to the Board</w:t>
          </w:r>
          <w:bookmarkEnd w:id="34"/>
          <w:bookmarkEnd w:id="35"/>
        </w:p>
        <w:p w14:paraId="036A70D8"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Cost Control</w:t>
          </w:r>
        </w:p>
        <w:p w14:paraId="2577D115" w14:textId="77777777" w:rsidR="001D3AD9" w:rsidRPr="009F06E2"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In an environment of increasing production costs, administrative costs, and regulatory pressures, AstraZeneca needs to maintain the discipline of cost by keenly monitoring its production, administrative, and research and development costs to help it safeguard its operating margins. Enhanced cost effectiveness is especially relevant after the pandemic, which has grown financial instability in healthcare sectors (</w:t>
          </w:r>
          <w:proofErr w:type="spellStart"/>
          <w:r>
            <w:rPr>
              <w:rFonts w:ascii="Times New Roman" w:eastAsia="Times New Roman" w:hAnsi="Times New Roman" w:cs="Times New Roman"/>
              <w:sz w:val="24"/>
              <w:szCs w:val="24"/>
            </w:rPr>
            <w:t>Mirgen</w:t>
          </w:r>
          <w:proofErr w:type="spellEnd"/>
          <w:r>
            <w:rPr>
              <w:rFonts w:ascii="Times New Roman" w:eastAsia="Times New Roman" w:hAnsi="Times New Roman" w:cs="Times New Roman"/>
              <w:sz w:val="24"/>
              <w:szCs w:val="24"/>
            </w:rPr>
            <w:t xml:space="preserve"> and Kahraman, 2025).</w:t>
          </w:r>
        </w:p>
        <w:p w14:paraId="009CD877" w14:textId="77777777" w:rsidR="001D3AD9" w:rsidRDefault="001D3AD9" w:rsidP="001D3AD9">
          <w:pPr>
            <w:spacing w:before="240" w:after="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Capital Structure Improvements</w:t>
          </w:r>
        </w:p>
        <w:p w14:paraId="1C290BCC"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should be targeting to cease the dependence on debt gradually through gaining the retained earnings so that the net debt is diminished, and as such, the company is strengthened financially, and the degree of exposure to interest rate changes </w:t>
          </w:r>
          <w:proofErr w:type="gramStart"/>
          <w:r>
            <w:rPr>
              <w:rFonts w:ascii="Times New Roman" w:eastAsia="Times New Roman" w:hAnsi="Times New Roman" w:cs="Times New Roman"/>
              <w:sz w:val="24"/>
              <w:szCs w:val="24"/>
            </w:rPr>
            <w:t>diminishes</w:t>
          </w:r>
          <w:proofErr w:type="gramEnd"/>
          <w:r>
            <w:rPr>
              <w:rFonts w:ascii="Times New Roman" w:eastAsia="Times New Roman" w:hAnsi="Times New Roman" w:cs="Times New Roman"/>
              <w:sz w:val="24"/>
              <w:szCs w:val="24"/>
            </w:rPr>
            <w:t>.</w:t>
          </w:r>
        </w:p>
        <w:p w14:paraId="6DB65E49"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Cash Flow Management</w:t>
          </w:r>
        </w:p>
        <w:p w14:paraId="084BFF4F"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an unfavourable working capital status, which means stricter controls on receivables, inventory, and payables are inevitable to maintain adequate liquidity to continue its business operations and invest in the future.</w:t>
          </w:r>
        </w:p>
        <w:p w14:paraId="668E4167"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Dividend Policy</w:t>
          </w:r>
        </w:p>
        <w:p w14:paraId="7A700619"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AstraZeneca ought to exercise a prudent dividend policy in which it should focus more on reinvestment of growth prospects and reduction of debts than increasing shareholder dividends in the short term, which aligns with the long-term value creation strategies (Yuyan, 2023).</w:t>
          </w:r>
        </w:p>
        <w:p w14:paraId="23DFCE4C"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Investment Focus</w:t>
          </w:r>
        </w:p>
        <w:p w14:paraId="5BF9FB8C"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a competitive edge and the ability to grow revenues in the future, the firm will be advised to persist with high-potential pharmaceutical innovation, especially in oncology and biotechnology (</w:t>
          </w:r>
          <w:proofErr w:type="spellStart"/>
          <w:r>
            <w:rPr>
              <w:rFonts w:ascii="Times New Roman" w:eastAsia="Times New Roman" w:hAnsi="Times New Roman" w:cs="Times New Roman"/>
              <w:sz w:val="24"/>
              <w:szCs w:val="24"/>
            </w:rPr>
            <w:t>Mirgen</w:t>
          </w:r>
          <w:proofErr w:type="spellEnd"/>
          <w:r>
            <w:rPr>
              <w:rFonts w:ascii="Times New Roman" w:eastAsia="Times New Roman" w:hAnsi="Times New Roman" w:cs="Times New Roman"/>
              <w:sz w:val="24"/>
              <w:szCs w:val="24"/>
            </w:rPr>
            <w:t xml:space="preserve"> and Kahraman, 2025).</w:t>
          </w:r>
        </w:p>
        <w:p w14:paraId="20340C18" w14:textId="77777777" w:rsidR="001D3AD9" w:rsidRDefault="001D3AD9" w:rsidP="001D3AD9">
          <w:pPr>
            <w:pStyle w:val="Heading2"/>
          </w:pPr>
          <w:bookmarkStart w:id="36" w:name="_Toc218960033"/>
          <w:bookmarkStart w:id="37" w:name="_Toc219044016"/>
          <w:r>
            <w:lastRenderedPageBreak/>
            <w:t>10. Conclusion</w:t>
          </w:r>
          <w:bookmarkEnd w:id="36"/>
          <w:bookmarkEnd w:id="37"/>
        </w:p>
        <w:p w14:paraId="07C0AD38"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according to the financial analysis, AstraZeneca is a stable and profitable pharmaceutical company that has an increasing operating efficiency and profit generation within the period of 2021-2024. The profitability and investor ratios show the growth of the shareholder value, maintained through effective product innovation and revenue improvement. Nevertheless, the liquidity position and working capital are weak, which proves to be dependent on short-term liabilities and the necessity of constant cash inputs in the firm. Despite the increasing gearing and debt management, the company faces the threat of financial exposure because of the capital level and intensity of its R&amp;D. Hence, AstraZeneca needs to work on its cash flow management and financial stability without abandoning its look at innovation in the long-term development.</w:t>
          </w:r>
        </w:p>
        <w:p w14:paraId="05C1EF2D" w14:textId="77777777" w:rsidR="001D3AD9" w:rsidRDefault="001D3AD9" w:rsidP="001D3AD9">
          <w:pPr>
            <w:pStyle w:val="Heading1"/>
          </w:pPr>
          <w:bookmarkStart w:id="38" w:name="_Toc218960034"/>
          <w:bookmarkStart w:id="39" w:name="_Toc219044017"/>
          <w:r>
            <w:t>PART 2 – Capital Investment Appraisal of Westward Plc</w:t>
          </w:r>
          <w:bookmarkEnd w:id="38"/>
          <w:bookmarkEnd w:id="39"/>
        </w:p>
        <w:p w14:paraId="7C013CCD" w14:textId="77777777" w:rsidR="001D3AD9" w:rsidRDefault="001D3AD9" w:rsidP="001D3AD9">
          <w:pPr>
            <w:pStyle w:val="Heading2"/>
          </w:pPr>
          <w:bookmarkStart w:id="40" w:name="_Toc218960035"/>
          <w:bookmarkStart w:id="41" w:name="_Toc219044018"/>
          <w:r>
            <w:t>1. Introduction</w:t>
          </w:r>
          <w:bookmarkEnd w:id="40"/>
          <w:bookmarkEnd w:id="41"/>
        </w:p>
        <w:p w14:paraId="56869229"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Westward Plc</w:t>
          </w:r>
        </w:p>
        <w:p w14:paraId="03A21B52"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Westward Plc is a manufacturing firm dealing in the manufacture of high-quality curtains that is interested in expanding its operations in accordance with the current customer tastes and growing competition. The company is operating in a market where differentiation of products, strategic investment decisions, and efficiency of its supply chain are essential to maintain its profitability and growth over the long run. Proper financial planning is thus needed to make the expansion projects generate value and not dilute the financial position of the firm (Morell, 2022).</w:t>
          </w:r>
        </w:p>
        <w:p w14:paraId="7CFEC5E4"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Why Investment Appraisal Matters</w:t>
          </w:r>
        </w:p>
        <w:p w14:paraId="54FAC95E"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Investment appraisal is more central on how the management can assess capital projects on whether the returns they would bring will be over and above the cost of capital of the firm. Systematic analysis of cash flows and risks in the future enables better allocation of scarce resources to firms and helps them in the attainment of both financial and sustainability goals </w:t>
          </w:r>
          <w:r>
            <w:rPr>
              <w:rFonts w:ascii="Times New Roman" w:eastAsia="Times New Roman" w:hAnsi="Times New Roman" w:cs="Times New Roman"/>
              <w:sz w:val="24"/>
              <w:szCs w:val="24"/>
            </w:rPr>
            <w:lastRenderedPageBreak/>
            <w:t>(Halonen, 2024). This is particularly crucial in such competitive manufacturing companies where the wrong investment choice may cost them a lifelong financial burden.</w:t>
          </w:r>
        </w:p>
        <w:p w14:paraId="340BF9A2" w14:textId="77777777" w:rsidR="001D3AD9" w:rsidRDefault="001D3AD9" w:rsidP="001D3AD9">
          <w:pPr>
            <w:spacing w:before="280" w:line="360" w:lineRule="auto"/>
            <w:jc w:val="both"/>
            <w:rPr>
              <w:rFonts w:ascii="Times New Roman" w:eastAsia="Times New Roman" w:hAnsi="Times New Roman" w:cs="Times New Roman"/>
              <w:sz w:val="24"/>
              <w:szCs w:val="24"/>
            </w:rPr>
          </w:pPr>
        </w:p>
        <w:p w14:paraId="4A749790" w14:textId="77777777" w:rsidR="001D3AD9" w:rsidRDefault="001D3AD9" w:rsidP="001D3AD9">
          <w:pPr>
            <w:spacing w:before="240" w:after="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Overview of the Three Options</w:t>
          </w:r>
        </w:p>
        <w:p w14:paraId="75E755BD"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Westward Plc has three options for four-year investments: (A) expansion of its retailing outlet to carry all products, (B) coming up with an online sales platform, and (C) manufacturing wooden &amp; Roman blinds. The two alternatives involve a varying degree of initial investment and certain anticipated cash inflows, and a systematic evaluation is needed to determine the initiative that will provide the best financial and strategic payoff.</w:t>
          </w:r>
        </w:p>
        <w:p w14:paraId="46D1191D" w14:textId="77777777" w:rsidR="001D3AD9" w:rsidRDefault="001D3AD9" w:rsidP="001D3AD9">
          <w:pPr>
            <w:pStyle w:val="Heading2"/>
          </w:pPr>
          <w:bookmarkStart w:id="42" w:name="_Toc218960036"/>
          <w:bookmarkStart w:id="43" w:name="_Toc219044019"/>
          <w:r>
            <w:t>2. Investment Appraisal Methodology</w:t>
          </w:r>
          <w:bookmarkEnd w:id="42"/>
          <w:bookmarkEnd w:id="43"/>
        </w:p>
        <w:p w14:paraId="5EBD4546"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Net Present Value (NPV)</w:t>
          </w:r>
        </w:p>
        <w:p w14:paraId="1E17832C"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Present Value (NPV) is used to calculate the difference between the present value of the cash inflows of a project in the future and the initial investment of the project. The discounted cash flows of the expected cash flows at the cost of capital help an investor to determine whether a project is going to help or destroy shareholder wealth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NPV. A good NPV value implies that the project is financially feasible (SUBHA, 2022).</w:t>
          </w:r>
        </w:p>
        <w:p w14:paraId="070FE250"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Internal Rate of Return (IRR)</w:t>
          </w:r>
        </w:p>
        <w:p w14:paraId="0769DACD"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Internal rate of Return (IRR) is the rate of discount at which the NPV of the project is zero. This is the anticipated rate of investment payoff that is contrasted with the cost of capital in the firm to see whether it is explicable or not (Perkins and Shortland, 2025).</w:t>
          </w:r>
        </w:p>
        <w:p w14:paraId="02FBA5BF"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Cost of Capital</w:t>
          </w:r>
        </w:p>
        <w:p w14:paraId="0B123781"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Westward Plc's cost of capital is 6%, and they must be happy to obtain this minimum amount of remuneration. It integrates business risk and economic uncertainty, and it is particularly valuable in unstable market environments (</w:t>
          </w:r>
          <w:proofErr w:type="spellStart"/>
          <w:r>
            <w:rPr>
              <w:rFonts w:ascii="Times New Roman" w:eastAsia="Times New Roman" w:hAnsi="Times New Roman" w:cs="Times New Roman"/>
              <w:sz w:val="24"/>
              <w:szCs w:val="24"/>
            </w:rPr>
            <w:t>Beviglia</w:t>
          </w:r>
          <w:proofErr w:type="spellEnd"/>
          <w:r>
            <w:rPr>
              <w:rFonts w:ascii="Times New Roman" w:eastAsia="Times New Roman" w:hAnsi="Times New Roman" w:cs="Times New Roman"/>
              <w:sz w:val="24"/>
              <w:szCs w:val="24"/>
            </w:rPr>
            <w:t>, 2023).</w:t>
          </w:r>
        </w:p>
        <w:p w14:paraId="54E7FC4C" w14:textId="77777777" w:rsidR="001D3AD9" w:rsidRDefault="001D3AD9" w:rsidP="001D3AD9">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Tax and Capital Allowances</w:t>
          </w:r>
        </w:p>
        <w:p w14:paraId="00F6A1C0" w14:textId="77777777" w:rsidR="001D3AD9" w:rsidRDefault="001D3AD9" w:rsidP="001D3A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Tax minimises cash flows in the company, and capital allowances allow the company to be tax relieved on investment expenditure, equalising effective returns. This is because the appraisal considers all of them so that the actual post-tax profitability of each project can be identified (Yeung and Tahir, 2024).</w:t>
          </w:r>
        </w:p>
        <w:p w14:paraId="10A7EC7D" w14:textId="77777777" w:rsidR="001D3AD9" w:rsidRDefault="001D3AD9" w:rsidP="001D3AD9">
          <w:pPr>
            <w:pStyle w:val="Heading2"/>
          </w:pPr>
          <w:bookmarkStart w:id="44" w:name="_Toc218960037"/>
          <w:bookmarkStart w:id="45" w:name="_Toc219044020"/>
          <w:r>
            <w:t>3. NPV Analysis</w:t>
          </w:r>
          <w:bookmarkEnd w:id="44"/>
          <w:bookmarkEnd w:id="45"/>
        </w:p>
        <w:p w14:paraId="1528318F" w14:textId="77777777" w:rsidR="001D3AD9" w:rsidRDefault="001D3AD9" w:rsidP="001D3AD9">
          <w:pPr>
            <w:spacing w:before="240" w:after="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Option A – Expand Retail Outlet</w:t>
          </w:r>
        </w:p>
        <w:tbl>
          <w:tblPr>
            <w:tblStyle w:val="TableGrid"/>
            <w:tblW w:w="8920" w:type="dxa"/>
            <w:tblLayout w:type="fixed"/>
            <w:tblLook w:val="0600" w:firstRow="0" w:lastRow="0" w:firstColumn="0" w:lastColumn="0" w:noHBand="1" w:noVBand="1"/>
          </w:tblPr>
          <w:tblGrid>
            <w:gridCol w:w="1115"/>
            <w:gridCol w:w="2120"/>
            <w:gridCol w:w="1610"/>
            <w:gridCol w:w="2450"/>
            <w:gridCol w:w="1625"/>
          </w:tblGrid>
          <w:tr w:rsidR="001D3AD9" w14:paraId="7D686C32" w14:textId="77777777" w:rsidTr="00AD20A1">
            <w:trPr>
              <w:trHeight w:val="515"/>
            </w:trPr>
            <w:tc>
              <w:tcPr>
                <w:tcW w:w="1115" w:type="dxa"/>
              </w:tcPr>
              <w:p w14:paraId="4201F821"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c>
              <w:tcPr>
                <w:tcW w:w="2120" w:type="dxa"/>
              </w:tcPr>
              <w:p w14:paraId="6098DC85"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Pre-Tax CF (£000)</w:t>
                </w:r>
              </w:p>
            </w:tc>
            <w:tc>
              <w:tcPr>
                <w:tcW w:w="1610" w:type="dxa"/>
              </w:tcPr>
              <w:p w14:paraId="6350CA42"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After-Tax CF</w:t>
                </w:r>
              </w:p>
            </w:tc>
            <w:tc>
              <w:tcPr>
                <w:tcW w:w="2450" w:type="dxa"/>
              </w:tcPr>
              <w:p w14:paraId="2D6C2E0E"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Discount Factor (6%)</w:t>
                </w:r>
              </w:p>
            </w:tc>
            <w:tc>
              <w:tcPr>
                <w:tcW w:w="1625" w:type="dxa"/>
              </w:tcPr>
              <w:p w14:paraId="2A2F8E07"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Present Value</w:t>
                </w:r>
              </w:p>
            </w:tc>
          </w:tr>
          <w:tr w:rsidR="001D3AD9" w14:paraId="3AC05B31" w14:textId="77777777" w:rsidTr="00AD20A1">
            <w:trPr>
              <w:trHeight w:val="515"/>
            </w:trPr>
            <w:tc>
              <w:tcPr>
                <w:tcW w:w="1115" w:type="dxa"/>
              </w:tcPr>
              <w:p w14:paraId="2A0BA936"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120" w:type="dxa"/>
              </w:tcPr>
              <w:p w14:paraId="1C673797"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c>
              <w:tcPr>
                <w:tcW w:w="1610" w:type="dxa"/>
              </w:tcPr>
              <w:p w14:paraId="3ECC4D75"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c>
              <w:tcPr>
                <w:tcW w:w="2450" w:type="dxa"/>
              </w:tcPr>
              <w:p w14:paraId="3EC464C9"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625" w:type="dxa"/>
              </w:tcPr>
              <w:p w14:paraId="0F5B4059"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r>
          <w:tr w:rsidR="001D3AD9" w14:paraId="52474475" w14:textId="77777777" w:rsidTr="00AD20A1">
            <w:trPr>
              <w:trHeight w:val="515"/>
            </w:trPr>
            <w:tc>
              <w:tcPr>
                <w:tcW w:w="1115" w:type="dxa"/>
              </w:tcPr>
              <w:p w14:paraId="00773DDF"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120" w:type="dxa"/>
              </w:tcPr>
              <w:p w14:paraId="798D4A08"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c>
              <w:tcPr>
                <w:tcW w:w="1610" w:type="dxa"/>
              </w:tcPr>
              <w:p w14:paraId="3C5E13B0"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180</w:t>
                </w:r>
              </w:p>
            </w:tc>
            <w:tc>
              <w:tcPr>
                <w:tcW w:w="2450" w:type="dxa"/>
              </w:tcPr>
              <w:p w14:paraId="002612D8"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0.943</w:t>
                </w:r>
              </w:p>
            </w:tc>
            <w:tc>
              <w:tcPr>
                <w:tcW w:w="1625" w:type="dxa"/>
              </w:tcPr>
              <w:p w14:paraId="4FAD9C05"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169.7</w:t>
                </w:r>
              </w:p>
            </w:tc>
          </w:tr>
          <w:tr w:rsidR="001D3AD9" w14:paraId="490F8138" w14:textId="77777777" w:rsidTr="00AD20A1">
            <w:trPr>
              <w:trHeight w:val="515"/>
            </w:trPr>
            <w:tc>
              <w:tcPr>
                <w:tcW w:w="1115" w:type="dxa"/>
              </w:tcPr>
              <w:p w14:paraId="131A2029"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120" w:type="dxa"/>
              </w:tcPr>
              <w:p w14:paraId="6C508EB2"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c>
              <w:tcPr>
                <w:tcW w:w="1610" w:type="dxa"/>
              </w:tcPr>
              <w:p w14:paraId="697F3FA4"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330</w:t>
                </w:r>
              </w:p>
            </w:tc>
            <w:tc>
              <w:tcPr>
                <w:tcW w:w="2450" w:type="dxa"/>
              </w:tcPr>
              <w:p w14:paraId="51B975E1"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0.890</w:t>
                </w:r>
              </w:p>
            </w:tc>
            <w:tc>
              <w:tcPr>
                <w:tcW w:w="1625" w:type="dxa"/>
              </w:tcPr>
              <w:p w14:paraId="52EC29E1"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293.7</w:t>
                </w:r>
              </w:p>
            </w:tc>
          </w:tr>
          <w:tr w:rsidR="001D3AD9" w14:paraId="3260C2D6" w14:textId="77777777" w:rsidTr="00AD20A1">
            <w:trPr>
              <w:trHeight w:val="515"/>
            </w:trPr>
            <w:tc>
              <w:tcPr>
                <w:tcW w:w="1115" w:type="dxa"/>
              </w:tcPr>
              <w:p w14:paraId="72DD0B12"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120" w:type="dxa"/>
              </w:tcPr>
              <w:p w14:paraId="24FEA78E"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610" w:type="dxa"/>
              </w:tcPr>
              <w:p w14:paraId="586EA95B"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405</w:t>
                </w:r>
              </w:p>
            </w:tc>
            <w:tc>
              <w:tcPr>
                <w:tcW w:w="2450" w:type="dxa"/>
              </w:tcPr>
              <w:p w14:paraId="2863FFCC"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0.840</w:t>
                </w:r>
              </w:p>
            </w:tc>
            <w:tc>
              <w:tcPr>
                <w:tcW w:w="1625" w:type="dxa"/>
              </w:tcPr>
              <w:p w14:paraId="1F58F2A1"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340.2</w:t>
                </w:r>
              </w:p>
            </w:tc>
          </w:tr>
          <w:tr w:rsidR="001D3AD9" w14:paraId="77360F67" w14:textId="77777777" w:rsidTr="00AD20A1">
            <w:trPr>
              <w:trHeight w:val="515"/>
            </w:trPr>
            <w:tc>
              <w:tcPr>
                <w:tcW w:w="1115" w:type="dxa"/>
              </w:tcPr>
              <w:p w14:paraId="451F55FF"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120" w:type="dxa"/>
              </w:tcPr>
              <w:p w14:paraId="5E32F1B3"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1610" w:type="dxa"/>
              </w:tcPr>
              <w:p w14:paraId="636F469A"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555</w:t>
                </w:r>
              </w:p>
            </w:tc>
            <w:tc>
              <w:tcPr>
                <w:tcW w:w="2450" w:type="dxa"/>
              </w:tcPr>
              <w:p w14:paraId="3EF47556"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0.792</w:t>
                </w:r>
              </w:p>
            </w:tc>
            <w:tc>
              <w:tcPr>
                <w:tcW w:w="1625" w:type="dxa"/>
              </w:tcPr>
              <w:p w14:paraId="43463397"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439.6</w:t>
                </w:r>
              </w:p>
            </w:tc>
          </w:tr>
          <w:tr w:rsidR="001D3AD9" w14:paraId="70B65677" w14:textId="77777777" w:rsidTr="00AD20A1">
            <w:trPr>
              <w:trHeight w:val="515"/>
            </w:trPr>
            <w:tc>
              <w:tcPr>
                <w:tcW w:w="1115" w:type="dxa"/>
              </w:tcPr>
              <w:p w14:paraId="6FF9E3AB"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NPV (A)</w:t>
                </w:r>
              </w:p>
            </w:tc>
            <w:tc>
              <w:tcPr>
                <w:tcW w:w="2120" w:type="dxa"/>
              </w:tcPr>
              <w:p w14:paraId="609FFDB2" w14:textId="77777777" w:rsidR="001D3AD9" w:rsidRDefault="001D3AD9" w:rsidP="001D3AD9">
                <w:pPr>
                  <w:spacing w:before="240" w:after="40" w:line="360" w:lineRule="auto"/>
                  <w:jc w:val="both"/>
                  <w:rPr>
                    <w:rFonts w:ascii="Times New Roman" w:eastAsia="Times New Roman" w:hAnsi="Times New Roman" w:cs="Times New Roman"/>
                    <w:sz w:val="24"/>
                    <w:szCs w:val="24"/>
                  </w:rPr>
                </w:pPr>
              </w:p>
            </w:tc>
            <w:tc>
              <w:tcPr>
                <w:tcW w:w="1610" w:type="dxa"/>
              </w:tcPr>
              <w:p w14:paraId="74D48920" w14:textId="77777777" w:rsidR="001D3AD9" w:rsidRDefault="001D3AD9" w:rsidP="001D3AD9">
                <w:pPr>
                  <w:spacing w:before="240" w:after="40" w:line="360" w:lineRule="auto"/>
                  <w:jc w:val="both"/>
                  <w:rPr>
                    <w:rFonts w:ascii="Times New Roman" w:eastAsia="Times New Roman" w:hAnsi="Times New Roman" w:cs="Times New Roman"/>
                    <w:sz w:val="24"/>
                    <w:szCs w:val="24"/>
                  </w:rPr>
                </w:pPr>
              </w:p>
            </w:tc>
            <w:tc>
              <w:tcPr>
                <w:tcW w:w="2450" w:type="dxa"/>
              </w:tcPr>
              <w:p w14:paraId="189D8D4F" w14:textId="77777777" w:rsidR="001D3AD9" w:rsidRDefault="001D3AD9" w:rsidP="001D3AD9">
                <w:pPr>
                  <w:spacing w:before="240" w:after="40" w:line="360" w:lineRule="auto"/>
                  <w:jc w:val="both"/>
                  <w:rPr>
                    <w:rFonts w:ascii="Times New Roman" w:eastAsia="Times New Roman" w:hAnsi="Times New Roman" w:cs="Times New Roman"/>
                    <w:sz w:val="24"/>
                    <w:szCs w:val="24"/>
                  </w:rPr>
                </w:pPr>
              </w:p>
            </w:tc>
            <w:tc>
              <w:tcPr>
                <w:tcW w:w="1625" w:type="dxa"/>
              </w:tcPr>
              <w:p w14:paraId="6F42CCC3" w14:textId="77777777" w:rsidR="001D3AD9" w:rsidRDefault="001D3AD9" w:rsidP="001D3AD9">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643.2</w:t>
                </w:r>
              </w:p>
            </w:tc>
          </w:tr>
        </w:tbl>
        <w:p w14:paraId="1E1FF65D" w14:textId="77777777" w:rsidR="001D3AD9" w:rsidRDefault="001D3AD9" w:rsidP="001D3AD9">
          <w:pPr>
            <w:spacing w:before="240" w:after="40" w:line="360" w:lineRule="auto"/>
            <w:jc w:val="both"/>
            <w:rPr>
              <w:rFonts w:ascii="Times New Roman" w:eastAsia="Times New Roman" w:hAnsi="Times New Roman" w:cs="Times New Roman"/>
              <w:b/>
              <w:bCs/>
              <w:sz w:val="24"/>
              <w:szCs w:val="24"/>
            </w:rPr>
          </w:pPr>
        </w:p>
        <w:p w14:paraId="4B3B0D40" w14:textId="77777777" w:rsidR="001D3AD9" w:rsidRPr="009F06E2" w:rsidRDefault="001D3AD9" w:rsidP="001D3AD9">
          <w:pPr>
            <w:spacing w:before="240" w:after="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Option B – Internet Sales</w:t>
          </w:r>
        </w:p>
        <w:tbl>
          <w:tblPr>
            <w:tblStyle w:val="TableGrid"/>
            <w:tblW w:w="8905" w:type="dxa"/>
            <w:tblLayout w:type="fixed"/>
            <w:tblLook w:val="0600" w:firstRow="0" w:lastRow="0" w:firstColumn="0" w:lastColumn="0" w:noHBand="1" w:noVBand="1"/>
          </w:tblPr>
          <w:tblGrid>
            <w:gridCol w:w="1100"/>
            <w:gridCol w:w="2120"/>
            <w:gridCol w:w="1610"/>
            <w:gridCol w:w="2450"/>
            <w:gridCol w:w="1625"/>
          </w:tblGrid>
          <w:tr w:rsidR="001D3AD9" w14:paraId="6E63B0A6" w14:textId="77777777" w:rsidTr="00AD20A1">
            <w:trPr>
              <w:trHeight w:val="515"/>
            </w:trPr>
            <w:tc>
              <w:tcPr>
                <w:tcW w:w="1100" w:type="dxa"/>
              </w:tcPr>
              <w:p w14:paraId="33782452"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Year</w:t>
                </w:r>
              </w:p>
            </w:tc>
            <w:tc>
              <w:tcPr>
                <w:tcW w:w="2120" w:type="dxa"/>
              </w:tcPr>
              <w:p w14:paraId="23162FFD"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Pre-Tax CF (£000)</w:t>
                </w:r>
              </w:p>
            </w:tc>
            <w:tc>
              <w:tcPr>
                <w:tcW w:w="1610" w:type="dxa"/>
              </w:tcPr>
              <w:p w14:paraId="253BBA5A"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After-Tax CF</w:t>
                </w:r>
              </w:p>
            </w:tc>
            <w:tc>
              <w:tcPr>
                <w:tcW w:w="2450" w:type="dxa"/>
              </w:tcPr>
              <w:p w14:paraId="7F68E66F"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Discount Factor (6%)</w:t>
                </w:r>
              </w:p>
            </w:tc>
            <w:tc>
              <w:tcPr>
                <w:tcW w:w="1625" w:type="dxa"/>
              </w:tcPr>
              <w:p w14:paraId="765D250F"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Present Value</w:t>
                </w:r>
              </w:p>
            </w:tc>
          </w:tr>
          <w:tr w:rsidR="001D3AD9" w14:paraId="3C1B00FB" w14:textId="77777777" w:rsidTr="00AD20A1">
            <w:trPr>
              <w:trHeight w:val="515"/>
            </w:trPr>
            <w:tc>
              <w:tcPr>
                <w:tcW w:w="1100" w:type="dxa"/>
              </w:tcPr>
              <w:p w14:paraId="017CC86B"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120" w:type="dxa"/>
              </w:tcPr>
              <w:p w14:paraId="2B216AF1"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610" w:type="dxa"/>
              </w:tcPr>
              <w:p w14:paraId="3C1070A0"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2450" w:type="dxa"/>
              </w:tcPr>
              <w:p w14:paraId="5DBD7DA2"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625" w:type="dxa"/>
              </w:tcPr>
              <w:p w14:paraId="4989875E"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1D3AD9" w14:paraId="719C7782" w14:textId="77777777" w:rsidTr="00AD20A1">
            <w:trPr>
              <w:trHeight w:val="515"/>
            </w:trPr>
            <w:tc>
              <w:tcPr>
                <w:tcW w:w="1100" w:type="dxa"/>
              </w:tcPr>
              <w:p w14:paraId="7301833C"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120" w:type="dxa"/>
              </w:tcPr>
              <w:p w14:paraId="1C147DC6"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c>
              <w:tcPr>
                <w:tcW w:w="1610" w:type="dxa"/>
              </w:tcPr>
              <w:p w14:paraId="5929DAD6"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350</w:t>
                </w:r>
              </w:p>
            </w:tc>
            <w:tc>
              <w:tcPr>
                <w:tcW w:w="2450" w:type="dxa"/>
              </w:tcPr>
              <w:p w14:paraId="35BD2FA4"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0.943</w:t>
                </w:r>
              </w:p>
            </w:tc>
            <w:tc>
              <w:tcPr>
                <w:tcW w:w="1625" w:type="dxa"/>
              </w:tcPr>
              <w:p w14:paraId="35D96FA2"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330.1</w:t>
                </w:r>
              </w:p>
            </w:tc>
          </w:tr>
          <w:tr w:rsidR="001D3AD9" w14:paraId="14D243EE" w14:textId="77777777" w:rsidTr="00AD20A1">
            <w:trPr>
              <w:trHeight w:val="515"/>
            </w:trPr>
            <w:tc>
              <w:tcPr>
                <w:tcW w:w="1100" w:type="dxa"/>
              </w:tcPr>
              <w:p w14:paraId="1AA1B861"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120" w:type="dxa"/>
              </w:tcPr>
              <w:p w14:paraId="492B2858"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450</w:t>
                </w:r>
              </w:p>
            </w:tc>
            <w:tc>
              <w:tcPr>
                <w:tcW w:w="1610" w:type="dxa"/>
              </w:tcPr>
              <w:p w14:paraId="17B7A046"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387.5</w:t>
                </w:r>
              </w:p>
            </w:tc>
            <w:tc>
              <w:tcPr>
                <w:tcW w:w="2450" w:type="dxa"/>
              </w:tcPr>
              <w:p w14:paraId="7A8C4AE8"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0.890</w:t>
                </w:r>
              </w:p>
            </w:tc>
            <w:tc>
              <w:tcPr>
                <w:tcW w:w="1625" w:type="dxa"/>
              </w:tcPr>
              <w:p w14:paraId="7322B04C"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344.9</w:t>
                </w:r>
              </w:p>
            </w:tc>
          </w:tr>
          <w:tr w:rsidR="001D3AD9" w14:paraId="3EBD59B8" w14:textId="77777777" w:rsidTr="00AD20A1">
            <w:trPr>
              <w:trHeight w:val="515"/>
            </w:trPr>
            <w:tc>
              <w:tcPr>
                <w:tcW w:w="1100" w:type="dxa"/>
              </w:tcPr>
              <w:p w14:paraId="6184BFBA"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120" w:type="dxa"/>
              </w:tcPr>
              <w:p w14:paraId="3CBC1A3D"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720</w:t>
                </w:r>
              </w:p>
            </w:tc>
            <w:tc>
              <w:tcPr>
                <w:tcW w:w="1610" w:type="dxa"/>
              </w:tcPr>
              <w:p w14:paraId="17475D92"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590</w:t>
                </w:r>
              </w:p>
            </w:tc>
            <w:tc>
              <w:tcPr>
                <w:tcW w:w="2450" w:type="dxa"/>
              </w:tcPr>
              <w:p w14:paraId="27DD617D"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0.840</w:t>
                </w:r>
              </w:p>
            </w:tc>
            <w:tc>
              <w:tcPr>
                <w:tcW w:w="1625" w:type="dxa"/>
              </w:tcPr>
              <w:p w14:paraId="72F1BBC5"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495.6</w:t>
                </w:r>
              </w:p>
            </w:tc>
          </w:tr>
          <w:tr w:rsidR="001D3AD9" w14:paraId="26B82A98" w14:textId="77777777" w:rsidTr="00AD20A1">
            <w:trPr>
              <w:trHeight w:val="515"/>
            </w:trPr>
            <w:tc>
              <w:tcPr>
                <w:tcW w:w="1100" w:type="dxa"/>
              </w:tcPr>
              <w:p w14:paraId="0127CA14"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120" w:type="dxa"/>
              </w:tcPr>
              <w:p w14:paraId="6E8019C2"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980</w:t>
                </w:r>
              </w:p>
            </w:tc>
            <w:tc>
              <w:tcPr>
                <w:tcW w:w="1610" w:type="dxa"/>
              </w:tcPr>
              <w:p w14:paraId="43692608"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785</w:t>
                </w:r>
              </w:p>
            </w:tc>
            <w:tc>
              <w:tcPr>
                <w:tcW w:w="2450" w:type="dxa"/>
              </w:tcPr>
              <w:p w14:paraId="33E4DE58"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0.792</w:t>
                </w:r>
              </w:p>
            </w:tc>
            <w:tc>
              <w:tcPr>
                <w:tcW w:w="1625" w:type="dxa"/>
              </w:tcPr>
              <w:p w14:paraId="6E329CD9"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621.7</w:t>
                </w:r>
              </w:p>
            </w:tc>
          </w:tr>
          <w:tr w:rsidR="001D3AD9" w14:paraId="6F32D42E" w14:textId="77777777" w:rsidTr="00AD20A1">
            <w:trPr>
              <w:trHeight w:val="515"/>
            </w:trPr>
            <w:tc>
              <w:tcPr>
                <w:tcW w:w="1100" w:type="dxa"/>
              </w:tcPr>
              <w:p w14:paraId="0246C324"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NPV (B)</w:t>
                </w:r>
              </w:p>
            </w:tc>
            <w:tc>
              <w:tcPr>
                <w:tcW w:w="2120" w:type="dxa"/>
              </w:tcPr>
              <w:p w14:paraId="6FB8FF36" w14:textId="77777777" w:rsidR="001D3AD9" w:rsidRDefault="001D3AD9" w:rsidP="001D3AD9">
                <w:pPr>
                  <w:jc w:val="both"/>
                  <w:rPr>
                    <w:rFonts w:ascii="Times New Roman" w:eastAsia="Times New Roman" w:hAnsi="Times New Roman" w:cs="Times New Roman"/>
                    <w:sz w:val="24"/>
                    <w:szCs w:val="24"/>
                  </w:rPr>
                </w:pPr>
              </w:p>
            </w:tc>
            <w:tc>
              <w:tcPr>
                <w:tcW w:w="1610" w:type="dxa"/>
              </w:tcPr>
              <w:p w14:paraId="2723B13C" w14:textId="77777777" w:rsidR="001D3AD9" w:rsidRDefault="001D3AD9" w:rsidP="001D3AD9">
                <w:pPr>
                  <w:jc w:val="both"/>
                  <w:rPr>
                    <w:rFonts w:ascii="Times New Roman" w:eastAsia="Times New Roman" w:hAnsi="Times New Roman" w:cs="Times New Roman"/>
                    <w:sz w:val="24"/>
                    <w:szCs w:val="24"/>
                  </w:rPr>
                </w:pPr>
              </w:p>
            </w:tc>
            <w:tc>
              <w:tcPr>
                <w:tcW w:w="2450" w:type="dxa"/>
              </w:tcPr>
              <w:p w14:paraId="1F530385" w14:textId="77777777" w:rsidR="001D3AD9" w:rsidRDefault="001D3AD9" w:rsidP="001D3AD9">
                <w:pPr>
                  <w:jc w:val="both"/>
                  <w:rPr>
                    <w:rFonts w:ascii="Times New Roman" w:eastAsia="Times New Roman" w:hAnsi="Times New Roman" w:cs="Times New Roman"/>
                    <w:sz w:val="24"/>
                    <w:szCs w:val="24"/>
                  </w:rPr>
                </w:pPr>
              </w:p>
            </w:tc>
            <w:tc>
              <w:tcPr>
                <w:tcW w:w="1625" w:type="dxa"/>
              </w:tcPr>
              <w:p w14:paraId="4EBACC0C" w14:textId="77777777" w:rsidR="001D3AD9" w:rsidRDefault="001D3AD9" w:rsidP="001D3AD9">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792.3</w:t>
                </w:r>
              </w:p>
            </w:tc>
          </w:tr>
        </w:tbl>
        <w:p w14:paraId="0C02D12A" w14:textId="77777777" w:rsidR="001D3AD9" w:rsidRDefault="001D3AD9" w:rsidP="001D3AD9">
          <w:pPr>
            <w:spacing w:line="360" w:lineRule="auto"/>
            <w:jc w:val="both"/>
            <w:rPr>
              <w:rFonts w:ascii="Times New Roman" w:eastAsia="Times New Roman" w:hAnsi="Times New Roman" w:cs="Times New Roman"/>
              <w:sz w:val="24"/>
              <w:szCs w:val="24"/>
            </w:rPr>
          </w:pPr>
        </w:p>
        <w:p w14:paraId="631EF3D3" w14:textId="77777777" w:rsidR="001D3AD9" w:rsidRPr="009F06E2"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Option C – Wooden &amp; Roman Blinds</w:t>
          </w:r>
        </w:p>
        <w:tbl>
          <w:tblPr>
            <w:tblStyle w:val="TableGrid"/>
            <w:tblW w:w="8920" w:type="dxa"/>
            <w:tblLayout w:type="fixed"/>
            <w:tblLook w:val="0600" w:firstRow="0" w:lastRow="0" w:firstColumn="0" w:lastColumn="0" w:noHBand="1" w:noVBand="1"/>
          </w:tblPr>
          <w:tblGrid>
            <w:gridCol w:w="1115"/>
            <w:gridCol w:w="2120"/>
            <w:gridCol w:w="1610"/>
            <w:gridCol w:w="2450"/>
            <w:gridCol w:w="1625"/>
          </w:tblGrid>
          <w:tr w:rsidR="001D3AD9" w14:paraId="2ED0BE29" w14:textId="77777777" w:rsidTr="00AD20A1">
            <w:trPr>
              <w:trHeight w:val="515"/>
            </w:trPr>
            <w:tc>
              <w:tcPr>
                <w:tcW w:w="1115" w:type="dxa"/>
              </w:tcPr>
              <w:p w14:paraId="357CCF01"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Year</w:t>
                </w:r>
              </w:p>
            </w:tc>
            <w:tc>
              <w:tcPr>
                <w:tcW w:w="2120" w:type="dxa"/>
              </w:tcPr>
              <w:p w14:paraId="101E1BAE"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Pre-Tax CF (£000)</w:t>
                </w:r>
              </w:p>
            </w:tc>
            <w:tc>
              <w:tcPr>
                <w:tcW w:w="1610" w:type="dxa"/>
              </w:tcPr>
              <w:p w14:paraId="6E188C2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After-Tax CF</w:t>
                </w:r>
              </w:p>
            </w:tc>
            <w:tc>
              <w:tcPr>
                <w:tcW w:w="2450" w:type="dxa"/>
              </w:tcPr>
              <w:p w14:paraId="3EC64309"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Discount Factor (6%)</w:t>
                </w:r>
              </w:p>
            </w:tc>
            <w:tc>
              <w:tcPr>
                <w:tcW w:w="1625" w:type="dxa"/>
              </w:tcPr>
              <w:p w14:paraId="57067C05"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Present Value</w:t>
                </w:r>
              </w:p>
            </w:tc>
          </w:tr>
          <w:tr w:rsidR="001D3AD9" w14:paraId="6C952828" w14:textId="77777777" w:rsidTr="00AD20A1">
            <w:trPr>
              <w:trHeight w:val="515"/>
            </w:trPr>
            <w:tc>
              <w:tcPr>
                <w:tcW w:w="1115" w:type="dxa"/>
              </w:tcPr>
              <w:p w14:paraId="191BE56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120" w:type="dxa"/>
              </w:tcPr>
              <w:p w14:paraId="5E3CE807"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-1,600</w:t>
                </w:r>
              </w:p>
            </w:tc>
            <w:tc>
              <w:tcPr>
                <w:tcW w:w="1610" w:type="dxa"/>
              </w:tcPr>
              <w:p w14:paraId="619E2A2F"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-1,600</w:t>
                </w:r>
              </w:p>
            </w:tc>
            <w:tc>
              <w:tcPr>
                <w:tcW w:w="2450" w:type="dxa"/>
              </w:tcPr>
              <w:p w14:paraId="0BC53E85"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625" w:type="dxa"/>
              </w:tcPr>
              <w:p w14:paraId="28FC27F2"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-1,600.0</w:t>
                </w:r>
              </w:p>
            </w:tc>
          </w:tr>
          <w:tr w:rsidR="001D3AD9" w14:paraId="68B6FAEC" w14:textId="77777777" w:rsidTr="00AD20A1">
            <w:trPr>
              <w:trHeight w:val="515"/>
            </w:trPr>
            <w:tc>
              <w:tcPr>
                <w:tcW w:w="1115" w:type="dxa"/>
              </w:tcPr>
              <w:p w14:paraId="31327E0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120" w:type="dxa"/>
              </w:tcPr>
              <w:p w14:paraId="791A3B0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450</w:t>
                </w:r>
              </w:p>
            </w:tc>
            <w:tc>
              <w:tcPr>
                <w:tcW w:w="1610" w:type="dxa"/>
              </w:tcPr>
              <w:p w14:paraId="7E580709"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417.5</w:t>
                </w:r>
              </w:p>
            </w:tc>
            <w:tc>
              <w:tcPr>
                <w:tcW w:w="2450" w:type="dxa"/>
              </w:tcPr>
              <w:p w14:paraId="1212CFC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0.943</w:t>
                </w:r>
              </w:p>
            </w:tc>
            <w:tc>
              <w:tcPr>
                <w:tcW w:w="1625" w:type="dxa"/>
              </w:tcPr>
              <w:p w14:paraId="76BA6B65"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393.8</w:t>
                </w:r>
              </w:p>
            </w:tc>
          </w:tr>
          <w:tr w:rsidR="001D3AD9" w14:paraId="57BE68F2" w14:textId="77777777" w:rsidTr="00AD20A1">
            <w:trPr>
              <w:trHeight w:val="515"/>
            </w:trPr>
            <w:tc>
              <w:tcPr>
                <w:tcW w:w="1115" w:type="dxa"/>
              </w:tcPr>
              <w:p w14:paraId="4EC52C0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120" w:type="dxa"/>
              </w:tcPr>
              <w:p w14:paraId="7D376295"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1610" w:type="dxa"/>
              </w:tcPr>
              <w:p w14:paraId="50CDDDFF"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605</w:t>
                </w:r>
              </w:p>
            </w:tc>
            <w:tc>
              <w:tcPr>
                <w:tcW w:w="2450" w:type="dxa"/>
              </w:tcPr>
              <w:p w14:paraId="04CA60D3"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0.890</w:t>
                </w:r>
              </w:p>
            </w:tc>
            <w:tc>
              <w:tcPr>
                <w:tcW w:w="1625" w:type="dxa"/>
              </w:tcPr>
              <w:p w14:paraId="62F12251"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538.5</w:t>
                </w:r>
              </w:p>
            </w:tc>
          </w:tr>
          <w:tr w:rsidR="001D3AD9" w14:paraId="61C5F256" w14:textId="77777777" w:rsidTr="00AD20A1">
            <w:trPr>
              <w:trHeight w:val="515"/>
            </w:trPr>
            <w:tc>
              <w:tcPr>
                <w:tcW w:w="1115" w:type="dxa"/>
              </w:tcPr>
              <w:p w14:paraId="3ECCFED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120" w:type="dxa"/>
              </w:tcPr>
              <w:p w14:paraId="5959E376"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900</w:t>
                </w:r>
              </w:p>
            </w:tc>
            <w:tc>
              <w:tcPr>
                <w:tcW w:w="1610" w:type="dxa"/>
              </w:tcPr>
              <w:p w14:paraId="6877FFC7"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755</w:t>
                </w:r>
              </w:p>
            </w:tc>
            <w:tc>
              <w:tcPr>
                <w:tcW w:w="2450" w:type="dxa"/>
              </w:tcPr>
              <w:p w14:paraId="5E9C744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0.840</w:t>
                </w:r>
              </w:p>
            </w:tc>
            <w:tc>
              <w:tcPr>
                <w:tcW w:w="1625" w:type="dxa"/>
              </w:tcPr>
              <w:p w14:paraId="33265CE1"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634.2</w:t>
                </w:r>
              </w:p>
            </w:tc>
          </w:tr>
          <w:tr w:rsidR="001D3AD9" w14:paraId="645D70F6" w14:textId="77777777" w:rsidTr="00AD20A1">
            <w:trPr>
              <w:trHeight w:val="515"/>
            </w:trPr>
            <w:tc>
              <w:tcPr>
                <w:tcW w:w="1115" w:type="dxa"/>
              </w:tcPr>
              <w:p w14:paraId="01EEBBD7"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120" w:type="dxa"/>
              </w:tcPr>
              <w:p w14:paraId="3EA8DE7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1610" w:type="dxa"/>
              </w:tcPr>
              <w:p w14:paraId="6F6BD113"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980</w:t>
                </w:r>
              </w:p>
            </w:tc>
            <w:tc>
              <w:tcPr>
                <w:tcW w:w="2450" w:type="dxa"/>
              </w:tcPr>
              <w:p w14:paraId="1640C62F"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0.792</w:t>
                </w:r>
              </w:p>
            </w:tc>
            <w:tc>
              <w:tcPr>
                <w:tcW w:w="1625" w:type="dxa"/>
              </w:tcPr>
              <w:p w14:paraId="4DFFAB5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776.2</w:t>
                </w:r>
              </w:p>
            </w:tc>
          </w:tr>
          <w:tr w:rsidR="001D3AD9" w14:paraId="50AE0934" w14:textId="77777777" w:rsidTr="00AD20A1">
            <w:trPr>
              <w:trHeight w:val="515"/>
            </w:trPr>
            <w:tc>
              <w:tcPr>
                <w:tcW w:w="1115" w:type="dxa"/>
              </w:tcPr>
              <w:p w14:paraId="6FC38254"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NPV (C)</w:t>
                </w:r>
              </w:p>
            </w:tc>
            <w:tc>
              <w:tcPr>
                <w:tcW w:w="2120" w:type="dxa"/>
              </w:tcPr>
              <w:p w14:paraId="3A6BBF1C" w14:textId="77777777" w:rsidR="001D3AD9" w:rsidRDefault="001D3AD9" w:rsidP="001D3AD9">
                <w:pPr>
                  <w:spacing w:line="360" w:lineRule="auto"/>
                  <w:jc w:val="both"/>
                  <w:rPr>
                    <w:rFonts w:ascii="Times New Roman" w:eastAsia="Times New Roman" w:hAnsi="Times New Roman" w:cs="Times New Roman"/>
                    <w:sz w:val="24"/>
                    <w:szCs w:val="24"/>
                  </w:rPr>
                </w:pPr>
              </w:p>
            </w:tc>
            <w:tc>
              <w:tcPr>
                <w:tcW w:w="1610" w:type="dxa"/>
              </w:tcPr>
              <w:p w14:paraId="528F72E8" w14:textId="77777777" w:rsidR="001D3AD9" w:rsidRDefault="001D3AD9" w:rsidP="001D3AD9">
                <w:pPr>
                  <w:spacing w:line="360" w:lineRule="auto"/>
                  <w:jc w:val="both"/>
                  <w:rPr>
                    <w:rFonts w:ascii="Times New Roman" w:eastAsia="Times New Roman" w:hAnsi="Times New Roman" w:cs="Times New Roman"/>
                    <w:sz w:val="24"/>
                    <w:szCs w:val="24"/>
                  </w:rPr>
                </w:pPr>
              </w:p>
            </w:tc>
            <w:tc>
              <w:tcPr>
                <w:tcW w:w="2450" w:type="dxa"/>
              </w:tcPr>
              <w:p w14:paraId="64381109" w14:textId="77777777" w:rsidR="001D3AD9" w:rsidRDefault="001D3AD9" w:rsidP="001D3AD9">
                <w:pPr>
                  <w:spacing w:line="360" w:lineRule="auto"/>
                  <w:jc w:val="both"/>
                  <w:rPr>
                    <w:rFonts w:ascii="Times New Roman" w:eastAsia="Times New Roman" w:hAnsi="Times New Roman" w:cs="Times New Roman"/>
                    <w:sz w:val="24"/>
                    <w:szCs w:val="24"/>
                  </w:rPr>
                </w:pPr>
              </w:p>
            </w:tc>
            <w:tc>
              <w:tcPr>
                <w:tcW w:w="1625" w:type="dxa"/>
              </w:tcPr>
              <w:p w14:paraId="55F26F8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742.7</w:t>
                </w:r>
              </w:p>
            </w:tc>
          </w:tr>
        </w:tbl>
        <w:p w14:paraId="3FA3E456" w14:textId="77777777" w:rsidR="001D3AD9" w:rsidRDefault="001D3AD9" w:rsidP="001D3AD9">
          <w:pPr>
            <w:spacing w:line="360" w:lineRule="auto"/>
            <w:jc w:val="both"/>
            <w:rPr>
              <w:rFonts w:ascii="Times New Roman" w:eastAsia="Times New Roman" w:hAnsi="Times New Roman" w:cs="Times New Roman"/>
              <w:b/>
              <w:bCs/>
              <w:sz w:val="24"/>
              <w:szCs w:val="24"/>
            </w:rPr>
          </w:pPr>
        </w:p>
        <w:p w14:paraId="0D7B85EC" w14:textId="77777777" w:rsidR="001D3AD9" w:rsidRPr="009F06E2"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NPV Comparison</w:t>
          </w:r>
        </w:p>
        <w:tbl>
          <w:tblPr>
            <w:tblStyle w:val="TableGrid"/>
            <w:tblW w:w="5960" w:type="dxa"/>
            <w:tblLayout w:type="fixed"/>
            <w:tblLook w:val="0600" w:firstRow="0" w:lastRow="0" w:firstColumn="0" w:lastColumn="0" w:noHBand="1" w:noVBand="1"/>
          </w:tblPr>
          <w:tblGrid>
            <w:gridCol w:w="1370"/>
            <w:gridCol w:w="2075"/>
            <w:gridCol w:w="1415"/>
            <w:gridCol w:w="1100"/>
          </w:tblGrid>
          <w:tr w:rsidR="001D3AD9" w14:paraId="650DC062" w14:textId="77777777" w:rsidTr="00AD20A1">
            <w:trPr>
              <w:trHeight w:val="515"/>
            </w:trPr>
            <w:tc>
              <w:tcPr>
                <w:tcW w:w="1370" w:type="dxa"/>
              </w:tcPr>
              <w:p w14:paraId="56CD5792"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Option</w:t>
                </w:r>
              </w:p>
            </w:tc>
            <w:tc>
              <w:tcPr>
                <w:tcW w:w="2075" w:type="dxa"/>
              </w:tcPr>
              <w:p w14:paraId="1EA555A8"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Investment (£000)</w:t>
                </w:r>
              </w:p>
            </w:tc>
            <w:tc>
              <w:tcPr>
                <w:tcW w:w="1415" w:type="dxa"/>
              </w:tcPr>
              <w:p w14:paraId="47D3CACC"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NPV (£000)</w:t>
                </w:r>
              </w:p>
            </w:tc>
            <w:tc>
              <w:tcPr>
                <w:tcW w:w="1100" w:type="dxa"/>
              </w:tcPr>
              <w:p w14:paraId="2317D9DD"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Decision</w:t>
                </w:r>
              </w:p>
            </w:tc>
          </w:tr>
          <w:tr w:rsidR="001D3AD9" w14:paraId="059DED9D" w14:textId="77777777" w:rsidTr="00AD20A1">
            <w:trPr>
              <w:trHeight w:val="515"/>
            </w:trPr>
            <w:tc>
              <w:tcPr>
                <w:tcW w:w="1370" w:type="dxa"/>
              </w:tcPr>
              <w:p w14:paraId="5B9A6C48"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 Retail</w:t>
                </w:r>
              </w:p>
            </w:tc>
            <w:tc>
              <w:tcPr>
                <w:tcW w:w="2075" w:type="dxa"/>
              </w:tcPr>
              <w:p w14:paraId="4E38E996"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c>
              <w:tcPr>
                <w:tcW w:w="1415" w:type="dxa"/>
              </w:tcPr>
              <w:p w14:paraId="7865FAC0"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643.2</w:t>
                </w:r>
              </w:p>
            </w:tc>
            <w:tc>
              <w:tcPr>
                <w:tcW w:w="1100" w:type="dxa"/>
              </w:tcPr>
              <w:p w14:paraId="7B51A117"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Accept</w:t>
                </w:r>
              </w:p>
            </w:tc>
          </w:tr>
          <w:tr w:rsidR="001D3AD9" w14:paraId="5AEFCC31" w14:textId="77777777" w:rsidTr="00AD20A1">
            <w:trPr>
              <w:trHeight w:val="515"/>
            </w:trPr>
            <w:tc>
              <w:tcPr>
                <w:tcW w:w="1370" w:type="dxa"/>
              </w:tcPr>
              <w:p w14:paraId="16B15610"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 Internet</w:t>
                </w:r>
              </w:p>
            </w:tc>
            <w:tc>
              <w:tcPr>
                <w:tcW w:w="2075" w:type="dxa"/>
              </w:tcPr>
              <w:p w14:paraId="2C3F55DE"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415" w:type="dxa"/>
              </w:tcPr>
              <w:p w14:paraId="14CDE604"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792.3</w:t>
                </w:r>
              </w:p>
            </w:tc>
            <w:tc>
              <w:tcPr>
                <w:tcW w:w="1100" w:type="dxa"/>
              </w:tcPr>
              <w:p w14:paraId="39FDDC0E"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Best</w:t>
                </w:r>
              </w:p>
            </w:tc>
          </w:tr>
          <w:tr w:rsidR="001D3AD9" w14:paraId="335C0BCE" w14:textId="77777777" w:rsidTr="00AD20A1">
            <w:trPr>
              <w:trHeight w:val="515"/>
            </w:trPr>
            <w:tc>
              <w:tcPr>
                <w:tcW w:w="1370" w:type="dxa"/>
              </w:tcPr>
              <w:p w14:paraId="3C795C1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 – Blinds</w:t>
                </w:r>
              </w:p>
            </w:tc>
            <w:tc>
              <w:tcPr>
                <w:tcW w:w="2075" w:type="dxa"/>
              </w:tcPr>
              <w:p w14:paraId="16CF254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1,600</w:t>
                </w:r>
              </w:p>
            </w:tc>
            <w:tc>
              <w:tcPr>
                <w:tcW w:w="1415" w:type="dxa"/>
              </w:tcPr>
              <w:p w14:paraId="23D66B8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742.7</w:t>
                </w:r>
              </w:p>
            </w:tc>
            <w:tc>
              <w:tcPr>
                <w:tcW w:w="1100" w:type="dxa"/>
              </w:tcPr>
              <w:p w14:paraId="73E856EF"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Accept</w:t>
                </w:r>
              </w:p>
            </w:tc>
          </w:tr>
        </w:tbl>
        <w:p w14:paraId="6D3DB6C6" w14:textId="77777777" w:rsidR="001D3AD9" w:rsidRDefault="001D3AD9" w:rsidP="001D3AD9">
          <w:pPr>
            <w:pStyle w:val="Heading2"/>
          </w:pPr>
          <w:bookmarkStart w:id="46" w:name="_Toc218960038"/>
        </w:p>
        <w:p w14:paraId="7399BB12" w14:textId="77777777" w:rsidR="001D3AD9" w:rsidRDefault="001D3AD9" w:rsidP="001D3AD9">
          <w:pPr>
            <w:pStyle w:val="Heading2"/>
          </w:pPr>
          <w:bookmarkStart w:id="47" w:name="_Toc219044021"/>
          <w:r>
            <w:t>4. Internal Rate of Return (IRR)</w:t>
          </w:r>
          <w:bookmarkEnd w:id="46"/>
          <w:bookmarkEnd w:id="47"/>
        </w:p>
        <w:p w14:paraId="6BAA862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investment option was determined as the one with the Highest Net Present Value; in this case, it is the best option, so the necessary calculations were performed on the Internet Sales, which shows the best </w:t>
          </w:r>
          <w:proofErr w:type="spellStart"/>
          <w:r>
            <w:rPr>
              <w:rFonts w:ascii="Times New Roman" w:eastAsia="Times New Roman" w:hAnsi="Times New Roman" w:cs="Times New Roman"/>
              <w:sz w:val="24"/>
              <w:szCs w:val="24"/>
            </w:rPr>
            <w:t>investmentchoice</w:t>
          </w:r>
          <w:proofErr w:type="spellEnd"/>
          <w:r>
            <w:rPr>
              <w:rFonts w:ascii="Times New Roman" w:eastAsia="Times New Roman" w:hAnsi="Times New Roman" w:cs="Times New Roman"/>
              <w:sz w:val="24"/>
              <w:szCs w:val="24"/>
            </w:rPr>
            <w:t xml:space="preserve"> as the name of the option is Option 2. The IRR rate is the discounted rate at which the NPV of a project reduces to zero, and what is expected in the form of the project.</w:t>
          </w:r>
        </w:p>
        <w:p w14:paraId="07E9F75E" w14:textId="77777777" w:rsidR="001D3AD9" w:rsidRDefault="001D3AD9" w:rsidP="001D3AD9">
          <w:pPr>
            <w:spacing w:line="360" w:lineRule="auto"/>
            <w:jc w:val="both"/>
            <w:rPr>
              <w:rFonts w:ascii="Times New Roman" w:eastAsia="Times New Roman" w:hAnsi="Times New Roman" w:cs="Times New Roman"/>
              <w:sz w:val="24"/>
              <w:szCs w:val="24"/>
            </w:rPr>
          </w:pPr>
        </w:p>
        <w:p w14:paraId="79A633AE" w14:textId="77777777" w:rsidR="000367E4" w:rsidRDefault="000367E4" w:rsidP="001D3AD9">
          <w:pPr>
            <w:spacing w:before="240" w:after="40" w:line="360" w:lineRule="auto"/>
            <w:jc w:val="both"/>
            <w:rPr>
              <w:rFonts w:ascii="Times New Roman" w:eastAsia="Times New Roman" w:hAnsi="Times New Roman" w:cs="Times New Roman"/>
              <w:sz w:val="24"/>
              <w:szCs w:val="24"/>
            </w:rPr>
          </w:pPr>
        </w:p>
        <w:p w14:paraId="0956E57B" w14:textId="77777777" w:rsidR="000367E4" w:rsidRDefault="000367E4" w:rsidP="001D3AD9">
          <w:pPr>
            <w:spacing w:before="240" w:after="40" w:line="360" w:lineRule="auto"/>
            <w:jc w:val="both"/>
            <w:rPr>
              <w:rFonts w:ascii="Times New Roman" w:eastAsia="Times New Roman" w:hAnsi="Times New Roman" w:cs="Times New Roman"/>
              <w:sz w:val="24"/>
              <w:szCs w:val="24"/>
            </w:rPr>
          </w:pPr>
        </w:p>
        <w:p w14:paraId="6EC13AA5" w14:textId="77777777" w:rsidR="000367E4" w:rsidRDefault="000367E4" w:rsidP="001D3AD9">
          <w:pPr>
            <w:spacing w:before="240" w:after="40" w:line="360" w:lineRule="auto"/>
            <w:jc w:val="both"/>
            <w:rPr>
              <w:rFonts w:ascii="Times New Roman" w:eastAsia="Times New Roman" w:hAnsi="Times New Roman" w:cs="Times New Roman"/>
              <w:sz w:val="24"/>
              <w:szCs w:val="24"/>
            </w:rPr>
          </w:pPr>
        </w:p>
        <w:p w14:paraId="23D0153D" w14:textId="3601AF13" w:rsidR="001D3AD9" w:rsidRDefault="001D3AD9" w:rsidP="001D3AD9">
          <w:pPr>
            <w:spacing w:before="240" w:after="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IRR Calculation for Option B</w:t>
          </w:r>
        </w:p>
        <w:p w14:paraId="00CB836E" w14:textId="77777777" w:rsidR="001D3AD9" w:rsidRPr="009F06E2" w:rsidRDefault="001D3AD9" w:rsidP="001D3AD9">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After-tax cash flows (£000):</w:t>
          </w:r>
        </w:p>
        <w:tbl>
          <w:tblPr>
            <w:tblStyle w:val="TableGrid"/>
            <w:tblW w:w="5085" w:type="dxa"/>
            <w:jc w:val="center"/>
            <w:tblLayout w:type="fixed"/>
            <w:tblLook w:val="0600" w:firstRow="0" w:lastRow="0" w:firstColumn="0" w:lastColumn="0" w:noHBand="1" w:noVBand="1"/>
          </w:tblPr>
          <w:tblGrid>
            <w:gridCol w:w="3775"/>
            <w:gridCol w:w="1310"/>
          </w:tblGrid>
          <w:tr w:rsidR="001D3AD9" w14:paraId="3DAC177C" w14:textId="77777777" w:rsidTr="00AD20A1">
            <w:trPr>
              <w:trHeight w:val="515"/>
              <w:jc w:val="center"/>
            </w:trPr>
            <w:tc>
              <w:tcPr>
                <w:tcW w:w="3775" w:type="dxa"/>
              </w:tcPr>
              <w:p w14:paraId="1A7DC444"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Year</w:t>
                </w:r>
              </w:p>
            </w:tc>
            <w:tc>
              <w:tcPr>
                <w:tcW w:w="1310" w:type="dxa"/>
              </w:tcPr>
              <w:p w14:paraId="65DF2C1C"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Cash Flow</w:t>
                </w:r>
              </w:p>
            </w:tc>
          </w:tr>
          <w:tr w:rsidR="001D3AD9" w14:paraId="61303895" w14:textId="77777777" w:rsidTr="00AD20A1">
            <w:trPr>
              <w:trHeight w:val="515"/>
              <w:jc w:val="center"/>
            </w:trPr>
            <w:tc>
              <w:tcPr>
                <w:tcW w:w="3775" w:type="dxa"/>
              </w:tcPr>
              <w:p w14:paraId="0E0DC206"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310" w:type="dxa"/>
              </w:tcPr>
              <w:p w14:paraId="40D908B7"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1D3AD9" w14:paraId="29BB1EFB" w14:textId="77777777" w:rsidTr="00AD20A1">
            <w:trPr>
              <w:trHeight w:val="515"/>
              <w:jc w:val="center"/>
            </w:trPr>
            <w:tc>
              <w:tcPr>
                <w:tcW w:w="3775" w:type="dxa"/>
              </w:tcPr>
              <w:p w14:paraId="11F79FBF"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310" w:type="dxa"/>
              </w:tcPr>
              <w:p w14:paraId="63B82047"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350</w:t>
                </w:r>
              </w:p>
            </w:tc>
          </w:tr>
          <w:tr w:rsidR="001D3AD9" w14:paraId="15DF036B" w14:textId="77777777" w:rsidTr="00AD20A1">
            <w:trPr>
              <w:trHeight w:val="515"/>
              <w:jc w:val="center"/>
            </w:trPr>
            <w:tc>
              <w:tcPr>
                <w:tcW w:w="3775" w:type="dxa"/>
              </w:tcPr>
              <w:p w14:paraId="0AA05F33"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310" w:type="dxa"/>
              </w:tcPr>
              <w:p w14:paraId="4570DD1A"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387.5</w:t>
                </w:r>
              </w:p>
            </w:tc>
          </w:tr>
          <w:tr w:rsidR="001D3AD9" w14:paraId="6BCC0FD8" w14:textId="77777777" w:rsidTr="00AD20A1">
            <w:trPr>
              <w:trHeight w:val="515"/>
              <w:jc w:val="center"/>
            </w:trPr>
            <w:tc>
              <w:tcPr>
                <w:tcW w:w="3775" w:type="dxa"/>
              </w:tcPr>
              <w:p w14:paraId="2792D299"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310" w:type="dxa"/>
              </w:tcPr>
              <w:p w14:paraId="46A6104C"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590</w:t>
                </w:r>
              </w:p>
            </w:tc>
          </w:tr>
          <w:tr w:rsidR="001D3AD9" w14:paraId="3F041D14" w14:textId="77777777" w:rsidTr="00AD20A1">
            <w:trPr>
              <w:trHeight w:val="515"/>
              <w:jc w:val="center"/>
            </w:trPr>
            <w:tc>
              <w:tcPr>
                <w:tcW w:w="3775" w:type="dxa"/>
              </w:tcPr>
              <w:p w14:paraId="0E88C250"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310" w:type="dxa"/>
              </w:tcPr>
              <w:p w14:paraId="2F933FD2"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785</w:t>
                </w:r>
              </w:p>
            </w:tc>
          </w:tr>
        </w:tbl>
        <w:p w14:paraId="1BDC4E2D" w14:textId="77777777" w:rsidR="001D3AD9" w:rsidRDefault="001D3AD9" w:rsidP="001D3AD9">
          <w:pPr>
            <w:spacing w:before="240" w:after="240" w:line="360" w:lineRule="auto"/>
            <w:jc w:val="both"/>
            <w:rPr>
              <w:rFonts w:ascii="Times New Roman" w:eastAsia="Times New Roman" w:hAnsi="Times New Roman" w:cs="Times New Roman"/>
              <w:sz w:val="24"/>
              <w:szCs w:val="24"/>
            </w:rPr>
          </w:pPr>
        </w:p>
        <w:tbl>
          <w:tblPr>
            <w:tblStyle w:val="TableGrid"/>
            <w:tblW w:w="4860" w:type="dxa"/>
            <w:jc w:val="center"/>
            <w:tblLayout w:type="fixed"/>
            <w:tblLook w:val="0600" w:firstRow="0" w:lastRow="0" w:firstColumn="0" w:lastColumn="0" w:noHBand="1" w:noVBand="1"/>
          </w:tblPr>
          <w:tblGrid>
            <w:gridCol w:w="3030"/>
            <w:gridCol w:w="1830"/>
          </w:tblGrid>
          <w:tr w:rsidR="001D3AD9" w14:paraId="4115E844" w14:textId="77777777" w:rsidTr="00AD20A1">
            <w:trPr>
              <w:trHeight w:val="515"/>
              <w:jc w:val="center"/>
            </w:trPr>
            <w:tc>
              <w:tcPr>
                <w:tcW w:w="3030" w:type="dxa"/>
              </w:tcPr>
              <w:p w14:paraId="6DAFD9E1"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Discount Rate</w:t>
                </w:r>
              </w:p>
            </w:tc>
            <w:tc>
              <w:tcPr>
                <w:tcW w:w="1830" w:type="dxa"/>
              </w:tcPr>
              <w:p w14:paraId="0E467C29"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NPV (£000)</w:t>
                </w:r>
              </w:p>
            </w:tc>
          </w:tr>
          <w:tr w:rsidR="001D3AD9" w14:paraId="0FD23401" w14:textId="77777777" w:rsidTr="00AD20A1">
            <w:trPr>
              <w:trHeight w:val="515"/>
              <w:jc w:val="center"/>
            </w:trPr>
            <w:tc>
              <w:tcPr>
                <w:tcW w:w="3030" w:type="dxa"/>
              </w:tcPr>
              <w:p w14:paraId="007C5B76"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830" w:type="dxa"/>
              </w:tcPr>
              <w:p w14:paraId="3DCD80C7"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+214</w:t>
                </w:r>
              </w:p>
            </w:tc>
          </w:tr>
          <w:tr w:rsidR="001D3AD9" w14:paraId="122AD6D4" w14:textId="77777777" w:rsidTr="00AD20A1">
            <w:trPr>
              <w:trHeight w:val="515"/>
              <w:jc w:val="center"/>
            </w:trPr>
            <w:tc>
              <w:tcPr>
                <w:tcW w:w="3030" w:type="dxa"/>
              </w:tcPr>
              <w:p w14:paraId="0E21C3E9"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1830" w:type="dxa"/>
              </w:tcPr>
              <w:p w14:paraId="4065884D"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–92</w:t>
                </w:r>
              </w:p>
            </w:tc>
          </w:tr>
        </w:tbl>
        <w:p w14:paraId="1080493A" w14:textId="77777777" w:rsidR="001D3AD9" w:rsidRDefault="001D3AD9" w:rsidP="001D3AD9">
          <w:pPr>
            <w:spacing w:before="240" w:after="240" w:line="360" w:lineRule="auto"/>
            <w:jc w:val="both"/>
            <w:rPr>
              <w:rFonts w:ascii="Times New Roman" w:eastAsia="Times New Roman" w:hAnsi="Times New Roman" w:cs="Times New Roman"/>
              <w:sz w:val="24"/>
              <w:szCs w:val="24"/>
            </w:rPr>
          </w:pPr>
          <m:oMathPara>
            <m:oMath>
              <m:r>
                <w:rPr>
                  <w:rFonts w:ascii="Cambria Math" w:eastAsia="Times New Roman" w:hAnsi="Cambria Math" w:cs="Times New Roman"/>
                  <w:sz w:val="24"/>
                  <w:szCs w:val="24"/>
                </w:rPr>
                <m:t>IRR= 20% + (</m:t>
              </m:r>
              <m:f>
                <m:fPr>
                  <m:ctrlPr>
                    <w:rPr>
                      <w:rFonts w:ascii="Cambria Math" w:eastAsia="Times New Roman" w:hAnsi="Cambria Math" w:cs="Times New Roman"/>
                      <w:sz w:val="24"/>
                      <w:szCs w:val="24"/>
                    </w:rPr>
                  </m:ctrlPr>
                </m:fPr>
                <m:num>
                  <m:r>
                    <w:rPr>
                      <w:rFonts w:ascii="Cambria Math" w:eastAsia="Times New Roman" w:hAnsi="Cambria Math" w:cs="Times New Roman"/>
                      <w:sz w:val="24"/>
                      <w:szCs w:val="24"/>
                    </w:rPr>
                    <m:t>214</m:t>
                  </m:r>
                </m:num>
                <m:den>
                  <m:r>
                    <w:rPr>
                      <w:rFonts w:ascii="Cambria Math" w:eastAsia="Times New Roman" w:hAnsi="Cambria Math" w:cs="Times New Roman"/>
                      <w:sz w:val="24"/>
                      <w:szCs w:val="24"/>
                    </w:rPr>
                    <m:t>214+92</m:t>
                  </m:r>
                </m:den>
              </m:f>
              <m:r>
                <w:rPr>
                  <w:rFonts w:ascii="Cambria Math" w:eastAsia="Times New Roman" w:hAnsi="Cambria Math" w:cs="Times New Roman"/>
                  <w:sz w:val="24"/>
                  <w:szCs w:val="24"/>
                </w:rPr>
                <m:t>)× (30%-20%) ≈27%</m:t>
              </m:r>
            </m:oMath>
          </m:oMathPara>
        </w:p>
        <w:p w14:paraId="2485F11E" w14:textId="77777777" w:rsidR="001D3AD9" w:rsidRDefault="001D3AD9" w:rsidP="001D3AD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Comparison with Cost of Capital</w:t>
          </w:r>
        </w:p>
        <w:p w14:paraId="417FC478"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of capital of Westward Plc is 6%. Given that the IRR of the project stands at around 27, which is way higher than 6, the rate of the investment is way better than that required by the company. This means that it is a financially appealing choice and adds a lot of value, which makes the adoption of Option B overwhelming.</w:t>
          </w:r>
        </w:p>
        <w:p w14:paraId="5DA10EC0" w14:textId="77777777" w:rsidR="001D3AD9" w:rsidRDefault="001D3AD9" w:rsidP="001D3AD9">
          <w:pPr>
            <w:pStyle w:val="Heading2"/>
          </w:pPr>
          <w:bookmarkStart w:id="48" w:name="_Toc218960039"/>
          <w:bookmarkStart w:id="49" w:name="_Toc219044022"/>
          <w:r>
            <w:lastRenderedPageBreak/>
            <w:t>5. Interpretation for Management</w:t>
          </w:r>
          <w:bookmarkEnd w:id="48"/>
          <w:bookmarkEnd w:id="49"/>
        </w:p>
        <w:p w14:paraId="06BFCFD1"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Net Present Value (NPV) technique is considered the most efficient method of investment appraisal since the growth of shareholder wealth of a specific project is directly determined. NPV brings in both the time value of money and the risk of long-term projects by discounting the cash flows of the future at the cost of capital that incurs business operations, since the management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compare an investment on a similar economic basis. The current business landscape is uncertain and challenging, with companies being at risk of technological disruption, sustainability pressure, and regulatory pressures. NPV offers a logical ground on which companies invest in the project that would optimise value in the long term (Larsson, 2025). This is especially critical in strategic investments because NPV assists boards in determining the expansion projects that are likely to operate in or out of competitive positioning and financial performance.</w:t>
          </w:r>
        </w:p>
        <w:p w14:paraId="07944644" w14:textId="77777777" w:rsidR="001D3AD9" w:rsidRDefault="001D3AD9" w:rsidP="001D3AD9">
          <w:pPr>
            <w:spacing w:line="360" w:lineRule="auto"/>
            <w:jc w:val="both"/>
            <w:rPr>
              <w:rFonts w:ascii="Times New Roman" w:eastAsia="Times New Roman" w:hAnsi="Times New Roman" w:cs="Times New Roman"/>
              <w:sz w:val="24"/>
              <w:szCs w:val="24"/>
            </w:rPr>
          </w:pPr>
        </w:p>
        <w:p w14:paraId="5E58612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the theoretical merits of NPV, payback period, and Accounting Rate of Return (ARR) remain an essential part of investment decisions that are still made by managers. This is because the techniques are straightforward, natural, and expressible. Payback is interested in the recovery of an investment cost in the shortest possible time and is appealing in a volatile environment where liquidity, cash flow risk, and economic instability are also of interest to the firms making the investments. This applies particularly in industries that are vulnerable to the swift technological transformation and heavy investment in research and development, where managers are more inclined to make investments with rapid cash returns (</w:t>
          </w:r>
          <w:proofErr w:type="spellStart"/>
          <w:r>
            <w:rPr>
              <w:rFonts w:ascii="Times New Roman" w:eastAsia="Times New Roman" w:hAnsi="Times New Roman" w:cs="Times New Roman"/>
              <w:sz w:val="24"/>
              <w:szCs w:val="24"/>
            </w:rPr>
            <w:t>Mökander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p w14:paraId="7F946684" w14:textId="77777777" w:rsidR="001D3AD9" w:rsidRDefault="001D3AD9" w:rsidP="001D3AD9">
          <w:pPr>
            <w:spacing w:line="360" w:lineRule="auto"/>
            <w:jc w:val="both"/>
            <w:rPr>
              <w:rFonts w:ascii="Times New Roman" w:eastAsia="Times New Roman" w:hAnsi="Times New Roman" w:cs="Times New Roman"/>
              <w:sz w:val="24"/>
              <w:szCs w:val="24"/>
            </w:rPr>
          </w:pPr>
        </w:p>
        <w:p w14:paraId="7B2DC31F"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ARR, on the other hand, deals with the accounting profits and not cash flow, and therefore it is more acceptable by the managers who measure performance based on financial statements and targets of profitability. ARR is widely used even though it disregards the time value of money and can be biased in accordance with accounting policies, but it results in investment decision attribution of an accounting report and management performance measurements (</w:t>
          </w:r>
          <w:proofErr w:type="spellStart"/>
          <w:r>
            <w:rPr>
              <w:rFonts w:ascii="Times New Roman" w:eastAsia="Times New Roman" w:hAnsi="Times New Roman" w:cs="Times New Roman"/>
              <w:sz w:val="24"/>
              <w:szCs w:val="24"/>
            </w:rPr>
            <w:t>Boige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Thus, NPV is the leading indicator of strategic decisions, though payback and ARR remain to play the supporting role as they also help to eliminate concerns about liquidity, risk, and managerial responsibility.</w:t>
          </w:r>
        </w:p>
        <w:p w14:paraId="25A36F21" w14:textId="77777777" w:rsidR="001D3AD9" w:rsidRDefault="001D3AD9" w:rsidP="001D3AD9">
          <w:pPr>
            <w:pStyle w:val="Heading2"/>
          </w:pPr>
          <w:bookmarkStart w:id="50" w:name="_Toc218960040"/>
          <w:bookmarkStart w:id="51" w:name="_Toc219044023"/>
          <w:r>
            <w:lastRenderedPageBreak/>
            <w:t>6. Qualitative Factors</w:t>
          </w:r>
          <w:bookmarkEnd w:id="50"/>
          <w:bookmarkEnd w:id="51"/>
        </w:p>
        <w:p w14:paraId="09EB0A00"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financial appraisal, Westward Plc should put into consideration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qualitative considerations that may affect the effectiveness of its expansion strategy. The market risks are also an important issue, and shifts in consumer expenditure, inflation, and economic uncertainty may also influence the demand for home furnishing products. The growing focus on sustainability and responsible operations also influences the choice of customers and investor trust, and environmental and social activity turns out to be more significant to competitive attractiveness in the long term (Rantanen, 2022).</w:t>
          </w:r>
        </w:p>
        <w:p w14:paraId="18EB60A5"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availability of online retail change has its opportunities and threats. Although implementing an e-commerce platform enables Westward to reach more customers as well as minimise reliance on brick-and-mortar shops, it necessitates investment in digital infrastructure, logistics, and hacking security. Companies that do not embrace the digital technology of selling their products are likely to be outdated in a market that is ever getting more competitive (</w:t>
          </w:r>
          <w:proofErr w:type="spellStart"/>
          <w:r>
            <w:rPr>
              <w:rFonts w:ascii="Times New Roman" w:eastAsia="Times New Roman" w:hAnsi="Times New Roman" w:cs="Times New Roman"/>
              <w:sz w:val="24"/>
              <w:szCs w:val="24"/>
            </w:rPr>
            <w:t>Grițco</w:t>
          </w:r>
          <w:proofErr w:type="spellEnd"/>
          <w:r>
            <w:rPr>
              <w:rFonts w:ascii="Times New Roman" w:eastAsia="Times New Roman" w:hAnsi="Times New Roman" w:cs="Times New Roman"/>
              <w:sz w:val="24"/>
              <w:szCs w:val="24"/>
            </w:rPr>
            <w:t>, 2022).</w:t>
          </w:r>
        </w:p>
        <w:p w14:paraId="18E747B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home decor and furnishing market is competitive, and both their large retailers and their low retailers through online sellers </w:t>
          </w:r>
          <w:proofErr w:type="gramStart"/>
          <w:r>
            <w:rPr>
              <w:rFonts w:ascii="Times New Roman" w:eastAsia="Times New Roman" w:hAnsi="Times New Roman" w:cs="Times New Roman"/>
              <w:sz w:val="24"/>
              <w:szCs w:val="24"/>
            </w:rPr>
            <w:t>compete with each other</w:t>
          </w:r>
          <w:proofErr w:type="gramEnd"/>
          <w:r>
            <w:rPr>
              <w:rFonts w:ascii="Times New Roman" w:eastAsia="Times New Roman" w:hAnsi="Times New Roman" w:cs="Times New Roman"/>
              <w:sz w:val="24"/>
              <w:szCs w:val="24"/>
            </w:rPr>
            <w:t xml:space="preserve"> in terms of price, product differentiation, and product delivery speed. This puts a strain on the margins and shows the necessity of effective branding and customer services (</w:t>
          </w:r>
          <w:proofErr w:type="spellStart"/>
          <w:r>
            <w:rPr>
              <w:rFonts w:ascii="Times New Roman" w:eastAsia="Times New Roman" w:hAnsi="Times New Roman" w:cs="Times New Roman"/>
              <w:sz w:val="24"/>
              <w:szCs w:val="24"/>
            </w:rPr>
            <w:t>Muzzioli</w:t>
          </w:r>
          <w:proofErr w:type="spellEnd"/>
          <w:r>
            <w:rPr>
              <w:rFonts w:ascii="Times New Roman" w:eastAsia="Times New Roman" w:hAnsi="Times New Roman" w:cs="Times New Roman"/>
              <w:sz w:val="24"/>
              <w:szCs w:val="24"/>
            </w:rPr>
            <w:t xml:space="preserve"> and Vitale, 2025).</w:t>
          </w:r>
        </w:p>
        <w:p w14:paraId="7BB75D5E"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 there are operational issues like supply chain management, labour skills, and production productivity as well to consider the factors that may result in increased expenditure or service failure with the expansion. These risks can be combated with the help of strategic alliances and innovation to promote sustainable development (</w:t>
          </w:r>
          <w:proofErr w:type="spellStart"/>
          <w:r>
            <w:rPr>
              <w:rFonts w:ascii="Times New Roman" w:eastAsia="Times New Roman" w:hAnsi="Times New Roman" w:cs="Times New Roman"/>
              <w:sz w:val="24"/>
              <w:szCs w:val="24"/>
            </w:rPr>
            <w:t>Iazzolino</w:t>
          </w:r>
          <w:proofErr w:type="spellEnd"/>
          <w:r>
            <w:rPr>
              <w:rFonts w:ascii="Times New Roman" w:eastAsia="Times New Roman" w:hAnsi="Times New Roman" w:cs="Times New Roman"/>
              <w:sz w:val="24"/>
              <w:szCs w:val="24"/>
            </w:rPr>
            <w:t xml:space="preserve"> and Bozzo, 2023).</w:t>
          </w:r>
        </w:p>
        <w:p w14:paraId="4485E532" w14:textId="77777777" w:rsidR="001D3AD9" w:rsidRDefault="001D3AD9" w:rsidP="001D3AD9">
          <w:pPr>
            <w:pStyle w:val="Heading2"/>
          </w:pPr>
          <w:bookmarkStart w:id="52" w:name="_Toc218960041"/>
          <w:bookmarkStart w:id="53" w:name="_Toc219044024"/>
          <w:r>
            <w:t>7. Capital Rationing</w:t>
          </w:r>
          <w:bookmarkEnd w:id="52"/>
          <w:bookmarkEnd w:id="53"/>
        </w:p>
        <w:p w14:paraId="5FB6875A"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Capital rationing is when a company has a limited amount of funds available, and it needs to make decisions about which mix of projects will maximise the total shareholder value. Westward Plc has a capital budget, in this case of 2.5 million, which is not enough to fully finance all three projects since this investment will amount to 3.2 million. The Profitability Index (PI) is applied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find out the best combination of investments. PI is a ratio of the present value of cash inflows to the present value of cash investments, which aims at determining the value of cash inflows per pound invested in the future. A project whose PI is </w:t>
          </w:r>
          <w:r>
            <w:rPr>
              <w:rFonts w:ascii="Times New Roman" w:eastAsia="Times New Roman" w:hAnsi="Times New Roman" w:cs="Times New Roman"/>
              <w:sz w:val="24"/>
              <w:szCs w:val="24"/>
            </w:rPr>
            <w:lastRenderedPageBreak/>
            <w:t>greater in value would produce a larger value with respect to capital, and it thus must be given priority.</w:t>
          </w:r>
        </w:p>
        <w:p w14:paraId="78737FE1"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it is observed in the NPV analysis, Option A has a high PI and then B, leaving C, which will be the least, given its high capital requirement. Within the constraint of less than £2.5 million, Westward Plc ought to invest fully in both Option A (£0.6m) and B (£1.0m) and leave the remaining £0.9m. This amount of capital left could then be invested in a percentage of Option C so that the company is able to gain more, but not break its budget. This will make the total NPV of the investment programme as high as possible by allocating funds to the most effective investment projects, which coincides with optimal portfolio selection theory (Dadzie-Dennis</w:t>
          </w:r>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 xml:space="preserve">2025). PI allows rational allocation of limited capital; the same technique is applicable in data-driven investment and decision support systems (Wolters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w:t>
          </w:r>
        </w:p>
        <w:p w14:paraId="01FDC212" w14:textId="77777777" w:rsidR="001D3AD9" w:rsidRDefault="001D3AD9" w:rsidP="001D3AD9">
          <w:pPr>
            <w:pStyle w:val="Heading2"/>
          </w:pPr>
          <w:bookmarkStart w:id="54" w:name="_Toc218960042"/>
          <w:bookmarkStart w:id="55" w:name="_Toc219044025"/>
          <w:r>
            <w:t>8. Financing the Investment Programmed</w:t>
          </w:r>
          <w:bookmarkEnd w:id="54"/>
          <w:bookmarkEnd w:id="55"/>
        </w:p>
        <w:p w14:paraId="7F0ACC3B"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Westward Plc will be able to fund its desired investment programme using retained earnings, debt, or equity, with various financial and strategic consequences. Retained earnings rank as the cheapest form of finance since they do not attract interest or dilution of ownership. The utilisation of internal funds is also an indicator of financial strength and enables the management to have complete control of the business. Nevertheless, the high dependence rate on retained earnings can create a constraint on dividend payment and satisfaction of shareholders (Pisani, 2023).</w:t>
          </w:r>
        </w:p>
        <w:p w14:paraId="5C49ED45"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Debt financing has the advantage of deductible interest, and shareholders can continue owning the projects; therefore, it is an option to be considered when projects procure constant cash flows. However, increased borrowing leads to financial risk and may affect the firm be affected by the changes in interest rates and may have liquidity issues, particularly any time there is uncertainty in the economy (Ray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1B2047F6"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Equity financing minimises the risk involved in finances since one is not required to pay up anything in the form of capital or interest. Nevertheless, the dilution of current shareholders by making new issues of shares can subsequently indicate that the company cannot fund growth internally, which is not a good sign in the market (Griffiths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w:t>
          </w:r>
        </w:p>
        <w:p w14:paraId="40755E51" w14:textId="77777777" w:rsidR="001D3AD9" w:rsidRDefault="001D3AD9" w:rsidP="001D3A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risky capital structure to finance the Westward Plc would be a balanced capital and moderate debt, which is facilitated by a limited equity issue, where applicable. This will reduce </w:t>
          </w:r>
          <w:r>
            <w:rPr>
              <w:rFonts w:ascii="Times New Roman" w:eastAsia="Times New Roman" w:hAnsi="Times New Roman" w:cs="Times New Roman"/>
              <w:sz w:val="24"/>
              <w:szCs w:val="24"/>
            </w:rPr>
            <w:lastRenderedPageBreak/>
            <w:t xml:space="preserve">the cost of financing and retain financial flexibility and long-term sustainable growth (Cohen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p w14:paraId="71B01ADF" w14:textId="77777777" w:rsidR="001D3AD9" w:rsidRDefault="001D3AD9" w:rsidP="001D3AD9">
          <w:pPr>
            <w:pStyle w:val="Heading2"/>
          </w:pPr>
          <w:bookmarkStart w:id="56" w:name="_Toc218960043"/>
          <w:bookmarkStart w:id="57" w:name="_Toc219044026"/>
          <w:r>
            <w:t>9. Conclusion</w:t>
          </w:r>
          <w:bookmarkEnd w:id="56"/>
          <w:bookmarkEnd w:id="57"/>
        </w:p>
        <w:p w14:paraId="0C03C7DD" w14:textId="77777777" w:rsidR="001D3AD9" w:rsidRDefault="001D3AD9" w:rsidP="001D3AD9">
          <w:pPr>
            <w:spacing w:line="360" w:lineRule="auto"/>
            <w:jc w:val="both"/>
          </w:pPr>
          <w:r>
            <w:rPr>
              <w:rFonts w:ascii="Times New Roman" w:eastAsia="Times New Roman" w:hAnsi="Times New Roman" w:cs="Times New Roman"/>
              <w:sz w:val="24"/>
              <w:szCs w:val="24"/>
            </w:rPr>
            <w:t xml:space="preserve">The analysis of the investment appraisal reveals that all three expansion options are economical as they yield positive Net Present Values. Nevertheless, it is the most appealing (option B), the option of Internet Sales, that provides the highest NPV and IRR of about 27 percent, and this is much higher than the cost of capital of the company of 6 percent. This implies that it has the highest potential of generating shareholder value. In the case of capital being rationed, a perfect combination of projects will maximise total returns even more by efficient allocation of funds.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finance the investment programme, Westward Plc would be recommended to employ a balanced financing strategy through medium-debt and retained earnings. In general, the well-crafted and adequately financed expansion plan will enhance the competitiveness and profitability of Westward in the long run.</w:t>
          </w:r>
          <w:r>
            <w:br w:type="page"/>
          </w:r>
        </w:p>
        <w:p w14:paraId="08171DAA" w14:textId="77777777" w:rsidR="001D3AD9" w:rsidRPr="009F06E2" w:rsidRDefault="001D3AD9" w:rsidP="001D3AD9">
          <w:pPr>
            <w:pStyle w:val="Heading1"/>
          </w:pPr>
          <w:bookmarkStart w:id="58" w:name="_Toc219044027"/>
          <w:r>
            <w:lastRenderedPageBreak/>
            <w:t>References</w:t>
          </w:r>
          <w:bookmarkEnd w:id="58"/>
          <w:r>
            <w:t xml:space="preserve"> </w:t>
          </w:r>
        </w:p>
        <w:p w14:paraId="79D9B4F5" w14:textId="77777777" w:rsidR="001D3AD9" w:rsidRDefault="001D3AD9" w:rsidP="001D3AD9">
          <w:pPr>
            <w:jc w:val="both"/>
          </w:pPr>
        </w:p>
      </w:sdtContent>
    </w:sdt>
    <w:p w14:paraId="30000FAB"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Alber, N., Abdelrhim, M. and </w:t>
      </w:r>
      <w:proofErr w:type="spellStart"/>
      <w:r>
        <w:rPr>
          <w:rFonts w:ascii="Times New Roman" w:eastAsia="Times New Roman" w:hAnsi="Times New Roman" w:cs="Times New Roman"/>
          <w:sz w:val="24"/>
          <w:szCs w:val="24"/>
          <w:highlight w:val="white"/>
        </w:rPr>
        <w:t>Farouh</w:t>
      </w:r>
      <w:proofErr w:type="spellEnd"/>
      <w:r>
        <w:rPr>
          <w:rFonts w:ascii="Times New Roman" w:eastAsia="Times New Roman" w:hAnsi="Times New Roman" w:cs="Times New Roman"/>
          <w:sz w:val="24"/>
          <w:szCs w:val="24"/>
          <w:highlight w:val="white"/>
        </w:rPr>
        <w:t xml:space="preserve">, M., 2023. COVID-19 Vaccinations: Efficacy and Financial Benefits (The Case of the Pharmaceutical Companies). </w:t>
      </w:r>
      <w:r>
        <w:rPr>
          <w:rFonts w:ascii="Times New Roman" w:eastAsia="Times New Roman" w:hAnsi="Times New Roman" w:cs="Times New Roman"/>
          <w:i/>
          <w:iCs/>
          <w:sz w:val="24"/>
          <w:szCs w:val="24"/>
        </w:rPr>
        <w:t>International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rPr>
        <w:t>(2), pp.1-54.</w:t>
      </w:r>
    </w:p>
    <w:p w14:paraId="0D65E5EC" w14:textId="77777777" w:rsidR="001D3AD9" w:rsidRDefault="001D3AD9" w:rsidP="001D3A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Bendjazia</w:t>
      </w:r>
      <w:proofErr w:type="spellEnd"/>
      <w:r>
        <w:rPr>
          <w:rFonts w:ascii="Times New Roman" w:eastAsia="Times New Roman" w:hAnsi="Times New Roman" w:cs="Times New Roman"/>
          <w:sz w:val="24"/>
          <w:szCs w:val="24"/>
          <w:highlight w:val="white"/>
        </w:rPr>
        <w:t xml:space="preserve">, N., 2023. </w:t>
      </w:r>
      <w:r>
        <w:rPr>
          <w:rFonts w:ascii="Times New Roman" w:eastAsia="Times New Roman" w:hAnsi="Times New Roman" w:cs="Times New Roman"/>
          <w:i/>
          <w:iCs/>
          <w:sz w:val="24"/>
          <w:szCs w:val="24"/>
        </w:rPr>
        <w:t>Does the capital structure impact the company performance: empirical research of the effect of financing decisions on a company’s profitability? Evidence from the UK Pharmaceutical and biotechnology sector</w:t>
      </w:r>
      <w:r>
        <w:rPr>
          <w:rFonts w:ascii="Times New Roman" w:eastAsia="Times New Roman" w:hAnsi="Times New Roman" w:cs="Times New Roman"/>
          <w:sz w:val="24"/>
          <w:szCs w:val="24"/>
        </w:rPr>
        <w:t xml:space="preserve"> (Master's thesis, University of Wales Trinity Saint David (United Kingdom)).</w:t>
      </w:r>
    </w:p>
    <w:p w14:paraId="19323733" w14:textId="77777777" w:rsidR="001D3AD9" w:rsidRDefault="001D3AD9" w:rsidP="001D3A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Beviglia</w:t>
      </w:r>
      <w:proofErr w:type="spellEnd"/>
      <w:r>
        <w:rPr>
          <w:rFonts w:ascii="Times New Roman" w:eastAsia="Times New Roman" w:hAnsi="Times New Roman" w:cs="Times New Roman"/>
          <w:sz w:val="24"/>
          <w:szCs w:val="24"/>
          <w:highlight w:val="white"/>
        </w:rPr>
        <w:t xml:space="preserve">, M., 2023. </w:t>
      </w:r>
      <w:r>
        <w:rPr>
          <w:rFonts w:ascii="Times New Roman" w:eastAsia="Times New Roman" w:hAnsi="Times New Roman" w:cs="Times New Roman"/>
          <w:i/>
          <w:iCs/>
          <w:sz w:val="24"/>
          <w:szCs w:val="24"/>
        </w:rPr>
        <w:t>Financial Fallout or Resilience? The impact of Russia-Ukraine war on European Financial Markets</w:t>
      </w:r>
      <w:r>
        <w:rPr>
          <w:rFonts w:ascii="Times New Roman" w:eastAsia="Times New Roman" w:hAnsi="Times New Roman" w:cs="Times New Roman"/>
          <w:sz w:val="24"/>
          <w:szCs w:val="24"/>
        </w:rPr>
        <w:t xml:space="preserve"> (Master's thesis, </w:t>
      </w:r>
      <w:proofErr w:type="spellStart"/>
      <w:r>
        <w:rPr>
          <w:rFonts w:ascii="Times New Roman" w:eastAsia="Times New Roman" w:hAnsi="Times New Roman" w:cs="Times New Roman"/>
          <w:sz w:val="24"/>
          <w:szCs w:val="24"/>
        </w:rPr>
        <w:t>Universidade</w:t>
      </w:r>
      <w:proofErr w:type="spellEnd"/>
      <w:r>
        <w:rPr>
          <w:rFonts w:ascii="Times New Roman" w:eastAsia="Times New Roman" w:hAnsi="Times New Roman" w:cs="Times New Roman"/>
          <w:sz w:val="24"/>
          <w:szCs w:val="24"/>
        </w:rPr>
        <w:t xml:space="preserve"> NOVA de Lisboa (Portugal)).</w:t>
      </w:r>
    </w:p>
    <w:p w14:paraId="367C564D"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Boige, V., Bouche, O., </w:t>
      </w:r>
      <w:proofErr w:type="spellStart"/>
      <w:r>
        <w:rPr>
          <w:rFonts w:ascii="Times New Roman" w:eastAsia="Times New Roman" w:hAnsi="Times New Roman" w:cs="Times New Roman"/>
          <w:sz w:val="24"/>
          <w:szCs w:val="24"/>
          <w:highlight w:val="white"/>
        </w:rPr>
        <w:t>Mulot</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Evesque</w:t>
      </w:r>
      <w:proofErr w:type="spellEnd"/>
      <w:r>
        <w:rPr>
          <w:rFonts w:ascii="Times New Roman" w:eastAsia="Times New Roman" w:hAnsi="Times New Roman" w:cs="Times New Roman"/>
          <w:sz w:val="24"/>
          <w:szCs w:val="24"/>
          <w:highlight w:val="white"/>
        </w:rPr>
        <w:t xml:space="preserve">, L., Abdelghani, M.B., Phelip, J.M., </w:t>
      </w:r>
      <w:proofErr w:type="spellStart"/>
      <w:r>
        <w:rPr>
          <w:rFonts w:ascii="Times New Roman" w:eastAsia="Times New Roman" w:hAnsi="Times New Roman" w:cs="Times New Roman"/>
          <w:sz w:val="24"/>
          <w:szCs w:val="24"/>
          <w:highlight w:val="white"/>
        </w:rPr>
        <w:t>Mineur</w:t>
      </w:r>
      <w:proofErr w:type="spellEnd"/>
      <w:r>
        <w:rPr>
          <w:rFonts w:ascii="Times New Roman" w:eastAsia="Times New Roman" w:hAnsi="Times New Roman" w:cs="Times New Roman"/>
          <w:sz w:val="24"/>
          <w:szCs w:val="24"/>
          <w:highlight w:val="white"/>
        </w:rPr>
        <w:t xml:space="preserve">, L., Galais, M.P., Villing, A.L., </w:t>
      </w:r>
      <w:proofErr w:type="spellStart"/>
      <w:r>
        <w:rPr>
          <w:rFonts w:ascii="Times New Roman" w:eastAsia="Times New Roman" w:hAnsi="Times New Roman" w:cs="Times New Roman"/>
          <w:sz w:val="24"/>
          <w:szCs w:val="24"/>
          <w:highlight w:val="white"/>
        </w:rPr>
        <w:t>Hautefeuille</w:t>
      </w:r>
      <w:proofErr w:type="spellEnd"/>
      <w:r>
        <w:rPr>
          <w:rFonts w:ascii="Times New Roman" w:eastAsia="Times New Roman" w:hAnsi="Times New Roman" w:cs="Times New Roman"/>
          <w:sz w:val="24"/>
          <w:szCs w:val="24"/>
          <w:highlight w:val="white"/>
        </w:rPr>
        <w:t xml:space="preserve">, V. and de la </w:t>
      </w:r>
      <w:proofErr w:type="spellStart"/>
      <w:r>
        <w:rPr>
          <w:rFonts w:ascii="Times New Roman" w:eastAsia="Times New Roman" w:hAnsi="Times New Roman" w:cs="Times New Roman"/>
          <w:sz w:val="24"/>
          <w:szCs w:val="24"/>
          <w:highlight w:val="white"/>
        </w:rPr>
        <w:t>Fouchardiere</w:t>
      </w:r>
      <w:proofErr w:type="spellEnd"/>
      <w:r>
        <w:rPr>
          <w:rFonts w:ascii="Times New Roman" w:eastAsia="Times New Roman" w:hAnsi="Times New Roman" w:cs="Times New Roman"/>
          <w:sz w:val="24"/>
          <w:szCs w:val="24"/>
          <w:highlight w:val="white"/>
        </w:rPr>
        <w:t xml:space="preserve">, C., 2024. 562P Acquired genomic alterations on first-line chemotherapy (CT)+ cetuximab in advanced colorectal cancer (mCRC): Circulating </w:t>
      </w:r>
      <w:proofErr w:type="spellStart"/>
      <w:r>
        <w:rPr>
          <w:rFonts w:ascii="Times New Roman" w:eastAsia="Times New Roman" w:hAnsi="Times New Roman" w:cs="Times New Roman"/>
          <w:sz w:val="24"/>
          <w:szCs w:val="24"/>
          <w:highlight w:val="white"/>
        </w:rPr>
        <w:t>tumor</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ct</w:t>
      </w:r>
      <w:proofErr w:type="spellEnd"/>
      <w:r>
        <w:rPr>
          <w:rFonts w:ascii="Times New Roman" w:eastAsia="Times New Roman" w:hAnsi="Times New Roman" w:cs="Times New Roman"/>
          <w:sz w:val="24"/>
          <w:szCs w:val="24"/>
          <w:highlight w:val="white"/>
        </w:rPr>
        <w:t xml:space="preserve">) DNA analysis of the randomized phase II trial TIME-PRODIGE-28. </w:t>
      </w:r>
      <w:r>
        <w:rPr>
          <w:rFonts w:ascii="Times New Roman" w:eastAsia="Times New Roman" w:hAnsi="Times New Roman" w:cs="Times New Roman"/>
          <w:i/>
          <w:iCs/>
          <w:sz w:val="24"/>
          <w:szCs w:val="24"/>
        </w:rPr>
        <w:t>Annals of Oncology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35</w:t>
      </w:r>
      <w:r>
        <w:rPr>
          <w:rFonts w:ascii="Times New Roman" w:eastAsia="Times New Roman" w:hAnsi="Times New Roman" w:cs="Times New Roman"/>
          <w:sz w:val="24"/>
          <w:szCs w:val="24"/>
        </w:rPr>
        <w:t>, p.S461.</w:t>
      </w:r>
    </w:p>
    <w:p w14:paraId="5B079958"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Cohen, A., </w:t>
      </w:r>
      <w:proofErr w:type="spellStart"/>
      <w:r>
        <w:rPr>
          <w:rFonts w:ascii="Times New Roman" w:eastAsia="Times New Roman" w:hAnsi="Times New Roman" w:cs="Times New Roman"/>
          <w:sz w:val="24"/>
          <w:szCs w:val="24"/>
          <w:highlight w:val="white"/>
        </w:rPr>
        <w:t>Ultee</w:t>
      </w:r>
      <w:proofErr w:type="spellEnd"/>
      <w:r>
        <w:rPr>
          <w:rFonts w:ascii="Times New Roman" w:eastAsia="Times New Roman" w:hAnsi="Times New Roman" w:cs="Times New Roman"/>
          <w:sz w:val="24"/>
          <w:szCs w:val="24"/>
          <w:highlight w:val="white"/>
        </w:rPr>
        <w:t xml:space="preserve">, R. and van Veldhoven, G., 2022. Making pharmaceutical companies report what matters about innovation. </w:t>
      </w:r>
      <w:r>
        <w:rPr>
          <w:rFonts w:ascii="Times New Roman" w:eastAsia="Times New Roman" w:hAnsi="Times New Roman" w:cs="Times New Roman"/>
          <w:i/>
          <w:iCs/>
          <w:sz w:val="24"/>
          <w:szCs w:val="24"/>
        </w:rPr>
        <w:t>British Journal of Clinical Pharmacology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88</w:t>
      </w:r>
      <w:r>
        <w:rPr>
          <w:rFonts w:ascii="Times New Roman" w:eastAsia="Times New Roman" w:hAnsi="Times New Roman" w:cs="Times New Roman"/>
          <w:sz w:val="24"/>
          <w:szCs w:val="24"/>
        </w:rPr>
        <w:t>(6), pp.2583-2587.</w:t>
      </w:r>
    </w:p>
    <w:p w14:paraId="4D92A8D9"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Dadzie-Dennis, R., Feng, M. and Hardy, M., 2025. Empirical analysis of climate smart and traditional portfolios with emphasis on metric sequencing and out of sample performance. </w:t>
      </w:r>
      <w:r>
        <w:rPr>
          <w:rFonts w:ascii="Times New Roman" w:eastAsia="Times New Roman" w:hAnsi="Times New Roman" w:cs="Times New Roman"/>
          <w:i/>
          <w:iCs/>
          <w:sz w:val="24"/>
          <w:szCs w:val="24"/>
        </w:rPr>
        <w:t>Available at SSRN 5248660</w:t>
      </w:r>
      <w:r>
        <w:rPr>
          <w:rFonts w:ascii="Times New Roman" w:eastAsia="Times New Roman" w:hAnsi="Times New Roman" w:cs="Times New Roman"/>
          <w:sz w:val="24"/>
          <w:szCs w:val="24"/>
        </w:rPr>
        <w:t>.</w:t>
      </w:r>
    </w:p>
    <w:p w14:paraId="0E646B8B" w14:textId="77777777" w:rsidR="001D3AD9" w:rsidRDefault="001D3AD9" w:rsidP="001D3A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Elsakka</w:t>
      </w:r>
      <w:proofErr w:type="spellEnd"/>
      <w:r>
        <w:rPr>
          <w:rFonts w:ascii="Times New Roman" w:eastAsia="Times New Roman" w:hAnsi="Times New Roman" w:cs="Times New Roman"/>
          <w:sz w:val="24"/>
          <w:szCs w:val="24"/>
          <w:highlight w:val="white"/>
        </w:rPr>
        <w:t xml:space="preserve">, F., </w:t>
      </w:r>
      <w:proofErr w:type="spellStart"/>
      <w:r>
        <w:rPr>
          <w:rFonts w:ascii="Times New Roman" w:eastAsia="Times New Roman" w:hAnsi="Times New Roman" w:cs="Times New Roman"/>
          <w:sz w:val="24"/>
          <w:szCs w:val="24"/>
          <w:highlight w:val="white"/>
        </w:rPr>
        <w:t>Alketbi</w:t>
      </w:r>
      <w:proofErr w:type="spellEnd"/>
      <w:r>
        <w:rPr>
          <w:rFonts w:ascii="Times New Roman" w:eastAsia="Times New Roman" w:hAnsi="Times New Roman" w:cs="Times New Roman"/>
          <w:sz w:val="24"/>
          <w:szCs w:val="24"/>
          <w:highlight w:val="white"/>
        </w:rPr>
        <w:t xml:space="preserve">, S.A., </w:t>
      </w:r>
      <w:proofErr w:type="spellStart"/>
      <w:r>
        <w:rPr>
          <w:rFonts w:ascii="Times New Roman" w:eastAsia="Times New Roman" w:hAnsi="Times New Roman" w:cs="Times New Roman"/>
          <w:sz w:val="24"/>
          <w:szCs w:val="24"/>
          <w:highlight w:val="white"/>
        </w:rPr>
        <w:t>Qanbour</w:t>
      </w:r>
      <w:proofErr w:type="spellEnd"/>
      <w:r>
        <w:rPr>
          <w:rFonts w:ascii="Times New Roman" w:eastAsia="Times New Roman" w:hAnsi="Times New Roman" w:cs="Times New Roman"/>
          <w:sz w:val="24"/>
          <w:szCs w:val="24"/>
          <w:highlight w:val="white"/>
        </w:rPr>
        <w:t xml:space="preserve">, D.S., </w:t>
      </w:r>
      <w:proofErr w:type="spellStart"/>
      <w:r>
        <w:rPr>
          <w:rFonts w:ascii="Times New Roman" w:eastAsia="Times New Roman" w:hAnsi="Times New Roman" w:cs="Times New Roman"/>
          <w:sz w:val="24"/>
          <w:szCs w:val="24"/>
          <w:highlight w:val="white"/>
        </w:rPr>
        <w:t>Alkilany</w:t>
      </w:r>
      <w:proofErr w:type="spellEnd"/>
      <w:r>
        <w:rPr>
          <w:rFonts w:ascii="Times New Roman" w:eastAsia="Times New Roman" w:hAnsi="Times New Roman" w:cs="Times New Roman"/>
          <w:sz w:val="24"/>
          <w:szCs w:val="24"/>
          <w:highlight w:val="white"/>
        </w:rPr>
        <w:t xml:space="preserve">, I. and </w:t>
      </w:r>
      <w:proofErr w:type="spellStart"/>
      <w:r>
        <w:rPr>
          <w:rFonts w:ascii="Times New Roman" w:eastAsia="Times New Roman" w:hAnsi="Times New Roman" w:cs="Times New Roman"/>
          <w:sz w:val="24"/>
          <w:szCs w:val="24"/>
          <w:highlight w:val="white"/>
        </w:rPr>
        <w:t>Nobanee</w:t>
      </w:r>
      <w:proofErr w:type="spellEnd"/>
      <w:r>
        <w:rPr>
          <w:rFonts w:ascii="Times New Roman" w:eastAsia="Times New Roman" w:hAnsi="Times New Roman" w:cs="Times New Roman"/>
          <w:sz w:val="24"/>
          <w:szCs w:val="24"/>
          <w:highlight w:val="white"/>
        </w:rPr>
        <w:t xml:space="preserve">, H., 2024. A Financial Analysis of Pfizer &amp; AstraZeneca and the Impact of Scandals on Financial Ratios. </w:t>
      </w:r>
      <w:r>
        <w:rPr>
          <w:rFonts w:ascii="Times New Roman" w:eastAsia="Times New Roman" w:hAnsi="Times New Roman" w:cs="Times New Roman"/>
          <w:i/>
          <w:iCs/>
          <w:sz w:val="24"/>
          <w:szCs w:val="24"/>
        </w:rPr>
        <w:t>Available at SSRN 5073862</w:t>
      </w:r>
      <w:r>
        <w:rPr>
          <w:rFonts w:ascii="Times New Roman" w:eastAsia="Times New Roman" w:hAnsi="Times New Roman" w:cs="Times New Roman"/>
          <w:sz w:val="24"/>
          <w:szCs w:val="24"/>
        </w:rPr>
        <w:t>.</w:t>
      </w:r>
    </w:p>
    <w:p w14:paraId="3D7E7DC0"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Griffiths, E.A., </w:t>
      </w:r>
      <w:proofErr w:type="spellStart"/>
      <w:r>
        <w:rPr>
          <w:rFonts w:ascii="Times New Roman" w:eastAsia="Times New Roman" w:hAnsi="Times New Roman" w:cs="Times New Roman"/>
          <w:sz w:val="24"/>
          <w:szCs w:val="24"/>
          <w:highlight w:val="white"/>
        </w:rPr>
        <w:t>Odelade</w:t>
      </w:r>
      <w:proofErr w:type="spellEnd"/>
      <w:r>
        <w:rPr>
          <w:rFonts w:ascii="Times New Roman" w:eastAsia="Times New Roman" w:hAnsi="Times New Roman" w:cs="Times New Roman"/>
          <w:sz w:val="24"/>
          <w:szCs w:val="24"/>
          <w:highlight w:val="white"/>
        </w:rPr>
        <w:t xml:space="preserve">, O.E., Gostkorzewicz, J. and Cordero, L., 2023. Demonstrating proof of concept for value-based agreements in Europe: two real-world cases. </w:t>
      </w:r>
      <w:r>
        <w:rPr>
          <w:rFonts w:ascii="Times New Roman" w:eastAsia="Times New Roman" w:hAnsi="Times New Roman" w:cs="Times New Roman"/>
          <w:i/>
          <w:iCs/>
          <w:sz w:val="24"/>
          <w:szCs w:val="24"/>
        </w:rPr>
        <w:t>International Journal of Technology Assessment in Health Care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39</w:t>
      </w:r>
      <w:r>
        <w:rPr>
          <w:rFonts w:ascii="Times New Roman" w:eastAsia="Times New Roman" w:hAnsi="Times New Roman" w:cs="Times New Roman"/>
          <w:sz w:val="24"/>
          <w:szCs w:val="24"/>
        </w:rPr>
        <w:t>(1), p.e30.</w:t>
      </w:r>
    </w:p>
    <w:p w14:paraId="38AB08D1" w14:textId="77777777" w:rsidR="001D3AD9" w:rsidRDefault="001D3AD9" w:rsidP="001D3A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lastRenderedPageBreak/>
        <w:t>Grițco</w:t>
      </w:r>
      <w:proofErr w:type="spellEnd"/>
      <w:r>
        <w:rPr>
          <w:rFonts w:ascii="Times New Roman" w:eastAsia="Times New Roman" w:hAnsi="Times New Roman" w:cs="Times New Roman"/>
          <w:sz w:val="24"/>
          <w:szCs w:val="24"/>
          <w:highlight w:val="white"/>
        </w:rPr>
        <w:t xml:space="preserve">, D., 2022. The Sustainability </w:t>
      </w:r>
      <w:proofErr w:type="gramStart"/>
      <w:r>
        <w:rPr>
          <w:rFonts w:ascii="Times New Roman" w:eastAsia="Times New Roman" w:hAnsi="Times New Roman" w:cs="Times New Roman"/>
          <w:sz w:val="24"/>
          <w:szCs w:val="24"/>
          <w:highlight w:val="white"/>
        </w:rPr>
        <w:t>Of</w:t>
      </w:r>
      <w:proofErr w:type="gramEnd"/>
      <w:r>
        <w:rPr>
          <w:rFonts w:ascii="Times New Roman" w:eastAsia="Times New Roman" w:hAnsi="Times New Roman" w:cs="Times New Roman"/>
          <w:sz w:val="24"/>
          <w:szCs w:val="24"/>
          <w:highlight w:val="white"/>
        </w:rPr>
        <w:t xml:space="preserve"> Sales: Financial Decisions </w:t>
      </w:r>
      <w:proofErr w:type="gramStart"/>
      <w:r>
        <w:rPr>
          <w:rFonts w:ascii="Times New Roman" w:eastAsia="Times New Roman" w:hAnsi="Times New Roman" w:cs="Times New Roman"/>
          <w:sz w:val="24"/>
          <w:szCs w:val="24"/>
          <w:highlight w:val="white"/>
        </w:rPr>
        <w:t>On</w:t>
      </w:r>
      <w:proofErr w:type="gramEnd"/>
      <w:r>
        <w:rPr>
          <w:rFonts w:ascii="Times New Roman" w:eastAsia="Times New Roman" w:hAnsi="Times New Roman" w:cs="Times New Roman"/>
          <w:sz w:val="24"/>
          <w:szCs w:val="24"/>
          <w:highlight w:val="white"/>
        </w:rPr>
        <w:t xml:space="preserve"> Human Resource. </w:t>
      </w:r>
      <w:r>
        <w:rPr>
          <w:rFonts w:ascii="Times New Roman" w:eastAsia="Times New Roman" w:hAnsi="Times New Roman" w:cs="Times New Roman"/>
          <w:i/>
          <w:iCs/>
          <w:sz w:val="24"/>
          <w:szCs w:val="24"/>
        </w:rPr>
        <w:t>Review of Economic and Business Studies (REBS)</w:t>
      </w:r>
      <w:r>
        <w:rPr>
          <w:rFonts w:ascii="Times New Roman" w:eastAsia="Times New Roman" w:hAnsi="Times New Roman" w:cs="Times New Roman"/>
          <w:sz w:val="24"/>
          <w:szCs w:val="24"/>
        </w:rPr>
        <w:t>, (29), pp.61-85.</w:t>
      </w:r>
    </w:p>
    <w:p w14:paraId="147DFA24" w14:textId="77777777" w:rsidR="001D3AD9" w:rsidRDefault="001D3AD9" w:rsidP="001D3AD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Halonen, H., 2024. </w:t>
      </w:r>
      <w:proofErr w:type="spellStart"/>
      <w:r>
        <w:rPr>
          <w:rFonts w:ascii="Times New Roman" w:eastAsia="Times New Roman" w:hAnsi="Times New Roman" w:cs="Times New Roman"/>
          <w:sz w:val="24"/>
          <w:szCs w:val="24"/>
          <w:highlight w:val="white"/>
        </w:rPr>
        <w:t>Analyzing</w:t>
      </w:r>
      <w:proofErr w:type="spellEnd"/>
      <w:r>
        <w:rPr>
          <w:rFonts w:ascii="Times New Roman" w:eastAsia="Times New Roman" w:hAnsi="Times New Roman" w:cs="Times New Roman"/>
          <w:sz w:val="24"/>
          <w:szCs w:val="24"/>
          <w:highlight w:val="white"/>
        </w:rPr>
        <w:t xml:space="preserve"> the link between corporate sustainability performance and financial performance: a configurational approach.</w:t>
      </w:r>
    </w:p>
    <w:p w14:paraId="3FF2041B" w14:textId="77777777" w:rsidR="001D3AD9" w:rsidRDefault="001D3AD9" w:rsidP="001D3A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Iazzolino</w:t>
      </w:r>
      <w:proofErr w:type="spellEnd"/>
      <w:r>
        <w:rPr>
          <w:rFonts w:ascii="Times New Roman" w:eastAsia="Times New Roman" w:hAnsi="Times New Roman" w:cs="Times New Roman"/>
          <w:sz w:val="24"/>
          <w:szCs w:val="24"/>
          <w:highlight w:val="white"/>
        </w:rPr>
        <w:t xml:space="preserve">, G. and Bozzo, R., 2023. Partnership models for R &amp; D in the pharmaceutical industry. </w:t>
      </w:r>
      <w:r>
        <w:rPr>
          <w:rFonts w:ascii="Times New Roman" w:eastAsia="Times New Roman" w:hAnsi="Times New Roman" w:cs="Times New Roman"/>
          <w:i/>
          <w:iCs/>
          <w:sz w:val="24"/>
          <w:szCs w:val="24"/>
        </w:rPr>
        <w:t>Quantitative models in life science business: from value creation to business processes. Cham: Springer International Publishing</w:t>
      </w:r>
      <w:r>
        <w:rPr>
          <w:rFonts w:ascii="Times New Roman" w:eastAsia="Times New Roman" w:hAnsi="Times New Roman" w:cs="Times New Roman"/>
          <w:sz w:val="24"/>
          <w:szCs w:val="24"/>
        </w:rPr>
        <w:t>, pp.29-48.</w:t>
      </w:r>
    </w:p>
    <w:p w14:paraId="42944F28" w14:textId="77777777" w:rsidR="001D3AD9" w:rsidRDefault="001D3AD9" w:rsidP="001D3AD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Larsson, J., 2025. From Capital to Markets: Board Gender Diversity’s Role in ESG Performance and Internationalisation.</w:t>
      </w:r>
    </w:p>
    <w:p w14:paraId="4EAD9915" w14:textId="77777777" w:rsidR="001D3AD9" w:rsidRDefault="001D3AD9" w:rsidP="001D3A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Mirgen</w:t>
      </w:r>
      <w:proofErr w:type="spellEnd"/>
      <w:r>
        <w:rPr>
          <w:rFonts w:ascii="Times New Roman" w:eastAsia="Times New Roman" w:hAnsi="Times New Roman" w:cs="Times New Roman"/>
          <w:sz w:val="24"/>
          <w:szCs w:val="24"/>
          <w:highlight w:val="white"/>
        </w:rPr>
        <w:t xml:space="preserve">, Ç. and Kahraman, Y.E., 2025. Financial Repercussions of the Pandemic Shock in OECD Countries: An Analysis of the Airline and Healthcare Industries. </w:t>
      </w:r>
      <w:r>
        <w:rPr>
          <w:rFonts w:ascii="Times New Roman" w:eastAsia="Times New Roman" w:hAnsi="Times New Roman" w:cs="Times New Roman"/>
          <w:i/>
          <w:iCs/>
          <w:sz w:val="24"/>
          <w:szCs w:val="24"/>
        </w:rPr>
        <w:t>Journal of Aviation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(3), pp.735-744.</w:t>
      </w:r>
    </w:p>
    <w:p w14:paraId="74D69584" w14:textId="77777777" w:rsidR="001D3AD9" w:rsidRDefault="001D3AD9" w:rsidP="001D3A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Mökander</w:t>
      </w:r>
      <w:proofErr w:type="spellEnd"/>
      <w:r>
        <w:rPr>
          <w:rFonts w:ascii="Times New Roman" w:eastAsia="Times New Roman" w:hAnsi="Times New Roman" w:cs="Times New Roman"/>
          <w:sz w:val="24"/>
          <w:szCs w:val="24"/>
          <w:highlight w:val="white"/>
        </w:rPr>
        <w:t xml:space="preserve">, J., Sheth, M., </w:t>
      </w:r>
      <w:proofErr w:type="spellStart"/>
      <w:r>
        <w:rPr>
          <w:rFonts w:ascii="Times New Roman" w:eastAsia="Times New Roman" w:hAnsi="Times New Roman" w:cs="Times New Roman"/>
          <w:sz w:val="24"/>
          <w:szCs w:val="24"/>
          <w:highlight w:val="white"/>
        </w:rPr>
        <w:t>Gersbro-Sundler</w:t>
      </w:r>
      <w:proofErr w:type="spellEnd"/>
      <w:r>
        <w:rPr>
          <w:rFonts w:ascii="Times New Roman" w:eastAsia="Times New Roman" w:hAnsi="Times New Roman" w:cs="Times New Roman"/>
          <w:sz w:val="24"/>
          <w:szCs w:val="24"/>
          <w:highlight w:val="white"/>
        </w:rPr>
        <w:t xml:space="preserve">, M., Blomgren, P. and </w:t>
      </w:r>
      <w:proofErr w:type="spellStart"/>
      <w:r>
        <w:rPr>
          <w:rFonts w:ascii="Times New Roman" w:eastAsia="Times New Roman" w:hAnsi="Times New Roman" w:cs="Times New Roman"/>
          <w:sz w:val="24"/>
          <w:szCs w:val="24"/>
          <w:highlight w:val="white"/>
        </w:rPr>
        <w:t>Floridi</w:t>
      </w:r>
      <w:proofErr w:type="spellEnd"/>
      <w:r>
        <w:rPr>
          <w:rFonts w:ascii="Times New Roman" w:eastAsia="Times New Roman" w:hAnsi="Times New Roman" w:cs="Times New Roman"/>
          <w:sz w:val="24"/>
          <w:szCs w:val="24"/>
          <w:highlight w:val="white"/>
        </w:rPr>
        <w:t xml:space="preserve">, L., 2022. Challenges and best practices in corporate AI governance: Lessons from the biopharmaceutical industry. </w:t>
      </w:r>
      <w:r>
        <w:rPr>
          <w:rFonts w:ascii="Times New Roman" w:eastAsia="Times New Roman" w:hAnsi="Times New Roman" w:cs="Times New Roman"/>
          <w:i/>
          <w:iCs/>
          <w:sz w:val="24"/>
          <w:szCs w:val="24"/>
        </w:rPr>
        <w:t>Frontiers in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 p.1068361.</w:t>
      </w:r>
    </w:p>
    <w:p w14:paraId="6732CF74"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Morell, J.C., 2022. </w:t>
      </w:r>
      <w:r>
        <w:rPr>
          <w:rFonts w:ascii="Times New Roman" w:eastAsia="Times New Roman" w:hAnsi="Times New Roman" w:cs="Times New Roman"/>
          <w:i/>
          <w:iCs/>
          <w:sz w:val="24"/>
          <w:szCs w:val="24"/>
        </w:rPr>
        <w:t>The Effect of Management’s Focus on SASB Measures on Financial Performance: A Study of the Health Care Supply Chain Sector</w:t>
      </w:r>
      <w:r>
        <w:rPr>
          <w:rFonts w:ascii="Times New Roman" w:eastAsia="Times New Roman" w:hAnsi="Times New Roman" w:cs="Times New Roman"/>
          <w:sz w:val="24"/>
          <w:szCs w:val="24"/>
        </w:rPr>
        <w:t xml:space="preserve"> (Doctoral dissertation, </w:t>
      </w:r>
      <w:proofErr w:type="spellStart"/>
      <w:r>
        <w:rPr>
          <w:rFonts w:ascii="Times New Roman" w:eastAsia="Times New Roman" w:hAnsi="Times New Roman" w:cs="Times New Roman"/>
          <w:sz w:val="24"/>
          <w:szCs w:val="24"/>
        </w:rPr>
        <w:t>Dissertação</w:t>
      </w:r>
      <w:proofErr w:type="spellEnd"/>
      <w:r>
        <w:rPr>
          <w:rFonts w:ascii="Times New Roman" w:eastAsia="Times New Roman" w:hAnsi="Times New Roman" w:cs="Times New Roman"/>
          <w:sz w:val="24"/>
          <w:szCs w:val="24"/>
        </w:rPr>
        <w:t xml:space="preserve"> de </w:t>
      </w:r>
      <w:proofErr w:type="spellStart"/>
      <w:r>
        <w:rPr>
          <w:rFonts w:ascii="Times New Roman" w:eastAsia="Times New Roman" w:hAnsi="Times New Roman" w:cs="Times New Roman"/>
          <w:sz w:val="24"/>
          <w:szCs w:val="24"/>
        </w:rPr>
        <w:t>Mestrado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Kellstadt</w:t>
      </w:r>
      <w:proofErr w:type="spellEnd"/>
      <w:r>
        <w:rPr>
          <w:rFonts w:ascii="Times New Roman" w:eastAsia="Times New Roman" w:hAnsi="Times New Roman" w:cs="Times New Roman"/>
          <w:sz w:val="24"/>
          <w:szCs w:val="24"/>
        </w:rPr>
        <w:t xml:space="preserve"> Graduate School of Business, Chicago, Illinois, EUA). </w:t>
      </w:r>
      <w:proofErr w:type="spellStart"/>
      <w:r>
        <w:rPr>
          <w:rFonts w:ascii="Times New Roman" w:eastAsia="Times New Roman" w:hAnsi="Times New Roman" w:cs="Times New Roman"/>
          <w:sz w:val="24"/>
          <w:szCs w:val="24"/>
        </w:rPr>
        <w:t>viewcontent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cgi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depaul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edu</w:t>
      </w:r>
      <w:proofErr w:type="spellEnd"/>
      <w:r>
        <w:rPr>
          <w:rFonts w:ascii="Times New Roman" w:eastAsia="Times New Roman" w:hAnsi="Times New Roman" w:cs="Times New Roman"/>
          <w:sz w:val="24"/>
          <w:szCs w:val="24"/>
        </w:rPr>
        <w:t>)).</w:t>
      </w:r>
    </w:p>
    <w:p w14:paraId="234D8190" w14:textId="77777777" w:rsidR="001D3AD9" w:rsidRDefault="001D3AD9" w:rsidP="001D3A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Muzzioli</w:t>
      </w:r>
      <w:proofErr w:type="spellEnd"/>
      <w:r>
        <w:rPr>
          <w:rFonts w:ascii="Times New Roman" w:eastAsia="Times New Roman" w:hAnsi="Times New Roman" w:cs="Times New Roman"/>
          <w:sz w:val="24"/>
          <w:szCs w:val="24"/>
          <w:highlight w:val="white"/>
        </w:rPr>
        <w:t xml:space="preserve">, S. and Vitale, L., 2025. ESG criteria for the evaluation of European countries: a multicriteria analysis (MCDA). </w:t>
      </w:r>
      <w:r>
        <w:rPr>
          <w:rFonts w:ascii="Times New Roman" w:eastAsia="Times New Roman" w:hAnsi="Times New Roman" w:cs="Times New Roman"/>
          <w:i/>
          <w:iCs/>
          <w:sz w:val="24"/>
          <w:szCs w:val="24"/>
        </w:rPr>
        <w:t>DEMB WORKING PAPER SERIES</w:t>
      </w:r>
      <w:r>
        <w:rPr>
          <w:rFonts w:ascii="Times New Roman" w:eastAsia="Times New Roman" w:hAnsi="Times New Roman" w:cs="Times New Roman"/>
          <w:sz w:val="24"/>
          <w:szCs w:val="24"/>
        </w:rPr>
        <w:t>.</w:t>
      </w:r>
    </w:p>
    <w:p w14:paraId="6F7044C8"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Perkins, S.J. and Shortland, S., 2025. Bridging theory and practice: ethical governance of executive compensation in the Financial Times Stock Exchange 100. </w:t>
      </w:r>
      <w:r>
        <w:rPr>
          <w:rFonts w:ascii="Times New Roman" w:eastAsia="Times New Roman" w:hAnsi="Times New Roman" w:cs="Times New Roman"/>
          <w:i/>
          <w:iCs/>
          <w:sz w:val="24"/>
          <w:szCs w:val="24"/>
        </w:rPr>
        <w:t>Compensation &amp; Benefits Review</w:t>
      </w:r>
      <w:r>
        <w:rPr>
          <w:rFonts w:ascii="Times New Roman" w:eastAsia="Times New Roman" w:hAnsi="Times New Roman" w:cs="Times New Roman"/>
          <w:sz w:val="24"/>
          <w:szCs w:val="24"/>
        </w:rPr>
        <w:t>, p.08863687251336654.</w:t>
      </w:r>
    </w:p>
    <w:p w14:paraId="410B93D5"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Pisani, J.A., 2023. </w:t>
      </w:r>
      <w:r>
        <w:rPr>
          <w:rFonts w:ascii="Times New Roman" w:eastAsia="Times New Roman" w:hAnsi="Times New Roman" w:cs="Times New Roman"/>
          <w:i/>
          <w:iCs/>
          <w:sz w:val="24"/>
          <w:szCs w:val="24"/>
        </w:rPr>
        <w:t>Financial ratios and stock prices: what determines the price of a stock?</w:t>
      </w:r>
      <w:r>
        <w:rPr>
          <w:rFonts w:ascii="Times New Roman" w:eastAsia="Times New Roman" w:hAnsi="Times New Roman" w:cs="Times New Roman"/>
          <w:sz w:val="24"/>
          <w:szCs w:val="24"/>
        </w:rPr>
        <w:t xml:space="preserve"> (Master's thesis, University of Malta).</w:t>
      </w:r>
    </w:p>
    <w:p w14:paraId="743330DC" w14:textId="77777777" w:rsidR="001D3AD9" w:rsidRDefault="001D3AD9" w:rsidP="001D3AD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Rantanen, A., 2022. How do responsible activities affect the financial performance of Nordic companies and vice </w:t>
      </w:r>
      <w:proofErr w:type="gramStart"/>
      <w:r>
        <w:rPr>
          <w:rFonts w:ascii="Times New Roman" w:eastAsia="Times New Roman" w:hAnsi="Times New Roman" w:cs="Times New Roman"/>
          <w:sz w:val="24"/>
          <w:szCs w:val="24"/>
          <w:highlight w:val="white"/>
        </w:rPr>
        <w:t>versa?.</w:t>
      </w:r>
      <w:proofErr w:type="gramEnd"/>
    </w:p>
    <w:p w14:paraId="6AE669FF"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Ray, P., Ganguli, B. and Chakrabarti, A., 2024. Multivariate Bayesian Time-Series Model with Multi-temporal Convolution Network for Forecasting Stock Market During COVID-19 Pandemic. </w:t>
      </w:r>
      <w:r>
        <w:rPr>
          <w:rFonts w:ascii="Times New Roman" w:eastAsia="Times New Roman" w:hAnsi="Times New Roman" w:cs="Times New Roman"/>
          <w:i/>
          <w:iCs/>
          <w:sz w:val="24"/>
          <w:szCs w:val="24"/>
        </w:rPr>
        <w:t>International Journal of Computational Intelligence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(1), p.170.</w:t>
      </w:r>
    </w:p>
    <w:p w14:paraId="247D4211"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Rodriguez, N.A.M., 2024. </w:t>
      </w:r>
      <w:r>
        <w:rPr>
          <w:rFonts w:ascii="Times New Roman" w:eastAsia="Times New Roman" w:hAnsi="Times New Roman" w:cs="Times New Roman"/>
          <w:i/>
          <w:iCs/>
          <w:sz w:val="24"/>
          <w:szCs w:val="24"/>
        </w:rPr>
        <w:t>AstraZeneca Equity Research Report–Innovation at the Forefront, Balancing Growth with Uncertainty</w:t>
      </w:r>
      <w:r>
        <w:rPr>
          <w:rFonts w:ascii="Times New Roman" w:eastAsia="Times New Roman" w:hAnsi="Times New Roman" w:cs="Times New Roman"/>
          <w:sz w:val="24"/>
          <w:szCs w:val="24"/>
        </w:rPr>
        <w:t xml:space="preserve"> (Master's thesis, </w:t>
      </w:r>
      <w:proofErr w:type="spellStart"/>
      <w:r>
        <w:rPr>
          <w:rFonts w:ascii="Times New Roman" w:eastAsia="Times New Roman" w:hAnsi="Times New Roman" w:cs="Times New Roman"/>
          <w:sz w:val="24"/>
          <w:szCs w:val="24"/>
        </w:rPr>
        <w:t>Universidade</w:t>
      </w:r>
      <w:proofErr w:type="spellEnd"/>
      <w:r>
        <w:rPr>
          <w:rFonts w:ascii="Times New Roman" w:eastAsia="Times New Roman" w:hAnsi="Times New Roman" w:cs="Times New Roman"/>
          <w:sz w:val="24"/>
          <w:szCs w:val="24"/>
        </w:rPr>
        <w:t xml:space="preserve"> NOVA de Lisboa (Portugal)).</w:t>
      </w:r>
    </w:p>
    <w:p w14:paraId="745C4556"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Sami, A., 2022. Corporate Social Responsibility is NOT an Option is an </w:t>
      </w:r>
      <w:proofErr w:type="gramStart"/>
      <w:r>
        <w:rPr>
          <w:rFonts w:ascii="Times New Roman" w:eastAsia="Times New Roman" w:hAnsi="Times New Roman" w:cs="Times New Roman"/>
          <w:sz w:val="24"/>
          <w:szCs w:val="24"/>
          <w:highlight w:val="white"/>
        </w:rPr>
        <w:t>Investment</w:t>
      </w:r>
      <w:proofErr w:type="gramEnd"/>
      <w:r>
        <w:rPr>
          <w:rFonts w:ascii="Times New Roman" w:eastAsia="Times New Roman" w:hAnsi="Times New Roman" w:cs="Times New Roman"/>
          <w:sz w:val="24"/>
          <w:szCs w:val="24"/>
          <w:highlight w:val="white"/>
        </w:rPr>
        <w:t xml:space="preserve">: A Study of AstraZeneca. </w:t>
      </w:r>
      <w:r>
        <w:rPr>
          <w:rFonts w:ascii="Times New Roman" w:eastAsia="Times New Roman" w:hAnsi="Times New Roman" w:cs="Times New Roman"/>
          <w:i/>
          <w:iCs/>
          <w:sz w:val="24"/>
          <w:szCs w:val="24"/>
        </w:rPr>
        <w:t>Asian Journal of Economics, Finance and Management</w:t>
      </w:r>
      <w:r>
        <w:rPr>
          <w:rFonts w:ascii="Times New Roman" w:eastAsia="Times New Roman" w:hAnsi="Times New Roman" w:cs="Times New Roman"/>
          <w:sz w:val="24"/>
          <w:szCs w:val="24"/>
        </w:rPr>
        <w:t>, pp.45-52.</w:t>
      </w:r>
    </w:p>
    <w:p w14:paraId="12DCF92B"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SUBHA, P., 2022. </w:t>
      </w:r>
      <w:r>
        <w:rPr>
          <w:rFonts w:ascii="Times New Roman" w:eastAsia="Times New Roman" w:hAnsi="Times New Roman" w:cs="Times New Roman"/>
          <w:i/>
          <w:iCs/>
          <w:sz w:val="24"/>
          <w:szCs w:val="24"/>
        </w:rPr>
        <w:t>A STUDY ON FINANCIAL PERFORMANCE OF KERALA STATE DRUGS AND PHARMACEUTICALS LTD, ALAPPUZHA</w:t>
      </w:r>
      <w:r>
        <w:rPr>
          <w:rFonts w:ascii="Times New Roman" w:eastAsia="Times New Roman" w:hAnsi="Times New Roman" w:cs="Times New Roman"/>
          <w:sz w:val="24"/>
          <w:szCs w:val="24"/>
        </w:rPr>
        <w:t xml:space="preserve"> (Doctoral dissertation, Mahatma Gandhi University Kottayam).</w:t>
      </w:r>
    </w:p>
    <w:p w14:paraId="424FA317"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Tulum, Ö., Andreoni, A. and </w:t>
      </w:r>
      <w:proofErr w:type="spellStart"/>
      <w:r>
        <w:rPr>
          <w:rFonts w:ascii="Times New Roman" w:eastAsia="Times New Roman" w:hAnsi="Times New Roman" w:cs="Times New Roman"/>
          <w:sz w:val="24"/>
          <w:szCs w:val="24"/>
          <w:highlight w:val="white"/>
        </w:rPr>
        <w:t>Lazonick</w:t>
      </w:r>
      <w:proofErr w:type="spellEnd"/>
      <w:r>
        <w:rPr>
          <w:rFonts w:ascii="Times New Roman" w:eastAsia="Times New Roman" w:hAnsi="Times New Roman" w:cs="Times New Roman"/>
          <w:sz w:val="24"/>
          <w:szCs w:val="24"/>
          <w:highlight w:val="white"/>
        </w:rPr>
        <w:t xml:space="preserve">, W., 2022. </w:t>
      </w:r>
      <w:r>
        <w:rPr>
          <w:rFonts w:ascii="Times New Roman" w:eastAsia="Times New Roman" w:hAnsi="Times New Roman" w:cs="Times New Roman"/>
          <w:i/>
          <w:iCs/>
          <w:sz w:val="24"/>
          <w:szCs w:val="24"/>
        </w:rPr>
        <w:t xml:space="preserve">From </w:t>
      </w:r>
      <w:proofErr w:type="spellStart"/>
      <w:r>
        <w:rPr>
          <w:rFonts w:ascii="Times New Roman" w:eastAsia="Times New Roman" w:hAnsi="Times New Roman" w:cs="Times New Roman"/>
          <w:i/>
          <w:iCs/>
          <w:sz w:val="24"/>
          <w:szCs w:val="24"/>
        </w:rPr>
        <w:t>financialisation</w:t>
      </w:r>
      <w:proofErr w:type="spellEnd"/>
      <w:r>
        <w:rPr>
          <w:rFonts w:ascii="Times New Roman" w:eastAsia="Times New Roman" w:hAnsi="Times New Roman" w:cs="Times New Roman"/>
          <w:i/>
          <w:iCs/>
          <w:sz w:val="24"/>
          <w:szCs w:val="24"/>
        </w:rPr>
        <w:t xml:space="preserve"> to innovation in UK Big pharma: AstraZeneca and GlaxoSmithKline</w:t>
      </w:r>
      <w:r>
        <w:rPr>
          <w:rFonts w:ascii="Times New Roman" w:eastAsia="Times New Roman" w:hAnsi="Times New Roman" w:cs="Times New Roman"/>
          <w:sz w:val="24"/>
          <w:szCs w:val="24"/>
        </w:rPr>
        <w:t>. Cambridge University Press.</w:t>
      </w:r>
    </w:p>
    <w:p w14:paraId="0430733D"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Wolters, J.H.J., Heij, H., Van Puffelen, A., Nienhuis, H., </w:t>
      </w:r>
      <w:proofErr w:type="spellStart"/>
      <w:r>
        <w:rPr>
          <w:rFonts w:ascii="Times New Roman" w:eastAsia="Times New Roman" w:hAnsi="Times New Roman" w:cs="Times New Roman"/>
          <w:sz w:val="24"/>
          <w:szCs w:val="24"/>
          <w:highlight w:val="white"/>
        </w:rPr>
        <w:t>Beerepoot</w:t>
      </w:r>
      <w:proofErr w:type="spellEnd"/>
      <w:r>
        <w:rPr>
          <w:rFonts w:ascii="Times New Roman" w:eastAsia="Times New Roman" w:hAnsi="Times New Roman" w:cs="Times New Roman"/>
          <w:sz w:val="24"/>
          <w:szCs w:val="24"/>
          <w:highlight w:val="white"/>
        </w:rPr>
        <w:t xml:space="preserve">, L.V., Jacobs, N., Duyvesteyn, C., Elferink, M., Bruel, C., Bartlett, </w:t>
      </w:r>
      <w:proofErr w:type="gramStart"/>
      <w:r>
        <w:rPr>
          <w:rFonts w:ascii="Times New Roman" w:eastAsia="Times New Roman" w:hAnsi="Times New Roman" w:cs="Times New Roman"/>
          <w:sz w:val="24"/>
          <w:szCs w:val="24"/>
          <w:highlight w:val="white"/>
        </w:rPr>
        <w:t>J.</w:t>
      </w:r>
      <w:proofErr w:type="gramEnd"/>
      <w:r>
        <w:rPr>
          <w:rFonts w:ascii="Times New Roman" w:eastAsia="Times New Roman" w:hAnsi="Times New Roman" w:cs="Times New Roman"/>
          <w:sz w:val="24"/>
          <w:szCs w:val="24"/>
          <w:highlight w:val="white"/>
        </w:rPr>
        <w:t xml:space="preserve"> and Verheul, H.M.W., 2025. 120P In development: Fully automatic treatment benefit prediction in advanced colorectal cancer patients. </w:t>
      </w:r>
      <w:r>
        <w:rPr>
          <w:rFonts w:ascii="Times New Roman" w:eastAsia="Times New Roman" w:hAnsi="Times New Roman" w:cs="Times New Roman"/>
          <w:i/>
          <w:iCs/>
          <w:sz w:val="24"/>
          <w:szCs w:val="24"/>
        </w:rPr>
        <w:t>ESMO Real World Data and Digital Oncology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w:t>
      </w:r>
    </w:p>
    <w:p w14:paraId="51C1A262"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Yeung, H. and Tahir, O., 2024. Market at a Critical Juncture: Evaluating ESG Practices and Challenges in the UK. </w:t>
      </w:r>
      <w:r>
        <w:rPr>
          <w:rFonts w:ascii="Times New Roman" w:eastAsia="Times New Roman" w:hAnsi="Times New Roman" w:cs="Times New Roman"/>
          <w:i/>
          <w:iCs/>
          <w:sz w:val="24"/>
          <w:szCs w:val="24"/>
        </w:rPr>
        <w:t>Amicus Curiae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w:t>
      </w:r>
      <w:r>
        <w:rPr>
          <w:rFonts w:ascii="Times New Roman" w:eastAsia="Times New Roman" w:hAnsi="Times New Roman" w:cs="Times New Roman"/>
          <w:sz w:val="24"/>
          <w:szCs w:val="24"/>
        </w:rPr>
        <w:t>, p.668.</w:t>
      </w:r>
    </w:p>
    <w:p w14:paraId="0C7F5E6D"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Yuyan, G., 2023. A financial analysis report of three typical biopharmaceutical companies in UK. </w:t>
      </w:r>
      <w:r>
        <w:rPr>
          <w:rFonts w:ascii="Times New Roman" w:eastAsia="Times New Roman" w:hAnsi="Times New Roman" w:cs="Times New Roman"/>
          <w:i/>
          <w:iCs/>
          <w:sz w:val="24"/>
          <w:szCs w:val="24"/>
        </w:rPr>
        <w:t>Academic Journal of Business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(1), pp.165-170.</w:t>
      </w:r>
    </w:p>
    <w:p w14:paraId="0D562064" w14:textId="77777777" w:rsidR="001D3AD9" w:rsidRDefault="001D3AD9" w:rsidP="001D3A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Yuyan, G., 2023. An analysis of the growing length of the annual reports. </w:t>
      </w:r>
      <w:r>
        <w:rPr>
          <w:rFonts w:ascii="Times New Roman" w:eastAsia="Times New Roman" w:hAnsi="Times New Roman" w:cs="Times New Roman"/>
          <w:i/>
          <w:iCs/>
          <w:sz w:val="24"/>
          <w:szCs w:val="24"/>
        </w:rPr>
        <w:t>The Frontiers of Society, Science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(2).</w:t>
      </w:r>
    </w:p>
    <w:p w14:paraId="3C2556EC" w14:textId="77777777" w:rsidR="001D3AD9" w:rsidRDefault="001D3AD9" w:rsidP="001D3AD9">
      <w:pPr>
        <w:jc w:val="both"/>
      </w:pPr>
    </w:p>
    <w:p w14:paraId="7F847738" w14:textId="77777777" w:rsidR="001D3AD9" w:rsidRDefault="001D3AD9" w:rsidP="001D3AD9">
      <w:pPr>
        <w:jc w:val="both"/>
      </w:pPr>
    </w:p>
    <w:p w14:paraId="17DE973B" w14:textId="77777777" w:rsidR="001D3AD9" w:rsidRDefault="001D3AD9" w:rsidP="001D3AD9">
      <w:pPr>
        <w:jc w:val="both"/>
      </w:pPr>
    </w:p>
    <w:p w14:paraId="515C7DE3" w14:textId="77777777" w:rsidR="001D3AD9" w:rsidRDefault="001D3AD9" w:rsidP="001D3AD9">
      <w:pPr>
        <w:jc w:val="both"/>
      </w:pPr>
    </w:p>
    <w:p w14:paraId="645643EE" w14:textId="77777777" w:rsidR="001D3AD9" w:rsidRDefault="001D3AD9" w:rsidP="001D3AD9">
      <w:pPr>
        <w:jc w:val="both"/>
      </w:pPr>
    </w:p>
    <w:p w14:paraId="5C78F2D3" w14:textId="77777777" w:rsidR="001D3AD9" w:rsidRDefault="001D3AD9" w:rsidP="001D3AD9">
      <w:pPr>
        <w:pStyle w:val="Heading1"/>
      </w:pPr>
      <w:bookmarkStart w:id="59" w:name="_Toc219044028"/>
      <w:r>
        <w:lastRenderedPageBreak/>
        <w:t>Appendix</w:t>
      </w:r>
      <w:bookmarkEnd w:id="59"/>
    </w:p>
    <w:p w14:paraId="2708820A" w14:textId="77777777" w:rsidR="001D3AD9" w:rsidRDefault="001D3AD9" w:rsidP="001D3AD9">
      <w:pPr>
        <w:jc w:val="both"/>
      </w:pPr>
    </w:p>
    <w:p w14:paraId="0C717701" w14:textId="77777777" w:rsidR="001D3AD9" w:rsidRPr="0094699B" w:rsidRDefault="001D3AD9" w:rsidP="001D3AD9">
      <w:pPr>
        <w:jc w:val="both"/>
      </w:pPr>
      <w:hyperlink r:id="rId22" w:history="1">
        <w:r>
          <w:object w:dxaOrig="1508" w:dyaOrig="984" w14:anchorId="67DFF6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75.7pt;height:48.4pt" o:ole="">
              <v:imagedata r:id="rId23" o:title=""/>
            </v:shape>
            <o:OLEObject Type="Embed" ProgID="Excel.Sheet.12" ShapeID="_x0000_i1035" DrawAspect="Icon" ObjectID="_1829656945" r:id="rId24"/>
          </w:object>
        </w:r>
      </w:hyperlink>
    </w:p>
    <w:p w14:paraId="7768C360" w14:textId="77777777" w:rsidR="00450EFD" w:rsidRDefault="00450EFD" w:rsidP="001D3AD9">
      <w:pPr>
        <w:jc w:val="both"/>
      </w:pPr>
    </w:p>
    <w:sectPr w:rsidR="00450EFD" w:rsidSect="001D3AD9">
      <w:footerReference w:type="default" r:id="rId25"/>
      <w:footerReference w:type="first" r:id="rId26"/>
      <w:pgSz w:w="11906" w:h="16838"/>
      <w:pgMar w:top="1440" w:right="1440" w:bottom="1440" w:left="1440" w:header="708" w:footer="708" w:gutter="0"/>
      <w:pgNumType w:start="2"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EDE77" w14:textId="77777777" w:rsidR="00B568A9" w:rsidRDefault="00B568A9" w:rsidP="001D3AD9">
      <w:pPr>
        <w:spacing w:after="0" w:line="240" w:lineRule="auto"/>
      </w:pPr>
      <w:r>
        <w:separator/>
      </w:r>
    </w:p>
  </w:endnote>
  <w:endnote w:type="continuationSeparator" w:id="0">
    <w:p w14:paraId="3AE274AD" w14:textId="77777777" w:rsidR="00B568A9" w:rsidRDefault="00B568A9" w:rsidP="001D3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7B36B7" w14:textId="5603CE07" w:rsidR="001D3AD9" w:rsidRDefault="001D3AD9" w:rsidP="001D3AD9">
    <w:pPr>
      <w:pStyle w:val="Footer"/>
      <w:tabs>
        <w:tab w:val="left" w:pos="5636"/>
      </w:tabs>
    </w:pPr>
    <w:r>
      <w:tab/>
    </w:r>
    <w:r>
      <w:rPr>
        <w:noProof/>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6515335"/>
      <w:docPartObj>
        <w:docPartGallery w:val="Page Numbers (Bottom of Page)"/>
        <w:docPartUnique/>
      </w:docPartObj>
    </w:sdtPr>
    <w:sdtEndPr>
      <w:rPr>
        <w:noProof/>
      </w:rPr>
    </w:sdtEndPr>
    <w:sdtContent>
      <w:p w14:paraId="1C2E5727" w14:textId="0B4160DD" w:rsidR="001D3AD9" w:rsidRDefault="001D3A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43CA54" w14:textId="77777777" w:rsidR="001D3AD9" w:rsidRDefault="001D3AD9" w:rsidP="001D3A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604829"/>
      <w:docPartObj>
        <w:docPartGallery w:val="Page Numbers (Bottom of Page)"/>
        <w:docPartUnique/>
      </w:docPartObj>
    </w:sdtPr>
    <w:sdtEndPr>
      <w:rPr>
        <w:noProof/>
      </w:rPr>
    </w:sdtEndPr>
    <w:sdtContent>
      <w:p w14:paraId="5E0FEA56" w14:textId="3B216654" w:rsidR="001D3AD9" w:rsidRDefault="001D3A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09368A" w14:textId="387E3DA6" w:rsidR="001D3AD9" w:rsidRDefault="001D3AD9" w:rsidP="001D3AD9">
    <w:pPr>
      <w:pStyle w:val="Footer"/>
      <w:tabs>
        <w:tab w:val="left" w:pos="5636"/>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9463337"/>
      <w:docPartObj>
        <w:docPartGallery w:val="Page Numbers (Bottom of Page)"/>
        <w:docPartUnique/>
      </w:docPartObj>
    </w:sdtPr>
    <w:sdtEndPr>
      <w:rPr>
        <w:noProof/>
      </w:rPr>
    </w:sdtEndPr>
    <w:sdtContent>
      <w:p w14:paraId="3A64FEE3" w14:textId="2E3525F0" w:rsidR="001D3AD9" w:rsidRDefault="001D3A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A93ECD" w14:textId="77777777" w:rsidR="001D3AD9" w:rsidRDefault="001D3AD9" w:rsidP="001D3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25AA7" w14:textId="77777777" w:rsidR="00B568A9" w:rsidRDefault="00B568A9" w:rsidP="001D3AD9">
      <w:pPr>
        <w:spacing w:after="0" w:line="240" w:lineRule="auto"/>
      </w:pPr>
      <w:r>
        <w:separator/>
      </w:r>
    </w:p>
  </w:footnote>
  <w:footnote w:type="continuationSeparator" w:id="0">
    <w:p w14:paraId="50EC9E75" w14:textId="77777777" w:rsidR="00B568A9" w:rsidRDefault="00B568A9" w:rsidP="001D3A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5577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AD9"/>
    <w:rsid w:val="000367E4"/>
    <w:rsid w:val="001D1715"/>
    <w:rsid w:val="001D3AD9"/>
    <w:rsid w:val="00450EFD"/>
    <w:rsid w:val="006E70BB"/>
    <w:rsid w:val="00837BA9"/>
    <w:rsid w:val="00AF7784"/>
    <w:rsid w:val="00B568A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3A5A4"/>
  <w15:chartTrackingRefBased/>
  <w15:docId w15:val="{69D4FED5-0377-486C-B494-1428E01AF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AD9"/>
    <w:rPr>
      <w:kern w:val="0"/>
      <w:lang w:val="en-GB"/>
      <w14:ligatures w14:val="none"/>
    </w:rPr>
  </w:style>
  <w:style w:type="paragraph" w:styleId="Heading1">
    <w:name w:val="heading 1"/>
    <w:basedOn w:val="Normal"/>
    <w:next w:val="Normal"/>
    <w:link w:val="Heading1Char"/>
    <w:uiPriority w:val="9"/>
    <w:qFormat/>
    <w:rsid w:val="00837BA9"/>
    <w:pPr>
      <w:keepNext/>
      <w:keepLines/>
      <w:spacing w:before="240" w:after="0"/>
      <w:jc w:val="both"/>
      <w:outlineLvl w:val="0"/>
    </w:pPr>
    <w:rPr>
      <w:rFonts w:asciiTheme="majorBidi" w:eastAsiaTheme="majorEastAsia" w:hAnsiTheme="majorBidi" w:cstheme="majorBidi"/>
      <w:b/>
      <w:color w:val="000000" w:themeColor="text1"/>
      <w:kern w:val="2"/>
      <w:sz w:val="32"/>
      <w:szCs w:val="32"/>
      <w:lang w:val="en-IN"/>
      <w14:ligatures w14:val="standardContextual"/>
    </w:rPr>
  </w:style>
  <w:style w:type="paragraph" w:styleId="Heading2">
    <w:name w:val="heading 2"/>
    <w:basedOn w:val="Normal"/>
    <w:next w:val="Normal"/>
    <w:link w:val="Heading2Char"/>
    <w:autoRedefine/>
    <w:uiPriority w:val="9"/>
    <w:unhideWhenUsed/>
    <w:qFormat/>
    <w:rsid w:val="00837BA9"/>
    <w:pPr>
      <w:keepNext/>
      <w:keepLines/>
      <w:spacing w:before="40" w:after="0" w:line="360" w:lineRule="auto"/>
      <w:jc w:val="both"/>
      <w:outlineLvl w:val="1"/>
    </w:pPr>
    <w:rPr>
      <w:rFonts w:asciiTheme="majorBidi" w:eastAsiaTheme="majorEastAsia" w:hAnsiTheme="majorBidi" w:cstheme="majorBidi"/>
      <w:b/>
      <w:color w:val="171717" w:themeColor="background2" w:themeShade="1A"/>
      <w:kern w:val="2"/>
      <w:sz w:val="28"/>
      <w:szCs w:val="26"/>
      <w:lang w:val="en-IN"/>
      <w14:ligatures w14:val="standardContextual"/>
    </w:rPr>
  </w:style>
  <w:style w:type="paragraph" w:styleId="Heading3">
    <w:name w:val="heading 3"/>
    <w:basedOn w:val="Normal"/>
    <w:next w:val="Normal"/>
    <w:link w:val="Heading3Char"/>
    <w:uiPriority w:val="9"/>
    <w:unhideWhenUsed/>
    <w:qFormat/>
    <w:rsid w:val="001D3AD9"/>
    <w:pPr>
      <w:keepNext/>
      <w:keepLines/>
      <w:spacing w:before="160" w:after="80"/>
      <w:outlineLvl w:val="2"/>
    </w:pPr>
    <w:rPr>
      <w:rFonts w:eastAsiaTheme="majorEastAsia" w:cstheme="majorBidi"/>
      <w:color w:val="2F5496" w:themeColor="accent1" w:themeShade="BF"/>
      <w:kern w:val="2"/>
      <w:sz w:val="28"/>
      <w:szCs w:val="28"/>
      <w:lang w:val="en-IN"/>
      <w14:ligatures w14:val="standardContextual"/>
    </w:rPr>
  </w:style>
  <w:style w:type="paragraph" w:styleId="Heading4">
    <w:name w:val="heading 4"/>
    <w:basedOn w:val="Normal"/>
    <w:next w:val="Normal"/>
    <w:link w:val="Heading4Char"/>
    <w:uiPriority w:val="9"/>
    <w:semiHidden/>
    <w:unhideWhenUsed/>
    <w:qFormat/>
    <w:rsid w:val="001D3AD9"/>
    <w:pPr>
      <w:keepNext/>
      <w:keepLines/>
      <w:spacing w:before="80" w:after="40"/>
      <w:outlineLvl w:val="3"/>
    </w:pPr>
    <w:rPr>
      <w:rFonts w:eastAsiaTheme="majorEastAsia" w:cstheme="majorBidi"/>
      <w:i/>
      <w:iCs/>
      <w:color w:val="2F5496" w:themeColor="accent1" w:themeShade="BF"/>
      <w:kern w:val="2"/>
      <w:lang w:val="en-IN"/>
      <w14:ligatures w14:val="standardContextual"/>
    </w:rPr>
  </w:style>
  <w:style w:type="paragraph" w:styleId="Heading5">
    <w:name w:val="heading 5"/>
    <w:basedOn w:val="Normal"/>
    <w:next w:val="Normal"/>
    <w:link w:val="Heading5Char"/>
    <w:uiPriority w:val="9"/>
    <w:semiHidden/>
    <w:unhideWhenUsed/>
    <w:qFormat/>
    <w:rsid w:val="001D3AD9"/>
    <w:pPr>
      <w:keepNext/>
      <w:keepLines/>
      <w:spacing w:before="80" w:after="40"/>
      <w:outlineLvl w:val="4"/>
    </w:pPr>
    <w:rPr>
      <w:rFonts w:eastAsiaTheme="majorEastAsia" w:cstheme="majorBidi"/>
      <w:color w:val="2F5496" w:themeColor="accent1" w:themeShade="BF"/>
      <w:kern w:val="2"/>
      <w:lang w:val="en-IN"/>
      <w14:ligatures w14:val="standardContextual"/>
    </w:rPr>
  </w:style>
  <w:style w:type="paragraph" w:styleId="Heading6">
    <w:name w:val="heading 6"/>
    <w:basedOn w:val="Normal"/>
    <w:next w:val="Normal"/>
    <w:link w:val="Heading6Char"/>
    <w:uiPriority w:val="9"/>
    <w:semiHidden/>
    <w:unhideWhenUsed/>
    <w:qFormat/>
    <w:rsid w:val="001D3AD9"/>
    <w:pPr>
      <w:keepNext/>
      <w:keepLines/>
      <w:spacing w:before="40" w:after="0"/>
      <w:outlineLvl w:val="5"/>
    </w:pPr>
    <w:rPr>
      <w:rFonts w:eastAsiaTheme="majorEastAsia" w:cstheme="majorBidi"/>
      <w:i/>
      <w:iCs/>
      <w:color w:val="595959" w:themeColor="text1" w:themeTint="A6"/>
      <w:kern w:val="2"/>
      <w:lang w:val="en-IN"/>
      <w14:ligatures w14:val="standardContextual"/>
    </w:rPr>
  </w:style>
  <w:style w:type="paragraph" w:styleId="Heading7">
    <w:name w:val="heading 7"/>
    <w:basedOn w:val="Normal"/>
    <w:next w:val="Normal"/>
    <w:link w:val="Heading7Char"/>
    <w:uiPriority w:val="9"/>
    <w:semiHidden/>
    <w:unhideWhenUsed/>
    <w:qFormat/>
    <w:rsid w:val="001D3AD9"/>
    <w:pPr>
      <w:keepNext/>
      <w:keepLines/>
      <w:spacing w:before="40" w:after="0"/>
      <w:outlineLvl w:val="6"/>
    </w:pPr>
    <w:rPr>
      <w:rFonts w:eastAsiaTheme="majorEastAsia" w:cstheme="majorBidi"/>
      <w:color w:val="595959" w:themeColor="text1" w:themeTint="A6"/>
      <w:kern w:val="2"/>
      <w:lang w:val="en-IN"/>
      <w14:ligatures w14:val="standardContextual"/>
    </w:rPr>
  </w:style>
  <w:style w:type="paragraph" w:styleId="Heading8">
    <w:name w:val="heading 8"/>
    <w:basedOn w:val="Normal"/>
    <w:next w:val="Normal"/>
    <w:link w:val="Heading8Char"/>
    <w:uiPriority w:val="9"/>
    <w:semiHidden/>
    <w:unhideWhenUsed/>
    <w:qFormat/>
    <w:rsid w:val="001D3AD9"/>
    <w:pPr>
      <w:keepNext/>
      <w:keepLines/>
      <w:spacing w:after="0"/>
      <w:outlineLvl w:val="7"/>
    </w:pPr>
    <w:rPr>
      <w:rFonts w:eastAsiaTheme="majorEastAsia" w:cstheme="majorBidi"/>
      <w:i/>
      <w:iCs/>
      <w:color w:val="272727" w:themeColor="text1" w:themeTint="D8"/>
      <w:kern w:val="2"/>
      <w:lang w:val="en-IN"/>
      <w14:ligatures w14:val="standardContextual"/>
    </w:rPr>
  </w:style>
  <w:style w:type="paragraph" w:styleId="Heading9">
    <w:name w:val="heading 9"/>
    <w:basedOn w:val="Normal"/>
    <w:next w:val="Normal"/>
    <w:link w:val="Heading9Char"/>
    <w:uiPriority w:val="9"/>
    <w:semiHidden/>
    <w:unhideWhenUsed/>
    <w:qFormat/>
    <w:rsid w:val="001D3AD9"/>
    <w:pPr>
      <w:keepNext/>
      <w:keepLines/>
      <w:spacing w:after="0"/>
      <w:outlineLvl w:val="8"/>
    </w:pPr>
    <w:rPr>
      <w:rFonts w:eastAsiaTheme="majorEastAsia" w:cstheme="majorBidi"/>
      <w:color w:val="272727" w:themeColor="text1" w:themeTint="D8"/>
      <w:kern w:val="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unhideWhenUsed/>
    <w:rsid w:val="00837BA9"/>
    <w:pPr>
      <w:spacing w:after="100"/>
    </w:pPr>
    <w:rPr>
      <w:b w:val="0"/>
      <w:kern w:val="0"/>
      <w:sz w:val="24"/>
      <w:lang w:val="en-GB"/>
      <w14:ligatures w14:val="none"/>
    </w:rPr>
  </w:style>
  <w:style w:type="character" w:customStyle="1" w:styleId="Heading1Char">
    <w:name w:val="Heading 1 Char"/>
    <w:basedOn w:val="DefaultParagraphFont"/>
    <w:link w:val="Heading1"/>
    <w:uiPriority w:val="9"/>
    <w:rsid w:val="00837BA9"/>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837BA9"/>
    <w:rPr>
      <w:rFonts w:asciiTheme="majorBidi" w:eastAsiaTheme="majorEastAsia" w:hAnsiTheme="majorBidi" w:cstheme="majorBidi"/>
      <w:b/>
      <w:color w:val="171717" w:themeColor="background2" w:themeShade="1A"/>
      <w:sz w:val="28"/>
      <w:szCs w:val="26"/>
    </w:rPr>
  </w:style>
  <w:style w:type="character" w:customStyle="1" w:styleId="Heading3Char">
    <w:name w:val="Heading 3 Char"/>
    <w:basedOn w:val="DefaultParagraphFont"/>
    <w:link w:val="Heading3"/>
    <w:uiPriority w:val="9"/>
    <w:rsid w:val="001D3A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3A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3A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3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AD9"/>
    <w:rPr>
      <w:rFonts w:eastAsiaTheme="majorEastAsia" w:cstheme="majorBidi"/>
      <w:color w:val="272727" w:themeColor="text1" w:themeTint="D8"/>
    </w:rPr>
  </w:style>
  <w:style w:type="paragraph" w:styleId="Title">
    <w:name w:val="Title"/>
    <w:basedOn w:val="Normal"/>
    <w:next w:val="Normal"/>
    <w:link w:val="TitleChar"/>
    <w:uiPriority w:val="10"/>
    <w:qFormat/>
    <w:rsid w:val="001D3AD9"/>
    <w:pPr>
      <w:spacing w:after="80" w:line="240" w:lineRule="auto"/>
      <w:contextualSpacing/>
    </w:pPr>
    <w:rPr>
      <w:rFonts w:asciiTheme="majorHAnsi" w:eastAsiaTheme="majorEastAsia" w:hAnsiTheme="majorHAnsi"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1D3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AD9"/>
    <w:pPr>
      <w:numPr>
        <w:ilvl w:val="1"/>
      </w:numPr>
    </w:pPr>
    <w:rPr>
      <w:rFonts w:eastAsiaTheme="majorEastAsia" w:cstheme="majorBidi"/>
      <w:color w:val="595959" w:themeColor="text1" w:themeTint="A6"/>
      <w:spacing w:val="15"/>
      <w:kern w:val="2"/>
      <w:sz w:val="28"/>
      <w:szCs w:val="28"/>
      <w:lang w:val="en-IN"/>
      <w14:ligatures w14:val="standardContextual"/>
    </w:rPr>
  </w:style>
  <w:style w:type="character" w:customStyle="1" w:styleId="SubtitleChar">
    <w:name w:val="Subtitle Char"/>
    <w:basedOn w:val="DefaultParagraphFont"/>
    <w:link w:val="Subtitle"/>
    <w:uiPriority w:val="11"/>
    <w:rsid w:val="001D3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AD9"/>
    <w:pPr>
      <w:spacing w:before="160"/>
      <w:jc w:val="center"/>
    </w:pPr>
    <w:rPr>
      <w:i/>
      <w:iCs/>
      <w:color w:val="404040" w:themeColor="text1" w:themeTint="BF"/>
      <w:kern w:val="2"/>
      <w:lang w:val="en-IN"/>
      <w14:ligatures w14:val="standardContextual"/>
    </w:rPr>
  </w:style>
  <w:style w:type="character" w:customStyle="1" w:styleId="QuoteChar">
    <w:name w:val="Quote Char"/>
    <w:basedOn w:val="DefaultParagraphFont"/>
    <w:link w:val="Quote"/>
    <w:uiPriority w:val="29"/>
    <w:rsid w:val="001D3AD9"/>
    <w:rPr>
      <w:i/>
      <w:iCs/>
      <w:color w:val="404040" w:themeColor="text1" w:themeTint="BF"/>
    </w:rPr>
  </w:style>
  <w:style w:type="paragraph" w:styleId="ListParagraph">
    <w:name w:val="List Paragraph"/>
    <w:basedOn w:val="Normal"/>
    <w:uiPriority w:val="34"/>
    <w:qFormat/>
    <w:rsid w:val="001D3AD9"/>
    <w:pPr>
      <w:ind w:left="720"/>
      <w:contextualSpacing/>
    </w:pPr>
    <w:rPr>
      <w:kern w:val="2"/>
      <w:lang w:val="en-IN"/>
      <w14:ligatures w14:val="standardContextual"/>
    </w:rPr>
  </w:style>
  <w:style w:type="character" w:styleId="IntenseEmphasis">
    <w:name w:val="Intense Emphasis"/>
    <w:basedOn w:val="DefaultParagraphFont"/>
    <w:uiPriority w:val="21"/>
    <w:qFormat/>
    <w:rsid w:val="001D3AD9"/>
    <w:rPr>
      <w:i/>
      <w:iCs/>
      <w:color w:val="2F5496" w:themeColor="accent1" w:themeShade="BF"/>
    </w:rPr>
  </w:style>
  <w:style w:type="paragraph" w:styleId="IntenseQuote">
    <w:name w:val="Intense Quote"/>
    <w:basedOn w:val="Normal"/>
    <w:next w:val="Normal"/>
    <w:link w:val="IntenseQuoteChar"/>
    <w:uiPriority w:val="30"/>
    <w:qFormat/>
    <w:rsid w:val="001D3A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kern w:val="2"/>
      <w:lang w:val="en-IN"/>
      <w14:ligatures w14:val="standardContextual"/>
    </w:rPr>
  </w:style>
  <w:style w:type="character" w:customStyle="1" w:styleId="IntenseQuoteChar">
    <w:name w:val="Intense Quote Char"/>
    <w:basedOn w:val="DefaultParagraphFont"/>
    <w:link w:val="IntenseQuote"/>
    <w:uiPriority w:val="30"/>
    <w:rsid w:val="001D3AD9"/>
    <w:rPr>
      <w:i/>
      <w:iCs/>
      <w:color w:val="2F5496" w:themeColor="accent1" w:themeShade="BF"/>
    </w:rPr>
  </w:style>
  <w:style w:type="character" w:styleId="IntenseReference">
    <w:name w:val="Intense Reference"/>
    <w:basedOn w:val="DefaultParagraphFont"/>
    <w:uiPriority w:val="32"/>
    <w:qFormat/>
    <w:rsid w:val="001D3AD9"/>
    <w:rPr>
      <w:b/>
      <w:bCs/>
      <w:smallCaps/>
      <w:color w:val="2F5496" w:themeColor="accent1" w:themeShade="BF"/>
      <w:spacing w:val="5"/>
    </w:rPr>
  </w:style>
  <w:style w:type="paragraph" w:styleId="NoSpacing">
    <w:name w:val="No Spacing"/>
    <w:link w:val="NoSpacingChar"/>
    <w:uiPriority w:val="1"/>
    <w:qFormat/>
    <w:rsid w:val="001D3AD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3AD9"/>
    <w:rPr>
      <w:rFonts w:eastAsiaTheme="minorEastAsia"/>
      <w:kern w:val="0"/>
      <w:lang w:val="en-US"/>
      <w14:ligatures w14:val="none"/>
    </w:rPr>
  </w:style>
  <w:style w:type="paragraph" w:styleId="TOCHeading">
    <w:name w:val="TOC Heading"/>
    <w:basedOn w:val="Heading1"/>
    <w:next w:val="Normal"/>
    <w:uiPriority w:val="39"/>
    <w:unhideWhenUsed/>
    <w:qFormat/>
    <w:rsid w:val="001D3AD9"/>
    <w:pPr>
      <w:jc w:val="left"/>
      <w:outlineLvl w:val="9"/>
    </w:pPr>
    <w:rPr>
      <w:color w:val="2F5496" w:themeColor="accent1" w:themeShade="BF"/>
      <w:kern w:val="0"/>
      <w:lang w:val="en-US"/>
      <w14:ligatures w14:val="none"/>
    </w:rPr>
  </w:style>
  <w:style w:type="character" w:styleId="Hyperlink">
    <w:name w:val="Hyperlink"/>
    <w:basedOn w:val="DefaultParagraphFont"/>
    <w:uiPriority w:val="99"/>
    <w:unhideWhenUsed/>
    <w:rsid w:val="001D3AD9"/>
    <w:rPr>
      <w:color w:val="0563C1" w:themeColor="hyperlink"/>
      <w:u w:val="single"/>
    </w:rPr>
  </w:style>
  <w:style w:type="paragraph" w:styleId="TOC2">
    <w:name w:val="toc 2"/>
    <w:basedOn w:val="Normal"/>
    <w:next w:val="Normal"/>
    <w:autoRedefine/>
    <w:uiPriority w:val="39"/>
    <w:unhideWhenUsed/>
    <w:rsid w:val="001D3AD9"/>
    <w:pPr>
      <w:spacing w:after="100"/>
      <w:ind w:left="220"/>
    </w:pPr>
  </w:style>
  <w:style w:type="paragraph" w:styleId="Footer">
    <w:name w:val="footer"/>
    <w:basedOn w:val="Normal"/>
    <w:link w:val="FooterChar"/>
    <w:uiPriority w:val="99"/>
    <w:unhideWhenUsed/>
    <w:rsid w:val="001D3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AD9"/>
    <w:rPr>
      <w:kern w:val="0"/>
      <w:lang w:val="en-GB"/>
      <w14:ligatures w14:val="none"/>
    </w:rPr>
  </w:style>
  <w:style w:type="table" w:styleId="TableGrid">
    <w:name w:val="Table Grid"/>
    <w:basedOn w:val="TableNormal"/>
    <w:uiPriority w:val="39"/>
    <w:rsid w:val="001D3AD9"/>
    <w:pPr>
      <w:spacing w:after="0" w:line="240" w:lineRule="auto"/>
    </w:pPr>
    <w:rPr>
      <w:rFonts w:ascii="Arial" w:eastAsia="Arial" w:hAnsi="Arial" w:cs="Arial"/>
      <w:kern w:val="0"/>
      <w:lang w:val="e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D3AD9"/>
    <w:pPr>
      <w:spacing w:after="100"/>
      <w:ind w:left="440"/>
    </w:pPr>
  </w:style>
  <w:style w:type="paragraph" w:styleId="Header">
    <w:name w:val="header"/>
    <w:basedOn w:val="Normal"/>
    <w:link w:val="HeaderChar"/>
    <w:uiPriority w:val="99"/>
    <w:unhideWhenUsed/>
    <w:rsid w:val="001D3A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AD9"/>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emf"/><Relationship Id="rId28" Type="http://schemas.openxmlformats.org/officeDocument/2006/relationships/glossaryDocument" Target="glossary/document.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file:///D:\MBA\Finance%20For%20Business%20Managers%20(BMMB7005)\1768048265_Astra%20zeneca%20(1).xlsx"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C08D7C5CEF34260828ECF8FDAABE9CA"/>
        <w:category>
          <w:name w:val="General"/>
          <w:gallery w:val="placeholder"/>
        </w:category>
        <w:types>
          <w:type w:val="bbPlcHdr"/>
        </w:types>
        <w:behaviors>
          <w:behavior w:val="content"/>
        </w:behaviors>
        <w:guid w:val="{AC26614D-A035-4F62-B184-03EC4FD5B0BF}"/>
      </w:docPartPr>
      <w:docPartBody>
        <w:p w:rsidR="00000000" w:rsidRDefault="00606D45" w:rsidP="00606D45">
          <w:pPr>
            <w:pStyle w:val="3C08D7C5CEF34260828ECF8FDAABE9C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D45"/>
    <w:rsid w:val="00456051"/>
    <w:rsid w:val="00606D45"/>
    <w:rsid w:val="00AF778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08D7C5CEF34260828ECF8FDAABE9CA">
    <w:name w:val="3C08D7C5CEF34260828ECF8FDAABE9CA"/>
    <w:rsid w:val="00606D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2026-01-11T00:00:00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28</Pages>
  <Words>6536</Words>
  <Characters>37261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FINANCIAL EVALUATION AND INVESTMENT APPRAISAL OF ASTRAZENECA PLC AND WESTWARD PLC</dc:title>
  <dc:subject>FINANCE FOR BUSINESS MANAGERS – BMMB7005DKISHAN MAKVANA - 2422722</dc:subject>
  <dc:creator>kishan makvana</dc:creator>
  <cp:keywords/>
  <dc:description/>
  <cp:lastModifiedBy>kishan makvana</cp:lastModifiedBy>
  <cp:revision>1</cp:revision>
  <dcterms:created xsi:type="dcterms:W3CDTF">2026-01-11T16:58:00Z</dcterms:created>
  <dcterms:modified xsi:type="dcterms:W3CDTF">2026-01-11T17:16:00Z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ab193132-6d13-4dfd-84d8-6a4633d76e95</vt:lpwstr>
  </property>
</Properties>
</file>