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49A04E6" wp14:paraId="5E5787A5" wp14:textId="58335FBF">
      <w:pPr>
        <w:rPr>
          <w:rFonts w:ascii="Arial" w:hAnsi="Arial" w:eastAsia="Arial" w:cs="Arial"/>
          <w:sz w:val="40"/>
          <w:szCs w:val="40"/>
        </w:rPr>
      </w:pPr>
      <w:r w:rsidRPr="549A04E6" w:rsidR="75D3DBF1">
        <w:rPr>
          <w:rFonts w:ascii="Arial" w:hAnsi="Arial" w:eastAsia="Arial" w:cs="Arial"/>
          <w:sz w:val="40"/>
          <w:szCs w:val="40"/>
        </w:rPr>
        <w:t>Case Study Report: Diabetes</w:t>
      </w:r>
    </w:p>
    <w:p w:rsidR="75D3DBF1" w:rsidP="1F090E8F" w:rsidRDefault="75D3DBF1" w14:paraId="6435F377" w14:textId="204A583D">
      <w:pPr>
        <w:rPr>
          <w:rFonts w:ascii="Arial" w:hAnsi="Arial" w:eastAsia="Arial" w:cs="Arial"/>
          <w:sz w:val="24"/>
          <w:szCs w:val="24"/>
        </w:rPr>
      </w:pPr>
      <w:r w:rsidRPr="1F090E8F" w:rsidR="0195047F">
        <w:rPr>
          <w:rFonts w:ascii="Arial" w:hAnsi="Arial" w:eastAsia="Arial" w:cs="Arial"/>
          <w:sz w:val="24"/>
          <w:szCs w:val="24"/>
        </w:rPr>
        <w:t xml:space="preserve">BMHP5023 </w:t>
      </w:r>
      <w:r w:rsidRPr="1F090E8F" w:rsidR="214CC569">
        <w:rPr>
          <w:rFonts w:ascii="Arial" w:hAnsi="Arial" w:eastAsia="Arial" w:cs="Arial"/>
          <w:sz w:val="24"/>
          <w:szCs w:val="24"/>
        </w:rPr>
        <w:t xml:space="preserve">  </w:t>
      </w:r>
    </w:p>
    <w:p w:rsidR="75D3DBF1" w:rsidP="549A04E6" w:rsidRDefault="75D3DBF1" w14:paraId="4101DD0F" w14:textId="2BC1CD5A">
      <w:pPr>
        <w:rPr>
          <w:rFonts w:ascii="Arial" w:hAnsi="Arial" w:eastAsia="Arial" w:cs="Arial"/>
          <w:sz w:val="24"/>
          <w:szCs w:val="24"/>
        </w:rPr>
      </w:pPr>
      <w:r w:rsidRPr="1F090E8F" w:rsidR="214CC569">
        <w:rPr>
          <w:rFonts w:ascii="Arial" w:hAnsi="Arial" w:eastAsia="Arial" w:cs="Arial"/>
          <w:sz w:val="24"/>
          <w:szCs w:val="24"/>
        </w:rPr>
        <w:t>Teacher:</w:t>
      </w:r>
      <w:r w:rsidRPr="1F090E8F" w:rsidR="2769E2D2">
        <w:rPr>
          <w:rFonts w:ascii="Arial" w:hAnsi="Arial" w:eastAsia="Arial" w:cs="Arial"/>
          <w:sz w:val="24"/>
          <w:szCs w:val="24"/>
        </w:rPr>
        <w:t xml:space="preserve"> </w:t>
      </w:r>
      <w:r w:rsidRPr="1F090E8F" w:rsidR="0195047F">
        <w:rPr>
          <w:rFonts w:ascii="Arial" w:hAnsi="Arial" w:eastAsia="Arial" w:cs="Arial"/>
          <w:sz w:val="24"/>
          <w:szCs w:val="24"/>
        </w:rPr>
        <w:t>R</w:t>
      </w:r>
      <w:r w:rsidRPr="1F090E8F" w:rsidR="0195047F">
        <w:rPr>
          <w:rFonts w:ascii="Arial" w:hAnsi="Arial" w:eastAsia="Arial" w:cs="Arial"/>
          <w:sz w:val="24"/>
          <w:szCs w:val="24"/>
        </w:rPr>
        <w:t xml:space="preserve">obert </w:t>
      </w:r>
      <w:r w:rsidRPr="1F090E8F" w:rsidR="0195047F">
        <w:rPr>
          <w:rFonts w:ascii="Arial" w:hAnsi="Arial" w:eastAsia="Arial" w:cs="Arial"/>
          <w:sz w:val="24"/>
          <w:szCs w:val="24"/>
        </w:rPr>
        <w:t>Nartowski</w:t>
      </w:r>
      <w:r w:rsidRPr="1F090E8F" w:rsidR="0195047F">
        <w:rPr>
          <w:rFonts w:ascii="Arial" w:hAnsi="Arial" w:eastAsia="Arial" w:cs="Arial"/>
          <w:sz w:val="24"/>
          <w:szCs w:val="24"/>
        </w:rPr>
        <w:t xml:space="preserve"> </w:t>
      </w:r>
    </w:p>
    <w:p w:rsidR="4EA5A082" w:rsidP="549A04E6" w:rsidRDefault="4EA5A082" w14:paraId="0DF04A75" w14:textId="7DB79D0D">
      <w:pPr>
        <w:rPr>
          <w:rFonts w:ascii="Arial" w:hAnsi="Arial" w:eastAsia="Arial" w:cs="Arial"/>
          <w:sz w:val="24"/>
          <w:szCs w:val="24"/>
        </w:rPr>
      </w:pPr>
      <w:r w:rsidRPr="1F090E8F" w:rsidR="203A6D88">
        <w:rPr>
          <w:rFonts w:ascii="Arial" w:hAnsi="Arial" w:eastAsia="Arial" w:cs="Arial"/>
          <w:sz w:val="24"/>
          <w:szCs w:val="24"/>
        </w:rPr>
        <w:t xml:space="preserve">Student: </w:t>
      </w:r>
      <w:r w:rsidRPr="1F090E8F" w:rsidR="650B85B6">
        <w:rPr>
          <w:rFonts w:ascii="Arial" w:hAnsi="Arial" w:eastAsia="Arial" w:cs="Arial"/>
          <w:sz w:val="24"/>
          <w:szCs w:val="24"/>
        </w:rPr>
        <w:t xml:space="preserve">Nargis </w:t>
      </w:r>
      <w:r w:rsidRPr="1F090E8F" w:rsidR="650B85B6">
        <w:rPr>
          <w:rFonts w:ascii="Arial" w:hAnsi="Arial" w:eastAsia="Arial" w:cs="Arial"/>
          <w:sz w:val="24"/>
          <w:szCs w:val="24"/>
        </w:rPr>
        <w:t xml:space="preserve">Ahmed  </w:t>
      </w:r>
    </w:p>
    <w:p w:rsidR="4EA5A082" w:rsidP="549A04E6" w:rsidRDefault="4EA5A082" w14:paraId="3B35757D" w14:textId="3B368845">
      <w:pPr>
        <w:rPr>
          <w:rFonts w:ascii="Arial" w:hAnsi="Arial" w:eastAsia="Arial" w:cs="Arial"/>
          <w:sz w:val="24"/>
          <w:szCs w:val="24"/>
        </w:rPr>
      </w:pPr>
      <w:r w:rsidRPr="549A04E6" w:rsidR="4EA5A082">
        <w:rPr>
          <w:rFonts w:ascii="Arial" w:hAnsi="Arial" w:eastAsia="Arial" w:cs="Arial"/>
          <w:sz w:val="24"/>
          <w:szCs w:val="24"/>
        </w:rPr>
        <w:t>Student</w:t>
      </w:r>
      <w:r w:rsidRPr="549A04E6" w:rsidR="4EA5A082">
        <w:rPr>
          <w:rFonts w:ascii="Arial" w:hAnsi="Arial" w:eastAsia="Arial" w:cs="Arial"/>
          <w:sz w:val="24"/>
          <w:szCs w:val="24"/>
        </w:rPr>
        <w:t xml:space="preserve"> ID:2329515</w:t>
      </w:r>
    </w:p>
    <w:p w:rsidR="549A04E6" w:rsidP="549A04E6" w:rsidRDefault="549A04E6" w14:paraId="74D0CF17" w14:textId="01766F4D">
      <w:pPr>
        <w:pStyle w:val="Normal"/>
        <w:rPr>
          <w:rFonts w:ascii="Arial" w:hAnsi="Arial" w:eastAsia="Arial" w:cs="Arial"/>
          <w:sz w:val="24"/>
          <w:szCs w:val="24"/>
        </w:rPr>
      </w:pPr>
    </w:p>
    <w:p w:rsidR="549A04E6" w:rsidP="549A04E6" w:rsidRDefault="549A04E6" w14:paraId="796B44FC" w14:textId="7278BCB9">
      <w:pPr>
        <w:pStyle w:val="Normal"/>
        <w:rPr>
          <w:rFonts w:ascii="Arial" w:hAnsi="Arial" w:eastAsia="Arial" w:cs="Arial"/>
          <w:sz w:val="24"/>
          <w:szCs w:val="24"/>
        </w:rPr>
      </w:pPr>
    </w:p>
    <w:p w:rsidR="70218193" w:rsidP="549A04E6" w:rsidRDefault="70218193" w14:paraId="7C7AE4D2" w14:textId="55BC9B5D">
      <w:pPr>
        <w:rPr>
          <w:rFonts w:ascii="Arial" w:hAnsi="Arial" w:eastAsia="Arial" w:cs="Arial"/>
          <w:b w:val="1"/>
          <w:bCs w:val="1"/>
          <w:noProof w:val="0"/>
          <w:color w:val="000000" w:themeColor="text1" w:themeTint="FF" w:themeShade="FF"/>
          <w:sz w:val="22"/>
          <w:szCs w:val="22"/>
          <w:lang w:val="en-GB"/>
        </w:rPr>
      </w:pPr>
      <w:r w:rsidRPr="549A04E6" w:rsidR="70218193">
        <w:rPr>
          <w:rFonts w:ascii="Arial" w:hAnsi="Arial" w:eastAsia="Arial" w:cs="Arial"/>
          <w:b w:val="1"/>
          <w:bCs w:val="1"/>
          <w:noProof w:val="0"/>
          <w:color w:val="000000" w:themeColor="text1" w:themeTint="FF" w:themeShade="FF"/>
          <w:sz w:val="22"/>
          <w:szCs w:val="22"/>
          <w:lang w:val="en-GB"/>
        </w:rPr>
        <w:t>Introduction</w:t>
      </w:r>
    </w:p>
    <w:p w:rsidR="70218193" w:rsidP="549A04E6" w:rsidRDefault="70218193" w14:paraId="5BA1E94D" w14:textId="01C537CB">
      <w:pPr>
        <w:rPr>
          <w:rFonts w:ascii="Arial" w:hAnsi="Arial" w:eastAsia="Arial" w:cs="Arial"/>
          <w:noProof w:val="0"/>
          <w:color w:val="000000" w:themeColor="text1" w:themeTint="FF" w:themeShade="FF"/>
          <w:sz w:val="22"/>
          <w:szCs w:val="22"/>
          <w:lang w:val="en-GB"/>
        </w:rPr>
      </w:pPr>
      <w:r w:rsidRPr="549A04E6" w:rsidR="70218193">
        <w:rPr>
          <w:rFonts w:ascii="Arial" w:hAnsi="Arial" w:eastAsia="Arial" w:cs="Arial"/>
          <w:noProof w:val="0"/>
          <w:color w:val="000000" w:themeColor="text1" w:themeTint="FF" w:themeShade="FF"/>
          <w:sz w:val="22"/>
          <w:szCs w:val="22"/>
          <w:lang w:val="en-GB"/>
        </w:rPr>
        <w:t>Diabetes is one of the most common long-term health conditions in the world today, affecting millions of people and putting increasing pressure on health services globally. It is a condition where the body is unable to properly regulate blood sugar levels, either because it does not produce enough insulin or because it cannot use insulin effectively (World Health Organization, 2024). When blood sugar remains too high for too long, it can cause serious damage to the heart, kidneys, eyes, and nerves. There are two main types — Type 1 diabetes, which is caused by the immune system attacking the body, and Type 2 diabetes, which is far more common and is largely linked to how people live their daily lives.</w:t>
      </w:r>
    </w:p>
    <w:p w:rsidR="70218193" w:rsidP="549A04E6" w:rsidRDefault="70218193" w14:paraId="1139A393" w14:textId="5AF3B5A9">
      <w:pPr>
        <w:rPr>
          <w:rFonts w:ascii="Arial" w:hAnsi="Arial" w:eastAsia="Arial" w:cs="Arial"/>
          <w:noProof w:val="0"/>
          <w:color w:val="000000" w:themeColor="text1" w:themeTint="FF" w:themeShade="FF"/>
          <w:sz w:val="22"/>
          <w:szCs w:val="22"/>
          <w:lang w:val="en-GB"/>
        </w:rPr>
      </w:pPr>
      <w:r w:rsidRPr="549A04E6" w:rsidR="70218193">
        <w:rPr>
          <w:rFonts w:ascii="Arial" w:hAnsi="Arial" w:eastAsia="Arial" w:cs="Arial"/>
          <w:noProof w:val="0"/>
          <w:color w:val="000000" w:themeColor="text1" w:themeTint="FF" w:themeShade="FF"/>
          <w:sz w:val="22"/>
          <w:szCs w:val="22"/>
          <w:lang w:val="en-GB"/>
        </w:rPr>
        <w:t>Knowing what puts someone at risk of developing diabetes is important for preventing the condition and catching it early. Some risk factors cannot be changed, such as a person's age, family history, or ethnic background. Others, however, can be addressed through lifestyle changes, including losing weight, eating a healthier diet, stopping smoking, and becoming more physically active (Tsilidis et al., 2020). This piece will look at what diabetes is and what causes it, how the body normally controls blood sugar, and how oxygen and glucose are used by the body's cells to produce energy, drawing on current evidence to explore how the condition can be better understood and managed.</w:t>
      </w:r>
    </w:p>
    <w:p w:rsidR="549A04E6" w:rsidP="549A04E6" w:rsidRDefault="549A04E6" w14:paraId="1DEF7B26" w14:textId="264C1C77">
      <w:pPr>
        <w:rPr>
          <w:rFonts w:ascii="Arial" w:hAnsi="Arial" w:eastAsia="Arial" w:cs="Arial"/>
          <w:sz w:val="22"/>
          <w:szCs w:val="22"/>
        </w:rPr>
      </w:pPr>
    </w:p>
    <w:p w:rsidR="70218193" w:rsidP="549A04E6" w:rsidRDefault="70218193" w14:paraId="2EA1CD86" w14:textId="29E62BAB">
      <w:pPr>
        <w:rPr>
          <w:rFonts w:ascii="Arial" w:hAnsi="Arial" w:eastAsia="Arial" w:cs="Arial"/>
          <w:b w:val="1"/>
          <w:bCs w:val="1"/>
          <w:noProof w:val="0"/>
          <w:color w:val="000000" w:themeColor="text1" w:themeTint="FF" w:themeShade="FF"/>
          <w:sz w:val="22"/>
          <w:szCs w:val="22"/>
          <w:lang w:val="en-GB"/>
        </w:rPr>
      </w:pPr>
      <w:r w:rsidRPr="549A04E6" w:rsidR="70218193">
        <w:rPr>
          <w:rFonts w:ascii="Arial" w:hAnsi="Arial" w:eastAsia="Arial" w:cs="Arial"/>
          <w:b w:val="1"/>
          <w:bCs w:val="1"/>
          <w:noProof w:val="0"/>
          <w:color w:val="000000" w:themeColor="text1" w:themeTint="FF" w:themeShade="FF"/>
          <w:sz w:val="22"/>
          <w:szCs w:val="22"/>
          <w:lang w:val="en-GB"/>
        </w:rPr>
        <w:t>How Blood Sugar Levels Are Maintained at a Safe and Effective Level</w:t>
      </w:r>
    </w:p>
    <w:p w:rsidR="70218193" w:rsidP="549A04E6" w:rsidRDefault="70218193" w14:paraId="1CF13D08" w14:textId="4175D1B9">
      <w:pPr>
        <w:rPr>
          <w:rFonts w:ascii="Arial" w:hAnsi="Arial" w:eastAsia="Arial" w:cs="Arial"/>
          <w:noProof w:val="0"/>
          <w:color w:val="000000" w:themeColor="text1" w:themeTint="FF" w:themeShade="FF"/>
          <w:sz w:val="22"/>
          <w:szCs w:val="22"/>
          <w:lang w:val="en-GB"/>
        </w:rPr>
      </w:pPr>
      <w:r w:rsidRPr="549A04E6" w:rsidR="70218193">
        <w:rPr>
          <w:rFonts w:ascii="Arial" w:hAnsi="Arial" w:eastAsia="Arial" w:cs="Arial"/>
          <w:noProof w:val="0"/>
          <w:color w:val="000000" w:themeColor="text1" w:themeTint="FF" w:themeShade="FF"/>
          <w:sz w:val="22"/>
          <w:szCs w:val="22"/>
          <w:lang w:val="en-GB"/>
        </w:rPr>
        <w:t>The body needs sugar — called glucose — to work properly every day. Glucose comes from the food and drinks we consume and is carried around the body through the blood. It gives us the energy we need to do everything, from thinking clearly to moving around. However, having too much or too little sugar in the blood can make us very unwell, so the body has its own system to keep levels at a safe point at all times (Holt et al., 2017).</w:t>
      </w:r>
    </w:p>
    <w:p w:rsidR="70218193" w:rsidP="549A04E6" w:rsidRDefault="70218193" w14:paraId="4FD2DF68" w14:textId="7BD39D78">
      <w:pPr>
        <w:rPr>
          <w:rFonts w:ascii="Arial" w:hAnsi="Arial" w:eastAsia="Arial" w:cs="Arial"/>
          <w:noProof w:val="0"/>
          <w:color w:val="000000" w:themeColor="text1" w:themeTint="FF" w:themeShade="FF"/>
          <w:sz w:val="22"/>
          <w:szCs w:val="22"/>
          <w:lang w:val="en-GB"/>
        </w:rPr>
      </w:pPr>
      <w:r w:rsidRPr="549A04E6" w:rsidR="70218193">
        <w:rPr>
          <w:rFonts w:ascii="Arial" w:hAnsi="Arial" w:eastAsia="Arial" w:cs="Arial"/>
          <w:noProof w:val="0"/>
          <w:color w:val="000000" w:themeColor="text1" w:themeTint="FF" w:themeShade="FF"/>
          <w:sz w:val="22"/>
          <w:szCs w:val="22"/>
          <w:lang w:val="en-GB"/>
        </w:rPr>
        <w:t>The organ responsible for controlling blood sugar is called the pancreas. It sits behind the stomach and produces two important hormones called insulin and glucagon. These two hormones work as a team to keep blood sugar levels steady throughout the day (Levy and Tasker, 2020).</w:t>
      </w:r>
    </w:p>
    <w:p w:rsidR="70218193" w:rsidP="549A04E6" w:rsidRDefault="70218193" w14:paraId="1A6831E0" w14:textId="27943ABF">
      <w:pPr>
        <w:rPr>
          <w:rFonts w:ascii="Arial" w:hAnsi="Arial" w:eastAsia="Arial" w:cs="Arial"/>
          <w:noProof w:val="0"/>
          <w:color w:val="000000" w:themeColor="text1" w:themeTint="FF" w:themeShade="FF"/>
          <w:sz w:val="22"/>
          <w:szCs w:val="22"/>
          <w:lang w:val="en-GB"/>
        </w:rPr>
      </w:pPr>
      <w:r w:rsidRPr="549A04E6" w:rsidR="70218193">
        <w:rPr>
          <w:rFonts w:ascii="Arial" w:hAnsi="Arial" w:eastAsia="Arial" w:cs="Arial"/>
          <w:noProof w:val="0"/>
          <w:color w:val="000000" w:themeColor="text1" w:themeTint="FF" w:themeShade="FF"/>
          <w:sz w:val="22"/>
          <w:szCs w:val="22"/>
          <w:lang w:val="en-GB"/>
        </w:rPr>
        <w:t>When we eat, the sugar from our food enters the bloodstream and our blood sugar level goes up. The pancreas notices this and releases insulin. Insulin acts like a key — it unlocks the body's cells so that sugar can move out of the blood and into the cells, where it is used for energy (Holt et al., 2017). This brings blood sugar back down to a safe level. Any leftover sugar gets stored in the liver for later use.</w:t>
      </w:r>
    </w:p>
    <w:p w:rsidR="70218193" w:rsidP="549A04E6" w:rsidRDefault="70218193" w14:paraId="15676334" w14:textId="64E6FDDD">
      <w:pPr>
        <w:rPr>
          <w:rFonts w:ascii="Arial" w:hAnsi="Arial" w:eastAsia="Arial" w:cs="Arial"/>
          <w:noProof w:val="0"/>
          <w:color w:val="000000" w:themeColor="text1" w:themeTint="FF" w:themeShade="FF"/>
          <w:sz w:val="22"/>
          <w:szCs w:val="22"/>
          <w:lang w:val="en-GB"/>
        </w:rPr>
      </w:pPr>
      <w:r w:rsidRPr="549A04E6" w:rsidR="70218193">
        <w:rPr>
          <w:rFonts w:ascii="Arial" w:hAnsi="Arial" w:eastAsia="Arial" w:cs="Arial"/>
          <w:noProof w:val="0"/>
          <w:color w:val="000000" w:themeColor="text1" w:themeTint="FF" w:themeShade="FF"/>
          <w:sz w:val="22"/>
          <w:szCs w:val="22"/>
          <w:lang w:val="en-GB"/>
        </w:rPr>
        <w:t>When blood sugar drops too low — such as when we have not eaten for a while or after exercise — the pancreas releases glucagon instead. Glucagon tells the liver to release some of the stored sugar back into the blood, bringing levels back up again (Levy and Tasker, 2020).</w:t>
      </w:r>
    </w:p>
    <w:p w:rsidR="70218193" w:rsidP="549A04E6" w:rsidRDefault="70218193" w14:paraId="5ECCF030" w14:textId="02AFD479">
      <w:pPr>
        <w:rPr>
          <w:rFonts w:ascii="Arial" w:hAnsi="Arial" w:eastAsia="Arial" w:cs="Arial"/>
          <w:noProof w:val="0"/>
          <w:color w:val="000000" w:themeColor="text1" w:themeTint="FF" w:themeShade="FF"/>
          <w:sz w:val="22"/>
          <w:szCs w:val="22"/>
          <w:lang w:val="en-GB"/>
        </w:rPr>
      </w:pPr>
      <w:r w:rsidRPr="549A04E6" w:rsidR="70218193">
        <w:rPr>
          <w:rFonts w:ascii="Arial" w:hAnsi="Arial" w:eastAsia="Arial" w:cs="Arial"/>
          <w:noProof w:val="0"/>
          <w:color w:val="000000" w:themeColor="text1" w:themeTint="FF" w:themeShade="FF"/>
          <w:sz w:val="22"/>
          <w:szCs w:val="22"/>
          <w:lang w:val="en-GB"/>
        </w:rPr>
        <w:t>In people who do not have diabetes, this process happens naturally and automatically without them having to think about it. The body constantly checks blood sugar levels and adjusts them as needed, keeping everything balanced (Holt et al., 2017). However, for people with diabetes, this system does not work properly. In Type 1 diabetes, the body cannot make any insulin at all. In Type 2 diabetes, the body either does not make enough insulin, or the insulin it does make does not work as well as it should. This means that blood sugar levels can rise too high and stay that way for too long. Over time, this can cause serious damage to the heart, kidneys, eyes, and nerves (Levy and Tasker, 2020).</w:t>
      </w:r>
    </w:p>
    <w:p w:rsidR="70218193" w:rsidP="549A04E6" w:rsidRDefault="70218193" w14:paraId="502CD374" w14:textId="052F95DE">
      <w:pPr>
        <w:rPr>
          <w:rFonts w:ascii="Arial" w:hAnsi="Arial" w:eastAsia="Arial" w:cs="Arial"/>
          <w:noProof w:val="0"/>
          <w:color w:val="000000" w:themeColor="text1" w:themeTint="FF" w:themeShade="FF"/>
          <w:sz w:val="22"/>
          <w:szCs w:val="22"/>
          <w:lang w:val="en-GB"/>
        </w:rPr>
      </w:pPr>
      <w:r w:rsidRPr="549A04E6" w:rsidR="70218193">
        <w:rPr>
          <w:rFonts w:ascii="Arial" w:hAnsi="Arial" w:eastAsia="Arial" w:cs="Arial"/>
          <w:noProof w:val="0"/>
          <w:color w:val="000000" w:themeColor="text1" w:themeTint="FF" w:themeShade="FF"/>
          <w:sz w:val="22"/>
          <w:szCs w:val="22"/>
          <w:lang w:val="en-GB"/>
        </w:rPr>
        <w:t>This is why it is so important for people with diabetes to understand how blood sugar works and to take steps to keep it under control. With the right support, knowledge, and lifestyle changes, it is possible to manage blood sugar levels safely and protect long-term health.</w:t>
      </w:r>
    </w:p>
    <w:p w:rsidR="549A04E6" w:rsidP="549A04E6" w:rsidRDefault="549A04E6" w14:paraId="382A7907" w14:textId="381E03BB">
      <w:pPr>
        <w:rPr>
          <w:rFonts w:ascii="Arial" w:hAnsi="Arial" w:eastAsia="Arial" w:cs="Arial"/>
          <w:sz w:val="22"/>
          <w:szCs w:val="22"/>
        </w:rPr>
      </w:pPr>
    </w:p>
    <w:p w:rsidR="70218193" w:rsidP="549A04E6" w:rsidRDefault="70218193" w14:paraId="0818B445" w14:textId="2D5DBD53">
      <w:pPr>
        <w:rPr>
          <w:rFonts w:ascii="Arial" w:hAnsi="Arial" w:eastAsia="Arial" w:cs="Arial"/>
          <w:b w:val="1"/>
          <w:bCs w:val="1"/>
          <w:noProof w:val="0"/>
          <w:color w:val="000000" w:themeColor="text1" w:themeTint="FF" w:themeShade="FF"/>
          <w:sz w:val="22"/>
          <w:szCs w:val="22"/>
          <w:lang w:val="en-GB"/>
        </w:rPr>
      </w:pPr>
      <w:r w:rsidRPr="549A04E6" w:rsidR="70218193">
        <w:rPr>
          <w:rFonts w:ascii="Arial" w:hAnsi="Arial" w:eastAsia="Arial" w:cs="Arial"/>
          <w:b w:val="1"/>
          <w:bCs w:val="1"/>
          <w:noProof w:val="0"/>
          <w:color w:val="000000" w:themeColor="text1" w:themeTint="FF" w:themeShade="FF"/>
          <w:sz w:val="22"/>
          <w:szCs w:val="22"/>
          <w:lang w:val="en-GB"/>
        </w:rPr>
        <w:t>How Oxygen and Glucose Are Used to Produce Energy Through Cell Metabolism</w:t>
      </w:r>
    </w:p>
    <w:p w:rsidR="70218193" w:rsidP="549A04E6" w:rsidRDefault="70218193" w14:paraId="00FE1F5D" w14:textId="3594A402">
      <w:pPr>
        <w:rPr>
          <w:rFonts w:ascii="Arial" w:hAnsi="Arial" w:eastAsia="Arial" w:cs="Arial"/>
          <w:noProof w:val="0"/>
          <w:color w:val="000000" w:themeColor="text1" w:themeTint="FF" w:themeShade="FF"/>
          <w:sz w:val="22"/>
          <w:szCs w:val="22"/>
          <w:lang w:val="en-GB"/>
        </w:rPr>
      </w:pPr>
      <w:r w:rsidRPr="549A04E6" w:rsidR="70218193">
        <w:rPr>
          <w:rFonts w:ascii="Arial" w:hAnsi="Arial" w:eastAsia="Arial" w:cs="Arial"/>
          <w:noProof w:val="0"/>
          <w:color w:val="000000" w:themeColor="text1" w:themeTint="FF" w:themeShade="FF"/>
          <w:sz w:val="22"/>
          <w:szCs w:val="22"/>
          <w:lang w:val="en-GB"/>
        </w:rPr>
        <w:t>Every single cell in the human body needs energy to work. Whether it is the heart beating, the lungs breathing, or the muscles moving, all of these actions require a constant supply of energy. That energy comes from a process called cellular respiration — the way the body uses glucose and oxygen together to produce power at a cellular level.</w:t>
      </w:r>
    </w:p>
    <w:p w:rsidR="70218193" w:rsidP="549A04E6" w:rsidRDefault="70218193" w14:paraId="6DDAF8D3" w14:textId="2D49D70E">
      <w:pPr>
        <w:rPr>
          <w:rFonts w:ascii="Arial" w:hAnsi="Arial" w:eastAsia="Arial" w:cs="Arial"/>
          <w:noProof w:val="0"/>
          <w:color w:val="000000" w:themeColor="text1" w:themeTint="FF" w:themeShade="FF"/>
          <w:sz w:val="22"/>
          <w:szCs w:val="22"/>
          <w:lang w:val="en-GB"/>
        </w:rPr>
      </w:pPr>
      <w:r w:rsidRPr="549A04E6" w:rsidR="70218193">
        <w:rPr>
          <w:rFonts w:ascii="Arial" w:hAnsi="Arial" w:eastAsia="Arial" w:cs="Arial"/>
          <w:noProof w:val="0"/>
          <w:color w:val="000000" w:themeColor="text1" w:themeTint="FF" w:themeShade="FF"/>
          <w:sz w:val="22"/>
          <w:szCs w:val="22"/>
          <w:lang w:val="en-GB"/>
        </w:rPr>
        <w:t>The energy our bodies need to grow and function every day comes from breaking down the food we eat through cellular respiration (Tortora and Derrickson, 2017). When we eat carbohydrates, they are broken down into glucose, which then enters the bloodstream and is delivered to cells around the body. At the same time, every breath we take brings oxygen into the lungs, which then travels through the blood to those same cells. Inside the cell, glucose and oxygen are converted into usable energy, with carbon dioxide and water produced as waste products (Alberts et al., 2002). The carbon dioxide is then breathed back out, and the water either stays in the body or is lost through sweat and urine.</w:t>
      </w:r>
    </w:p>
    <w:p w:rsidR="70218193" w:rsidP="549A04E6" w:rsidRDefault="70218193" w14:paraId="19D414C2" w14:textId="70A04CA3">
      <w:pPr>
        <w:rPr>
          <w:rFonts w:ascii="Arial" w:hAnsi="Arial" w:eastAsia="Arial" w:cs="Arial"/>
          <w:noProof w:val="0"/>
          <w:color w:val="000000" w:themeColor="text1" w:themeTint="FF" w:themeShade="FF"/>
          <w:sz w:val="22"/>
          <w:szCs w:val="22"/>
          <w:lang w:val="en-GB"/>
        </w:rPr>
      </w:pPr>
      <w:r w:rsidRPr="549A04E6" w:rsidR="70218193">
        <w:rPr>
          <w:rFonts w:ascii="Arial" w:hAnsi="Arial" w:eastAsia="Arial" w:cs="Arial"/>
          <w:noProof w:val="0"/>
          <w:color w:val="000000" w:themeColor="text1" w:themeTint="FF" w:themeShade="FF"/>
          <w:sz w:val="22"/>
          <w:szCs w:val="22"/>
          <w:lang w:val="en-GB"/>
        </w:rPr>
        <w:t>The energy that is made during this process is stored in a molecule called ATP — which stands for adenosine triphosphate. ATP acts like a portable battery for the cell, transporting energy to wherever it is needed and releasing it to power the body's essential functions (Tortora and Derrickson, 2017).</w:t>
      </w:r>
    </w:p>
    <w:p w:rsidR="70218193" w:rsidP="549A04E6" w:rsidRDefault="70218193" w14:paraId="3A64BA97" w14:textId="335C0A6A">
      <w:pPr>
        <w:rPr>
          <w:rFonts w:ascii="Arial" w:hAnsi="Arial" w:eastAsia="Arial" w:cs="Arial"/>
          <w:noProof w:val="0"/>
          <w:color w:val="000000" w:themeColor="text1" w:themeTint="FF" w:themeShade="FF"/>
          <w:sz w:val="22"/>
          <w:szCs w:val="22"/>
          <w:lang w:val="en-GB"/>
        </w:rPr>
      </w:pPr>
      <w:r w:rsidRPr="549A04E6" w:rsidR="70218193">
        <w:rPr>
          <w:rFonts w:ascii="Arial" w:hAnsi="Arial" w:eastAsia="Arial" w:cs="Arial"/>
          <w:noProof w:val="0"/>
          <w:color w:val="000000" w:themeColor="text1" w:themeTint="FF" w:themeShade="FF"/>
          <w:sz w:val="22"/>
          <w:szCs w:val="22"/>
          <w:lang w:val="en-GB"/>
        </w:rPr>
        <w:t>The process of making ATP from glucose happens in three main stages. The first stage is called glycolysis, which takes place in the main body of the cell. During glycolysis, one molecule of glucose is broken down into two smaller molecules called pyruvate, producing a small amount of ATP in the process (Alberts et al., 2002). The second stage, known as the Krebs cycle, happens inside a part of the cell called the mitochondria — often described as the powerhouse of the cell. Here, the pyruvate is broken down even further, releasing more energy. The third and final stage is called the electron transport chain, and this is where oxygen plays its most important role, acting as the final receiver of electrons and allowing the largest amount of ATP to be produced (Tortora and Derrickson, 2017).</w:t>
      </w:r>
    </w:p>
    <w:p w:rsidR="70218193" w:rsidP="549A04E6" w:rsidRDefault="70218193" w14:paraId="68274E5B" w14:textId="58CDDB17">
      <w:pPr>
        <w:rPr>
          <w:rFonts w:ascii="Arial" w:hAnsi="Arial" w:eastAsia="Arial" w:cs="Arial"/>
          <w:noProof w:val="0"/>
          <w:color w:val="000000" w:themeColor="text1" w:themeTint="FF" w:themeShade="FF"/>
          <w:sz w:val="22"/>
          <w:szCs w:val="22"/>
          <w:lang w:val="en-GB"/>
        </w:rPr>
      </w:pPr>
      <w:r w:rsidRPr="0FD5D7C0" w:rsidR="474736B7">
        <w:rPr>
          <w:rFonts w:ascii="Arial" w:hAnsi="Arial" w:eastAsia="Arial" w:cs="Arial"/>
          <w:noProof w:val="0"/>
          <w:color w:val="000000" w:themeColor="text1" w:themeTint="FF" w:themeShade="FF"/>
          <w:sz w:val="22"/>
          <w:szCs w:val="22"/>
          <w:lang w:val="en-GB"/>
        </w:rPr>
        <w:t xml:space="preserve">For people with diabetes, this process is affected because glucose cannot get into the cells properly without enough working insulin. This means the cells are </w:t>
      </w:r>
      <w:r w:rsidRPr="0FD5D7C0" w:rsidR="474736B7">
        <w:rPr>
          <w:rFonts w:ascii="Arial" w:hAnsi="Arial" w:eastAsia="Arial" w:cs="Arial"/>
          <w:noProof w:val="0"/>
          <w:color w:val="000000" w:themeColor="text1" w:themeTint="FF" w:themeShade="FF"/>
          <w:sz w:val="22"/>
          <w:szCs w:val="22"/>
          <w:lang w:val="en-GB"/>
        </w:rPr>
        <w:t>essentially starved</w:t>
      </w:r>
      <w:r w:rsidRPr="0FD5D7C0" w:rsidR="474736B7">
        <w:rPr>
          <w:rFonts w:ascii="Arial" w:hAnsi="Arial" w:eastAsia="Arial" w:cs="Arial"/>
          <w:noProof w:val="0"/>
          <w:color w:val="000000" w:themeColor="text1" w:themeTint="FF" w:themeShade="FF"/>
          <w:sz w:val="22"/>
          <w:szCs w:val="22"/>
          <w:lang w:val="en-GB"/>
        </w:rPr>
        <w:t xml:space="preserve"> of energy even when blood sugar levels are high (Alberts et al., 2002). Understanding this helps explain why managing blood sugar levels carefully is so important — it is not just about numbers on a monitor, but about making sure every cell in the body has the fuel it needs to keep working properly.</w:t>
      </w:r>
    </w:p>
    <w:p w:rsidR="7B0B54B6" w:rsidP="0FD5D7C0" w:rsidRDefault="7B0B54B6" w14:paraId="20BDE9B0" w14:textId="57D87671">
      <w:pPr>
        <w:rPr>
          <w:rFonts w:ascii="Arial" w:hAnsi="Arial" w:eastAsia="Arial" w:cs="Arial"/>
          <w:b w:val="1"/>
          <w:bCs w:val="1"/>
          <w:noProof w:val="0"/>
          <w:color w:val="000000" w:themeColor="text1" w:themeTint="FF" w:themeShade="FF"/>
          <w:sz w:val="22"/>
          <w:szCs w:val="22"/>
          <w:lang w:val="en-GB"/>
        </w:rPr>
      </w:pPr>
      <w:r w:rsidRPr="0FD5D7C0" w:rsidR="7B0B54B6">
        <w:rPr>
          <w:rFonts w:ascii="Arial" w:hAnsi="Arial" w:eastAsia="Arial" w:cs="Arial"/>
          <w:b w:val="1"/>
          <w:bCs w:val="1"/>
          <w:noProof w:val="0"/>
          <w:color w:val="000000" w:themeColor="text1" w:themeTint="FF" w:themeShade="FF"/>
          <w:sz w:val="22"/>
          <w:szCs w:val="22"/>
          <w:lang w:val="en-GB"/>
        </w:rPr>
        <w:t>How Recording and Tracking Blood Sugar Levels Helps Individuals with Type 2 Diabetes to Safely Manage Their Condition</w:t>
      </w:r>
    </w:p>
    <w:p w:rsidR="7B0B54B6" w:rsidP="0FD5D7C0" w:rsidRDefault="7B0B54B6" w14:paraId="7F2EAC3A" w14:textId="71307931">
      <w:pPr>
        <w:rPr>
          <w:rFonts w:ascii="Arial" w:hAnsi="Arial" w:eastAsia="Arial" w:cs="Arial"/>
          <w:noProof w:val="0"/>
          <w:color w:val="000000" w:themeColor="text1" w:themeTint="FF" w:themeShade="FF"/>
          <w:sz w:val="22"/>
          <w:szCs w:val="22"/>
          <w:lang w:val="en-GB"/>
        </w:rPr>
      </w:pPr>
      <w:r w:rsidRPr="0FD5D7C0" w:rsidR="7B0B54B6">
        <w:rPr>
          <w:rFonts w:ascii="Arial" w:hAnsi="Arial" w:eastAsia="Arial" w:cs="Arial"/>
          <w:noProof w:val="0"/>
          <w:color w:val="000000" w:themeColor="text1" w:themeTint="FF" w:themeShade="FF"/>
          <w:sz w:val="22"/>
          <w:szCs w:val="22"/>
          <w:lang w:val="en-GB"/>
        </w:rPr>
        <w:t>For people living with Type 2 diabetes, keeping track of blood sugar levels on a regular basis is one of the most practical things they can do to stay well. It gives both the patient and their healthcare team a much clearer picture of how the condition is behaving day to day, and helps everyone involved make better decisions about care and treatment.</w:t>
      </w:r>
    </w:p>
    <w:p w:rsidR="7B0B54B6" w:rsidP="0FD5D7C0" w:rsidRDefault="7B0B54B6" w14:paraId="3CEDBC0F" w14:textId="59206EE2">
      <w:pPr>
        <w:rPr>
          <w:rFonts w:ascii="Arial" w:hAnsi="Arial" w:eastAsia="Arial" w:cs="Arial"/>
          <w:noProof w:val="0"/>
          <w:color w:val="000000" w:themeColor="text1" w:themeTint="FF" w:themeShade="FF"/>
          <w:sz w:val="22"/>
          <w:szCs w:val="22"/>
          <w:lang w:val="en-GB"/>
        </w:rPr>
      </w:pPr>
      <w:r w:rsidRPr="0FD5D7C0" w:rsidR="7B0B54B6">
        <w:rPr>
          <w:rFonts w:ascii="Arial" w:hAnsi="Arial" w:eastAsia="Arial" w:cs="Arial"/>
          <w:noProof w:val="0"/>
          <w:color w:val="000000" w:themeColor="text1" w:themeTint="FF" w:themeShade="FF"/>
          <w:sz w:val="22"/>
          <w:szCs w:val="22"/>
          <w:lang w:val="en-GB"/>
        </w:rPr>
        <w:t xml:space="preserve">Blood glucose monitoring helps to identify patterns in how blood sugar levels change in response to things like diet, exercise, and medication. </w:t>
      </w:r>
      <w:hyperlink r:id="Raa5add040ef444ea">
        <w:r w:rsidRPr="0FD5D7C0" w:rsidR="7B0B54B6">
          <w:rPr>
            <w:rStyle w:val="Hyperlink"/>
            <w:rFonts w:ascii="Arial" w:hAnsi="Arial" w:eastAsia="Arial" w:cs="Arial"/>
            <w:noProof w:val="0"/>
            <w:color w:val="000000" w:themeColor="text1" w:themeTint="FF" w:themeShade="FF"/>
            <w:sz w:val="22"/>
            <w:szCs w:val="22"/>
            <w:lang w:val="en-GB"/>
          </w:rPr>
          <w:t>World Journal of Gastrointestinal Surgery</w:t>
        </w:r>
      </w:hyperlink>
      <w:r w:rsidRPr="0FD5D7C0" w:rsidR="7B0B54B6">
        <w:rPr>
          <w:rFonts w:ascii="Arial" w:hAnsi="Arial" w:eastAsia="Arial" w:cs="Arial"/>
          <w:noProof w:val="0"/>
          <w:color w:val="000000" w:themeColor="text1" w:themeTint="FF" w:themeShade="FF"/>
          <w:sz w:val="22"/>
          <w:szCs w:val="22"/>
          <w:lang w:val="en-GB"/>
        </w:rPr>
        <w:t xml:space="preserve"> This is really important because blood sugar does not stay the same throughout the day — it rises and falls depending on what a person eats, how active they are, whether they are feeling stressed, and even how well they slept the night before. Without tracking these changes, it can be very difficult to understand what is causing blood sugar to go too high or too low (Centers for Disease Control and Prevention, 2024).</w:t>
      </w:r>
    </w:p>
    <w:p w:rsidR="7B0B54B6" w:rsidP="0FD5D7C0" w:rsidRDefault="7B0B54B6" w14:paraId="70C88D52" w14:textId="768B8740">
      <w:pPr>
        <w:rPr>
          <w:rFonts w:ascii="Arial" w:hAnsi="Arial" w:eastAsia="Arial" w:cs="Arial"/>
          <w:noProof w:val="0"/>
          <w:color w:val="000000" w:themeColor="text1" w:themeTint="FF" w:themeShade="FF"/>
          <w:sz w:val="22"/>
          <w:szCs w:val="22"/>
          <w:lang w:val="en-GB"/>
        </w:rPr>
      </w:pPr>
      <w:r w:rsidRPr="0FD5D7C0" w:rsidR="7B0B54B6">
        <w:rPr>
          <w:rFonts w:ascii="Arial" w:hAnsi="Arial" w:eastAsia="Arial" w:cs="Arial"/>
          <w:noProof w:val="0"/>
          <w:color w:val="000000" w:themeColor="text1" w:themeTint="FF" w:themeShade="FF"/>
          <w:sz w:val="22"/>
          <w:szCs w:val="22"/>
          <w:lang w:val="en-GB"/>
        </w:rPr>
        <w:t xml:space="preserve">Monitoring blood sugar allows patients and their healthcare providers to detect when levels are too high or too low, which makes it easier to make changes to treatment and work towards better long-term control. </w:t>
      </w:r>
      <w:hyperlink r:id="Rd3f825924f68404d">
        <w:r w:rsidRPr="0FD5D7C0" w:rsidR="7B0B54B6">
          <w:rPr>
            <w:rStyle w:val="Hyperlink"/>
            <w:rFonts w:ascii="Arial" w:hAnsi="Arial" w:eastAsia="Arial" w:cs="Arial"/>
            <w:noProof w:val="0"/>
            <w:color w:val="000000" w:themeColor="text1" w:themeTint="FF" w:themeShade="FF"/>
            <w:sz w:val="22"/>
            <w:szCs w:val="22"/>
            <w:lang w:val="en-GB"/>
          </w:rPr>
          <w:t>WHO</w:t>
        </w:r>
      </w:hyperlink>
      <w:r w:rsidRPr="0FD5D7C0" w:rsidR="7B0B54B6">
        <w:rPr>
          <w:rFonts w:ascii="Arial" w:hAnsi="Arial" w:eastAsia="Arial" w:cs="Arial"/>
          <w:noProof w:val="0"/>
          <w:color w:val="000000" w:themeColor="text1" w:themeTint="FF" w:themeShade="FF"/>
          <w:sz w:val="22"/>
          <w:szCs w:val="22"/>
          <w:lang w:val="en-GB"/>
        </w:rPr>
        <w:t xml:space="preserve"> For example, if a patient notices that their blood sugar is consistently high after a particular meal, they can speak to their nurse or doctor about adjusting their diet or medication. This kind of information puts the patient in a much stronger position to be involved in their own care.</w:t>
      </w:r>
    </w:p>
    <w:p w:rsidR="7B0B54B6" w:rsidP="0FD5D7C0" w:rsidRDefault="7B0B54B6" w14:paraId="3A151FAA" w14:textId="3CFDBDAA">
      <w:pPr>
        <w:rPr>
          <w:rFonts w:ascii="Arial" w:hAnsi="Arial" w:eastAsia="Arial" w:cs="Arial"/>
          <w:noProof w:val="0"/>
          <w:color w:val="000000" w:themeColor="text1" w:themeTint="FF" w:themeShade="FF"/>
          <w:sz w:val="22"/>
          <w:szCs w:val="22"/>
          <w:lang w:val="en-GB"/>
        </w:rPr>
      </w:pPr>
      <w:r w:rsidRPr="0FD5D7C0" w:rsidR="7B0B54B6">
        <w:rPr>
          <w:rFonts w:ascii="Arial" w:hAnsi="Arial" w:eastAsia="Arial" w:cs="Arial"/>
          <w:noProof w:val="0"/>
          <w:color w:val="000000" w:themeColor="text1" w:themeTint="FF" w:themeShade="FF"/>
          <w:sz w:val="22"/>
          <w:szCs w:val="22"/>
          <w:lang w:val="en-GB"/>
        </w:rPr>
        <w:t xml:space="preserve">Tracking blood sugar over time also helps to spot trends that might not be obvious from a single reading. Records of blood sugar results can be used during appointments with healthcare providers to guide decisions about medication, physical activity, and food intake. </w:t>
      </w:r>
      <w:hyperlink r:id="Rd3bb98c9b67a4820">
        <w:r w:rsidRPr="0FD5D7C0" w:rsidR="7B0B54B6">
          <w:rPr>
            <w:rStyle w:val="Hyperlink"/>
            <w:rFonts w:ascii="Arial" w:hAnsi="Arial" w:eastAsia="Arial" w:cs="Arial"/>
            <w:noProof w:val="0"/>
            <w:color w:val="000000" w:themeColor="text1" w:themeTint="FF" w:themeShade="FF"/>
            <w:sz w:val="22"/>
            <w:szCs w:val="22"/>
            <w:lang w:val="en-GB"/>
          </w:rPr>
          <w:t>The Lancet</w:t>
        </w:r>
      </w:hyperlink>
      <w:r w:rsidRPr="0FD5D7C0" w:rsidR="7B0B54B6">
        <w:rPr>
          <w:rFonts w:ascii="Arial" w:hAnsi="Arial" w:eastAsia="Arial" w:cs="Arial"/>
          <w:noProof w:val="0"/>
          <w:color w:val="000000" w:themeColor="text1" w:themeTint="FF" w:themeShade="FF"/>
          <w:sz w:val="22"/>
          <w:szCs w:val="22"/>
          <w:lang w:val="en-GB"/>
        </w:rPr>
        <w:t xml:space="preserve"> This means that clinic appointments become more useful and more personalised, as there is real evidence to work from rather than relying on memory alone (Kirk and Stegner, 2010).</w:t>
      </w:r>
    </w:p>
    <w:p w:rsidR="7B0B54B6" w:rsidP="0FD5D7C0" w:rsidRDefault="7B0B54B6" w14:paraId="68B94888" w14:textId="2E579251">
      <w:pPr>
        <w:rPr>
          <w:rFonts w:ascii="Arial" w:hAnsi="Arial" w:eastAsia="Arial" w:cs="Arial"/>
          <w:noProof w:val="0"/>
          <w:color w:val="000000" w:themeColor="text1" w:themeTint="FF" w:themeShade="FF"/>
          <w:sz w:val="22"/>
          <w:szCs w:val="22"/>
          <w:lang w:val="en-GB"/>
        </w:rPr>
      </w:pPr>
      <w:r w:rsidRPr="0FD5D7C0" w:rsidR="7B0B54B6">
        <w:rPr>
          <w:rFonts w:ascii="Arial" w:hAnsi="Arial" w:eastAsia="Arial" w:cs="Arial"/>
          <w:noProof w:val="0"/>
          <w:color w:val="000000" w:themeColor="text1" w:themeTint="FF" w:themeShade="FF"/>
          <w:sz w:val="22"/>
          <w:szCs w:val="22"/>
          <w:lang w:val="en-GB"/>
        </w:rPr>
        <w:t xml:space="preserve">Research has also shown that self-monitoring of blood glucose can lead to better management of blood sugar levels through increased commitment to dietary recommendations and healthier lifestyle choices. </w:t>
      </w:r>
      <w:hyperlink r:id="Rf84a7c16c18e40b0">
        <w:r w:rsidRPr="0FD5D7C0" w:rsidR="7B0B54B6">
          <w:rPr>
            <w:rStyle w:val="Hyperlink"/>
            <w:rFonts w:ascii="Arial" w:hAnsi="Arial" w:eastAsia="Arial" w:cs="Arial"/>
            <w:noProof w:val="0"/>
            <w:color w:val="000000" w:themeColor="text1" w:themeTint="FF" w:themeShade="FF"/>
            <w:sz w:val="22"/>
            <w:szCs w:val="22"/>
            <w:lang w:val="en-GB"/>
          </w:rPr>
          <w:t>BMC Endocrine Disorders</w:t>
        </w:r>
      </w:hyperlink>
      <w:r w:rsidRPr="0FD5D7C0" w:rsidR="7B0B54B6">
        <w:rPr>
          <w:rFonts w:ascii="Arial" w:hAnsi="Arial" w:eastAsia="Arial" w:cs="Arial"/>
          <w:noProof w:val="0"/>
          <w:color w:val="000000" w:themeColor="text1" w:themeTint="FF" w:themeShade="FF"/>
          <w:sz w:val="22"/>
          <w:szCs w:val="22"/>
          <w:lang w:val="en-GB"/>
        </w:rPr>
        <w:t>When people can actually see the impact of their choices on their blood sugar levels, it can feel more motivating to make positive changes. Knowing that a short walk after a meal brings blood sugar down, for example, can encourage someone to make that a regular habit.</w:t>
      </w:r>
    </w:p>
    <w:p w:rsidR="7B0B54B6" w:rsidP="0FD5D7C0" w:rsidRDefault="7B0B54B6" w14:paraId="1671B27A" w14:textId="7F05DF30">
      <w:pPr>
        <w:rPr>
          <w:rFonts w:ascii="Arial" w:hAnsi="Arial" w:eastAsia="Arial" w:cs="Arial"/>
          <w:noProof w:val="0"/>
          <w:color w:val="000000" w:themeColor="text1" w:themeTint="FF" w:themeShade="FF"/>
          <w:sz w:val="22"/>
          <w:szCs w:val="22"/>
          <w:lang w:val="en-GB"/>
        </w:rPr>
      </w:pPr>
      <w:r w:rsidRPr="0FD5D7C0" w:rsidR="7B0B54B6">
        <w:rPr>
          <w:rFonts w:ascii="Arial" w:hAnsi="Arial" w:eastAsia="Arial" w:cs="Arial"/>
          <w:noProof w:val="0"/>
          <w:color w:val="000000" w:themeColor="text1" w:themeTint="FF" w:themeShade="FF"/>
          <w:sz w:val="22"/>
          <w:szCs w:val="22"/>
          <w:lang w:val="en-GB"/>
        </w:rPr>
        <w:t>In summary, recording and tracking blood sugar levels is not just about collecting numbers. It is about understanding the condition, feeling more in control, and having the right conversations with healthcare professionals to manage Type 2 diabetes as safely and effectively as possible.</w:t>
      </w:r>
    </w:p>
    <w:p w:rsidR="0FD5D7C0" w:rsidP="0FD5D7C0" w:rsidRDefault="0FD5D7C0" w14:paraId="3CF46523" w14:textId="2C27203D">
      <w:pPr>
        <w:rPr>
          <w:rFonts w:ascii="Arial" w:hAnsi="Arial" w:eastAsia="Arial" w:cs="Arial"/>
          <w:noProof w:val="0"/>
          <w:color w:val="000000" w:themeColor="text1" w:themeTint="FF" w:themeShade="FF"/>
          <w:sz w:val="22"/>
          <w:szCs w:val="22"/>
          <w:lang w:val="en-GB"/>
        </w:rPr>
      </w:pPr>
    </w:p>
    <w:p w:rsidR="0B24D02D" w:rsidP="0FD5D7C0" w:rsidRDefault="0B24D02D" w14:paraId="36D4DADE" w14:textId="48CA28C6">
      <w:pPr>
        <w:rPr>
          <w:rFonts w:ascii="Arial" w:hAnsi="Arial" w:eastAsia="Arial" w:cs="Arial"/>
          <w:b w:val="1"/>
          <w:bCs w:val="1"/>
          <w:noProof w:val="0"/>
          <w:color w:val="000000" w:themeColor="text1" w:themeTint="FF" w:themeShade="FF"/>
          <w:sz w:val="22"/>
          <w:szCs w:val="22"/>
          <w:lang w:val="en-GB"/>
        </w:rPr>
      </w:pPr>
      <w:r w:rsidRPr="0FD5D7C0" w:rsidR="0B24D02D">
        <w:rPr>
          <w:rFonts w:ascii="Arial" w:hAnsi="Arial" w:eastAsia="Arial" w:cs="Arial"/>
          <w:b w:val="1"/>
          <w:bCs w:val="1"/>
          <w:noProof w:val="0"/>
          <w:color w:val="000000" w:themeColor="text1" w:themeTint="FF" w:themeShade="FF"/>
          <w:sz w:val="22"/>
          <w:szCs w:val="22"/>
          <w:lang w:val="en-GB"/>
        </w:rPr>
        <w:t>Evidence-Based Recommendations on How Lifestyle Changes Could Help Improve the Condition of People with Type 2 Diabetes</w:t>
      </w:r>
    </w:p>
    <w:p w:rsidR="0B24D02D" w:rsidP="0FD5D7C0" w:rsidRDefault="0B24D02D" w14:paraId="3D99B192" w14:textId="269EB58E">
      <w:pPr>
        <w:rPr>
          <w:rFonts w:ascii="Arial" w:hAnsi="Arial" w:eastAsia="Arial" w:cs="Arial"/>
          <w:noProof w:val="0"/>
          <w:color w:val="000000" w:themeColor="text1" w:themeTint="FF" w:themeShade="FF"/>
          <w:sz w:val="22"/>
          <w:szCs w:val="22"/>
          <w:lang w:val="en-GB"/>
        </w:rPr>
      </w:pPr>
      <w:r w:rsidRPr="0FD5D7C0" w:rsidR="0B24D02D">
        <w:rPr>
          <w:rFonts w:ascii="Arial" w:hAnsi="Arial" w:eastAsia="Arial" w:cs="Arial"/>
          <w:noProof w:val="0"/>
          <w:color w:val="000000" w:themeColor="text1" w:themeTint="FF" w:themeShade="FF"/>
          <w:sz w:val="22"/>
          <w:szCs w:val="22"/>
          <w:lang w:val="en-GB"/>
        </w:rPr>
        <w:t>Being diagnosed with Type 2 diabetes can feel overwhelming, but the good news is that there is strong evidence to show that making changes to everyday habits can have a real and positive impact on managing the condition. Lifestyle changes are not a replacement for medication, but they can work alongside it to help keep blood sugar levels under control and reduce the risk of serious complications developing over time.</w:t>
      </w:r>
    </w:p>
    <w:p w:rsidR="0B24D02D" w:rsidP="0FD5D7C0" w:rsidRDefault="0B24D02D" w14:paraId="6425B0B6" w14:textId="41454E43">
      <w:pPr>
        <w:rPr>
          <w:rFonts w:ascii="Arial" w:hAnsi="Arial" w:eastAsia="Arial" w:cs="Arial"/>
          <w:noProof w:val="0"/>
          <w:color w:val="000000" w:themeColor="text1" w:themeTint="FF" w:themeShade="FF"/>
          <w:sz w:val="22"/>
          <w:szCs w:val="22"/>
          <w:lang w:val="en-GB"/>
        </w:rPr>
      </w:pPr>
      <w:r w:rsidRPr="0FD5D7C0" w:rsidR="0B24D02D">
        <w:rPr>
          <w:rFonts w:ascii="Arial" w:hAnsi="Arial" w:eastAsia="Arial" w:cs="Arial"/>
          <w:noProof w:val="0"/>
          <w:color w:val="000000" w:themeColor="text1" w:themeTint="FF" w:themeShade="FF"/>
          <w:sz w:val="22"/>
          <w:szCs w:val="22"/>
          <w:lang w:val="en-GB"/>
        </w:rPr>
        <w:t xml:space="preserve">One of the most important lifestyle changes a person with Type 2 diabetes can make is improving their diet. Dietary changes such as following a Mediterranean diet or a low glycaemic index eating pattern have been shown to be effective in improving key health markers in people with Type 2 diabetes. </w:t>
      </w:r>
      <w:hyperlink r:id="R409fbfa947f1467f">
        <w:r w:rsidRPr="0FD5D7C0" w:rsidR="0B24D02D">
          <w:rPr>
            <w:rStyle w:val="Hyperlink"/>
            <w:rFonts w:ascii="Arial" w:hAnsi="Arial" w:eastAsia="Arial" w:cs="Arial"/>
            <w:noProof w:val="0"/>
            <w:color w:val="000000" w:themeColor="text1" w:themeTint="FF" w:themeShade="FF"/>
            <w:sz w:val="22"/>
            <w:szCs w:val="22"/>
            <w:lang w:val="en-GB"/>
          </w:rPr>
          <w:t>WHO</w:t>
        </w:r>
      </w:hyperlink>
      <w:r w:rsidRPr="0FD5D7C0" w:rsidR="0B24D02D">
        <w:rPr>
          <w:rFonts w:ascii="Arial" w:hAnsi="Arial" w:eastAsia="Arial" w:cs="Arial"/>
          <w:noProof w:val="0"/>
          <w:color w:val="000000" w:themeColor="text1" w:themeTint="FF" w:themeShade="FF"/>
          <w:sz w:val="22"/>
          <w:szCs w:val="22"/>
          <w:lang w:val="en-GB"/>
        </w:rPr>
        <w:t xml:space="preserve"> A low glycaemic index diet focuses on eating foods that release sugar slowly into the bloodstream, such as wholegrains, vegetables, beans, and lentils, rather than foods that cause a quick spike in blood sugar. Cutting back on sugary drinks, processed foods, and large portions of starchy carbohydrates can also make a significant difference to blood sugar levels day to day (Tsilidis et al., 2020).</w:t>
      </w:r>
    </w:p>
    <w:p w:rsidR="0B24D02D" w:rsidP="0FD5D7C0" w:rsidRDefault="0B24D02D" w14:paraId="0019DE8C" w14:textId="4C15ED22">
      <w:pPr>
        <w:rPr>
          <w:rFonts w:ascii="Arial" w:hAnsi="Arial" w:eastAsia="Arial" w:cs="Arial"/>
          <w:noProof w:val="0"/>
          <w:color w:val="000000" w:themeColor="text1" w:themeTint="FF" w:themeShade="FF"/>
          <w:sz w:val="22"/>
          <w:szCs w:val="22"/>
          <w:lang w:val="en-GB"/>
        </w:rPr>
      </w:pPr>
      <w:r w:rsidRPr="0FD5D7C0" w:rsidR="0B24D02D">
        <w:rPr>
          <w:rFonts w:ascii="Arial" w:hAnsi="Arial" w:eastAsia="Arial" w:cs="Arial"/>
          <w:noProof w:val="0"/>
          <w:color w:val="000000" w:themeColor="text1" w:themeTint="FF" w:themeShade="FF"/>
          <w:sz w:val="22"/>
          <w:szCs w:val="22"/>
          <w:lang w:val="en-GB"/>
        </w:rPr>
        <w:t xml:space="preserve">Regular physical activity is another evidence-based recommendation that can greatly help people manage their condition. Regular physical activity can help prevent further complications and improve blood pressure control in people with Type 2 diabetes. </w:t>
      </w:r>
      <w:hyperlink r:id="Rf8fa0719227a4be0">
        <w:r w:rsidRPr="0FD5D7C0" w:rsidR="0B24D02D">
          <w:rPr>
            <w:rStyle w:val="Hyperlink"/>
            <w:rFonts w:ascii="Arial" w:hAnsi="Arial" w:eastAsia="Arial" w:cs="Arial"/>
            <w:noProof w:val="0"/>
            <w:color w:val="000000" w:themeColor="text1" w:themeTint="FF" w:themeShade="FF"/>
            <w:sz w:val="22"/>
            <w:szCs w:val="22"/>
            <w:lang w:val="en-GB"/>
          </w:rPr>
          <w:t>BMC Endocrine Disorders</w:t>
        </w:r>
      </w:hyperlink>
      <w:r w:rsidRPr="0FD5D7C0" w:rsidR="0B24D02D">
        <w:rPr>
          <w:rFonts w:ascii="Arial" w:hAnsi="Arial" w:eastAsia="Arial" w:cs="Arial"/>
          <w:noProof w:val="0"/>
          <w:color w:val="000000" w:themeColor="text1" w:themeTint="FF" w:themeShade="FF"/>
          <w:sz w:val="22"/>
          <w:szCs w:val="22"/>
          <w:lang w:val="en-GB"/>
        </w:rPr>
        <w:t xml:space="preserve"> Exercise helps the body use insulin more effectively, which means blood sugar levels are more likely to stay within a safe range. A major study found that a combination of a healthy diet and moderate-intensity exercise for 150 minutes each week reduced the risk of developing Type 2 diabetes by 58% in people who were at high risk. </w:t>
      </w:r>
      <w:hyperlink r:id="Ra71aff2b2235451a">
        <w:r w:rsidRPr="0FD5D7C0" w:rsidR="0B24D02D">
          <w:rPr>
            <w:rStyle w:val="Hyperlink"/>
            <w:rFonts w:ascii="Arial" w:hAnsi="Arial" w:eastAsia="Arial" w:cs="Arial"/>
            <w:noProof w:val="0"/>
            <w:color w:val="000000" w:themeColor="text1" w:themeTint="FF" w:themeShade="FF"/>
            <w:sz w:val="22"/>
            <w:szCs w:val="22"/>
            <w:lang w:val="en-GB"/>
          </w:rPr>
          <w:t>Open Access Journals</w:t>
        </w:r>
      </w:hyperlink>
      <w:r w:rsidRPr="0FD5D7C0" w:rsidR="0B24D02D">
        <w:rPr>
          <w:rFonts w:ascii="Arial" w:hAnsi="Arial" w:eastAsia="Arial" w:cs="Arial"/>
          <w:noProof w:val="0"/>
          <w:color w:val="000000" w:themeColor="text1" w:themeTint="FF" w:themeShade="FF"/>
          <w:sz w:val="22"/>
          <w:szCs w:val="22"/>
          <w:lang w:val="en-GB"/>
        </w:rPr>
        <w:t xml:space="preserve"> Even small amounts of activity, such as a daily walk, can make a meaningful difference and is a good starting point for people who are not used to being active.</w:t>
      </w:r>
    </w:p>
    <w:p w:rsidR="0B24D02D" w:rsidP="0FD5D7C0" w:rsidRDefault="0B24D02D" w14:paraId="29F583CB" w14:textId="778F9F65">
      <w:pPr>
        <w:rPr>
          <w:rFonts w:ascii="Arial" w:hAnsi="Arial" w:eastAsia="Arial" w:cs="Arial"/>
          <w:noProof w:val="0"/>
          <w:color w:val="000000" w:themeColor="text1" w:themeTint="FF" w:themeShade="FF"/>
          <w:sz w:val="22"/>
          <w:szCs w:val="22"/>
          <w:lang w:val="en-GB"/>
        </w:rPr>
      </w:pPr>
      <w:r w:rsidRPr="0FD5D7C0" w:rsidR="0B24D02D">
        <w:rPr>
          <w:rFonts w:ascii="Arial" w:hAnsi="Arial" w:eastAsia="Arial" w:cs="Arial"/>
          <w:noProof w:val="0"/>
          <w:color w:val="000000" w:themeColor="text1" w:themeTint="FF" w:themeShade="FF"/>
          <w:sz w:val="22"/>
          <w:szCs w:val="22"/>
          <w:lang w:val="en-GB"/>
        </w:rPr>
        <w:t xml:space="preserve">Stopping smoking is also strongly recommended for people with Type 2 diabetes. There is a clear positive link between smoking and the risk of developing Type 2 diabetes, and people who already have the condition are strongly advised to stop, as smoking increases the risk of serious heart and blood vessel problems. </w:t>
      </w:r>
      <w:hyperlink r:id="R55b8ed7350644fbd">
        <w:r w:rsidRPr="0FD5D7C0" w:rsidR="0B24D02D">
          <w:rPr>
            <w:rStyle w:val="Hyperlink"/>
            <w:rFonts w:ascii="Arial" w:hAnsi="Arial" w:eastAsia="Arial" w:cs="Arial"/>
            <w:noProof w:val="0"/>
            <w:color w:val="000000" w:themeColor="text1" w:themeTint="FF" w:themeShade="FF"/>
            <w:sz w:val="22"/>
            <w:szCs w:val="22"/>
            <w:lang w:val="en-GB"/>
          </w:rPr>
          <w:t>PubMed Central</w:t>
        </w:r>
      </w:hyperlink>
      <w:r w:rsidRPr="0FD5D7C0" w:rsidR="0B24D02D">
        <w:rPr>
          <w:rFonts w:ascii="Arial" w:hAnsi="Arial" w:eastAsia="Arial" w:cs="Arial"/>
          <w:noProof w:val="0"/>
          <w:color w:val="000000" w:themeColor="text1" w:themeTint="FF" w:themeShade="FF"/>
          <w:sz w:val="22"/>
          <w:szCs w:val="22"/>
          <w:lang w:val="en-GB"/>
        </w:rPr>
        <w:t xml:space="preserve"> Support to stop smoking is available through GP surgeries and local NHS services, and research shows that quitting, even later in life, can bring significant health benefits.</w:t>
      </w:r>
    </w:p>
    <w:p w:rsidR="0B24D02D" w:rsidP="0FD5D7C0" w:rsidRDefault="0B24D02D" w14:paraId="6B7FC1AD" w14:textId="1D939C98">
      <w:pPr>
        <w:rPr>
          <w:rFonts w:ascii="Arial" w:hAnsi="Arial" w:eastAsia="Arial" w:cs="Arial"/>
          <w:noProof w:val="0"/>
          <w:color w:val="000000" w:themeColor="text1" w:themeTint="FF" w:themeShade="FF"/>
          <w:sz w:val="22"/>
          <w:szCs w:val="22"/>
          <w:lang w:val="en-GB"/>
        </w:rPr>
      </w:pPr>
      <w:r w:rsidRPr="1F090E8F" w:rsidR="3D872329">
        <w:rPr>
          <w:rFonts w:ascii="Arial" w:hAnsi="Arial" w:eastAsia="Arial" w:cs="Arial"/>
          <w:noProof w:val="0"/>
          <w:color w:val="000000" w:themeColor="text1" w:themeTint="FF" w:themeShade="FF"/>
          <w:sz w:val="22"/>
          <w:szCs w:val="22"/>
          <w:lang w:val="en-GB"/>
        </w:rPr>
        <w:t xml:space="preserve">Finally, research has shown that self-management education programmes that cover diet, physical activity, and smoking are more effective when delivered by healthcare professionals, and lead to better blood sugar control overall. </w:t>
      </w:r>
      <w:hyperlink r:id="Rc0a5f9c396cd4ac5">
        <w:r w:rsidRPr="1F090E8F" w:rsidR="3D872329">
          <w:rPr>
            <w:rStyle w:val="Hyperlink"/>
            <w:rFonts w:ascii="Arial" w:hAnsi="Arial" w:eastAsia="Arial" w:cs="Arial"/>
            <w:noProof w:val="0"/>
            <w:color w:val="000000" w:themeColor="text1" w:themeTint="FF" w:themeShade="FF"/>
            <w:sz w:val="22"/>
            <w:szCs w:val="22"/>
            <w:lang w:val="en-GB"/>
          </w:rPr>
          <w:t>World Journal of Gastrointestinal Surgery</w:t>
        </w:r>
      </w:hyperlink>
      <w:r w:rsidRPr="1F090E8F" w:rsidR="3D872329">
        <w:rPr>
          <w:rFonts w:ascii="Arial" w:hAnsi="Arial" w:eastAsia="Arial" w:cs="Arial"/>
          <w:noProof w:val="0"/>
          <w:color w:val="000000" w:themeColor="text1" w:themeTint="FF" w:themeShade="FF"/>
          <w:sz w:val="22"/>
          <w:szCs w:val="22"/>
          <w:lang w:val="en-GB"/>
        </w:rPr>
        <w:t xml:space="preserve"> This highlights how important it is for patients to feel supported and well-informed in their care. Small, consistent changes in daily life, made with the right guidance, can add up to a much healthier future for people living with Type 2 diabetes.</w:t>
      </w:r>
    </w:p>
    <w:p w:rsidR="42493FED" w:rsidP="1F090E8F" w:rsidRDefault="42493FED" w14:paraId="4D96EE59" w14:textId="2F1FA009">
      <w:pPr>
        <w:rPr>
          <w:rFonts w:ascii="Arial" w:hAnsi="Arial" w:eastAsia="Arial" w:cs="Arial"/>
          <w:b w:val="1"/>
          <w:bCs w:val="1"/>
          <w:noProof w:val="0"/>
          <w:color w:val="000000" w:themeColor="text1" w:themeTint="FF" w:themeShade="FF"/>
          <w:sz w:val="22"/>
          <w:szCs w:val="22"/>
          <w:lang w:val="en-GB"/>
        </w:rPr>
      </w:pPr>
      <w:r w:rsidRPr="1F090E8F" w:rsidR="42493FED">
        <w:rPr>
          <w:rFonts w:ascii="Arial" w:hAnsi="Arial" w:eastAsia="Arial" w:cs="Arial"/>
          <w:b w:val="1"/>
          <w:bCs w:val="1"/>
          <w:noProof w:val="0"/>
          <w:color w:val="000000" w:themeColor="text1" w:themeTint="FF" w:themeShade="FF"/>
          <w:sz w:val="22"/>
          <w:szCs w:val="22"/>
          <w:lang w:val="en-GB"/>
        </w:rPr>
        <w:t>Conclusion:</w:t>
      </w:r>
    </w:p>
    <w:p w:rsidR="13A56471" w:rsidP="1F090E8F" w:rsidRDefault="13A56471" w14:paraId="37C25231" w14:textId="719A435F">
      <w:pPr>
        <w:rPr>
          <w:rFonts w:ascii="Arial" w:hAnsi="Arial" w:eastAsia="Arial" w:cs="Arial"/>
          <w:noProof w:val="0"/>
          <w:color w:val="000000" w:themeColor="text1" w:themeTint="FF" w:themeShade="FF"/>
          <w:sz w:val="22"/>
          <w:szCs w:val="22"/>
          <w:lang w:val="en-GB"/>
        </w:rPr>
      </w:pPr>
      <w:r w:rsidRPr="1F090E8F" w:rsidR="13A56471">
        <w:rPr>
          <w:rFonts w:ascii="Arial" w:hAnsi="Arial" w:eastAsia="Arial" w:cs="Arial"/>
          <w:noProof w:val="0"/>
          <w:color w:val="000000" w:themeColor="text1" w:themeTint="FF" w:themeShade="FF"/>
          <w:sz w:val="22"/>
          <w:szCs w:val="22"/>
          <w:lang w:val="en-GB"/>
        </w:rPr>
        <w:t>This piece has explored some of the key things that people with Type 2 diabetes need to understand in order to manage their condition safely and effectively. From understanding what diabetes is and what causes it, to learning how the body controls blood sugar and how cells use glucose and oxygen for energy, having this knowledge gives patients a much stronger foundation to build their self-care on.</w:t>
      </w:r>
    </w:p>
    <w:p w:rsidR="13A56471" w:rsidP="1F090E8F" w:rsidRDefault="13A56471" w14:paraId="52B60892" w14:textId="64860FEE">
      <w:pPr>
        <w:rPr>
          <w:rFonts w:ascii="Arial" w:hAnsi="Arial" w:eastAsia="Arial" w:cs="Arial"/>
          <w:noProof w:val="0"/>
          <w:color w:val="000000" w:themeColor="text1" w:themeTint="FF" w:themeShade="FF"/>
          <w:sz w:val="22"/>
          <w:szCs w:val="22"/>
          <w:lang w:val="en-GB"/>
        </w:rPr>
      </w:pPr>
      <w:r w:rsidRPr="1F090E8F" w:rsidR="13A56471">
        <w:rPr>
          <w:rFonts w:ascii="Arial" w:hAnsi="Arial" w:eastAsia="Arial" w:cs="Arial"/>
          <w:noProof w:val="0"/>
          <w:color w:val="000000" w:themeColor="text1" w:themeTint="FF" w:themeShade="FF"/>
          <w:sz w:val="22"/>
          <w:szCs w:val="22"/>
          <w:lang w:val="en-GB"/>
        </w:rPr>
        <w:t xml:space="preserve">It is clear from the evidence that diabetes is not a condition that can be managed by healthcare professionals alone. Education and support for self-management are fundamental when caring for people with a condition like diabetes, and in order to achieve effective self-management including lifestyle changes, it is also crucial to keep patients motivated and informed. </w:t>
      </w:r>
      <w:hyperlink r:id="Rf1276d186aba4595">
        <w:r w:rsidRPr="1F090E8F" w:rsidR="13A56471">
          <w:rPr>
            <w:rStyle w:val="Hyperlink"/>
            <w:rFonts w:ascii="Arial" w:hAnsi="Arial" w:eastAsia="Arial" w:cs="Arial"/>
            <w:noProof w:val="0"/>
            <w:color w:val="000000" w:themeColor="text1" w:themeTint="FF" w:themeShade="FF"/>
            <w:sz w:val="22"/>
            <w:szCs w:val="22"/>
            <w:lang w:val="en-GB"/>
          </w:rPr>
          <w:t>BMC Endocrine Disorders</w:t>
        </w:r>
      </w:hyperlink>
      <w:r w:rsidRPr="1F090E8F" w:rsidR="13A56471">
        <w:rPr>
          <w:rFonts w:ascii="Arial" w:hAnsi="Arial" w:eastAsia="Arial" w:cs="Arial"/>
          <w:noProof w:val="0"/>
          <w:color w:val="000000" w:themeColor="text1" w:themeTint="FF" w:themeShade="FF"/>
          <w:sz w:val="22"/>
          <w:szCs w:val="22"/>
          <w:lang w:val="en-GB"/>
        </w:rPr>
        <w:t xml:space="preserve"> This is why the role of the practice nurse is so important — not just in delivering clinical care, but in making sure patients truly understand their condition and feel confident in managing it day to day.</w:t>
      </w:r>
    </w:p>
    <w:p w:rsidR="13A56471" w:rsidP="1F090E8F" w:rsidRDefault="13A56471" w14:paraId="6FCD9FDB" w14:textId="56A8BBC2">
      <w:pPr>
        <w:rPr>
          <w:rFonts w:ascii="Arial" w:hAnsi="Arial" w:eastAsia="Arial" w:cs="Arial"/>
          <w:sz w:val="22"/>
          <w:szCs w:val="22"/>
        </w:rPr>
      </w:pPr>
      <w:r w:rsidRPr="1F090E8F" w:rsidR="13A56471">
        <w:rPr>
          <w:rFonts w:ascii="Arial" w:hAnsi="Arial" w:eastAsia="Arial" w:cs="Arial"/>
          <w:noProof w:val="0"/>
          <w:color w:val="000000" w:themeColor="text1" w:themeTint="FF" w:themeShade="FF"/>
          <w:sz w:val="22"/>
          <w:szCs w:val="22"/>
          <w:lang w:val="en-GB"/>
        </w:rPr>
        <w:t xml:space="preserve">Tracking blood sugar levels regularly plays a central part in this. When patients can see how their food choices, activity levels, and daily habits affect their readings, they are in a much better position to make meaningful changes. Research has shown that patient empowerment is closely linked to better self-care behaviours, including diet, physical activity, blood sugar testing, and medication adherence, all of which contribute to improved outcomes for people with Type 2 diabetes. </w:t>
      </w:r>
      <w:hyperlink r:id="R0a82f7786df24b56">
        <w:r w:rsidRPr="1F090E8F" w:rsidR="13A56471">
          <w:rPr>
            <w:rStyle w:val="Hyperlink"/>
            <w:rFonts w:ascii="Arial" w:hAnsi="Arial" w:eastAsia="Arial" w:cs="Arial"/>
            <w:noProof w:val="0"/>
            <w:color w:val="000000" w:themeColor="text1" w:themeTint="FF" w:themeShade="FF"/>
            <w:sz w:val="22"/>
            <w:szCs w:val="22"/>
            <w:lang w:val="en-GB"/>
          </w:rPr>
          <w:t>PubMed Central</w:t>
        </w:r>
      </w:hyperlink>
    </w:p>
    <w:p w:rsidR="13A56471" w:rsidP="1F090E8F" w:rsidRDefault="13A56471" w14:paraId="3AE77848" w14:textId="383A2473">
      <w:pPr>
        <w:rPr>
          <w:rFonts w:ascii="Arial" w:hAnsi="Arial" w:eastAsia="Arial" w:cs="Arial"/>
          <w:noProof w:val="0"/>
          <w:color w:val="000000" w:themeColor="text1" w:themeTint="FF" w:themeShade="FF"/>
          <w:sz w:val="22"/>
          <w:szCs w:val="22"/>
          <w:lang w:val="en-GB"/>
        </w:rPr>
      </w:pPr>
      <w:r w:rsidRPr="1F090E8F" w:rsidR="13A56471">
        <w:rPr>
          <w:rFonts w:ascii="Arial" w:hAnsi="Arial" w:eastAsia="Arial" w:cs="Arial"/>
          <w:noProof w:val="0"/>
          <w:color w:val="000000" w:themeColor="text1" w:themeTint="FF" w:themeShade="FF"/>
          <w:sz w:val="22"/>
          <w:szCs w:val="22"/>
          <w:lang w:val="en-GB"/>
        </w:rPr>
        <w:t xml:space="preserve">Lifestyle changes such as eating a healthier diet, becoming more physically active, and stopping smoking have all been shown to make a real difference to blood sugar control and long-term health. Studies emphasise the importance of education in improving knowledge and practices related to diabetes management, ultimately leading to better blood sugar control and fewer complications over time. </w:t>
      </w:r>
      <w:hyperlink r:id="R5a4ab5c028a046de">
        <w:r w:rsidRPr="1F090E8F" w:rsidR="13A56471">
          <w:rPr>
            <w:rStyle w:val="Hyperlink"/>
            <w:rFonts w:ascii="Arial" w:hAnsi="Arial" w:eastAsia="Arial" w:cs="Arial"/>
            <w:noProof w:val="0"/>
            <w:color w:val="000000" w:themeColor="text1" w:themeTint="FF" w:themeShade="FF"/>
            <w:sz w:val="22"/>
            <w:szCs w:val="22"/>
            <w:lang w:val="en-GB"/>
          </w:rPr>
          <w:t>WHO</w:t>
        </w:r>
      </w:hyperlink>
      <w:r w:rsidRPr="1F090E8F" w:rsidR="13A56471">
        <w:rPr>
          <w:rFonts w:ascii="Arial" w:hAnsi="Arial" w:eastAsia="Arial" w:cs="Arial"/>
          <w:noProof w:val="0"/>
          <w:color w:val="000000" w:themeColor="text1" w:themeTint="FF" w:themeShade="FF"/>
          <w:sz w:val="22"/>
          <w:szCs w:val="22"/>
          <w:lang w:val="en-GB"/>
        </w:rPr>
        <w:t xml:space="preserve"> These changes do not have to happen all at once — small, steady improvements can be just as effective when they are maintained consistently.</w:t>
      </w:r>
    </w:p>
    <w:p w:rsidR="13A56471" w:rsidP="1F090E8F" w:rsidRDefault="13A56471" w14:paraId="6A20C77B" w14:textId="2C739BF8">
      <w:pPr>
        <w:rPr>
          <w:rFonts w:ascii="Arial" w:hAnsi="Arial" w:eastAsia="Arial" w:cs="Arial"/>
          <w:noProof w:val="0"/>
          <w:color w:val="000000" w:themeColor="text1" w:themeTint="FF" w:themeShade="FF"/>
          <w:sz w:val="22"/>
          <w:szCs w:val="22"/>
          <w:lang w:val="en-GB"/>
        </w:rPr>
      </w:pPr>
      <w:r w:rsidRPr="1F090E8F" w:rsidR="13A56471">
        <w:rPr>
          <w:rFonts w:ascii="Arial" w:hAnsi="Arial" w:eastAsia="Arial" w:cs="Arial"/>
          <w:noProof w:val="0"/>
          <w:color w:val="000000" w:themeColor="text1" w:themeTint="FF" w:themeShade="FF"/>
          <w:sz w:val="22"/>
          <w:szCs w:val="22"/>
          <w:lang w:val="en-GB"/>
        </w:rPr>
        <w:t>Ultimately, diabetes</w:t>
      </w:r>
      <w:r w:rsidRPr="1F090E8F" w:rsidR="13A56471">
        <w:rPr>
          <w:rFonts w:ascii="Arial" w:hAnsi="Arial" w:eastAsia="Arial" w:cs="Arial"/>
          <w:noProof w:val="0"/>
          <w:color w:val="000000" w:themeColor="text1" w:themeTint="FF" w:themeShade="FF"/>
          <w:sz w:val="22"/>
          <w:szCs w:val="22"/>
          <w:lang w:val="en-GB"/>
        </w:rPr>
        <w:t xml:space="preserve"> education is critical to self-management of the condition, and every patient visit is an opportunity for healthcare professionals to offer support, reinforce healthy behaviours, and help patients feel more in control of their own health. </w:t>
      </w:r>
      <w:hyperlink r:id="Rabc87fd3be2942a7">
        <w:r w:rsidRPr="1F090E8F" w:rsidR="13A56471">
          <w:rPr>
            <w:rStyle w:val="Hyperlink"/>
            <w:rFonts w:ascii="Arial" w:hAnsi="Arial" w:eastAsia="Arial" w:cs="Arial"/>
            <w:noProof w:val="0"/>
            <w:color w:val="000000" w:themeColor="text1" w:themeTint="FF" w:themeShade="FF"/>
            <w:sz w:val="22"/>
            <w:szCs w:val="22"/>
            <w:lang w:val="en-GB"/>
          </w:rPr>
          <w:t>Open Access Journals</w:t>
        </w:r>
      </w:hyperlink>
      <w:r w:rsidRPr="1F090E8F" w:rsidR="13A56471">
        <w:rPr>
          <w:rFonts w:ascii="Arial" w:hAnsi="Arial" w:eastAsia="Arial" w:cs="Arial"/>
          <w:noProof w:val="0"/>
          <w:color w:val="000000" w:themeColor="text1" w:themeTint="FF" w:themeShade="FF"/>
          <w:sz w:val="22"/>
          <w:szCs w:val="22"/>
          <w:lang w:val="en-GB"/>
        </w:rPr>
        <w:t xml:space="preserve"> With the right information, encouragement, and practical tools, people living with Type 2 diabetes can lead healthy, fulfilling lives and significantly reduce their risk of serious complications developing in the future.</w:t>
      </w:r>
    </w:p>
    <w:p w:rsidR="1F090E8F" w:rsidP="1F090E8F" w:rsidRDefault="1F090E8F" w14:paraId="4079F1C1" w14:textId="7E0C2639">
      <w:pPr>
        <w:rPr>
          <w:rFonts w:ascii="Arial" w:hAnsi="Arial" w:eastAsia="Arial" w:cs="Arial"/>
          <w:noProof w:val="0"/>
          <w:color w:val="000000" w:themeColor="text1" w:themeTint="FF" w:themeShade="FF"/>
          <w:sz w:val="22"/>
          <w:szCs w:val="22"/>
          <w:lang w:val="en-GB"/>
        </w:rPr>
      </w:pPr>
    </w:p>
    <w:p w:rsidR="0FD5D7C0" w:rsidP="0FD5D7C0" w:rsidRDefault="0FD5D7C0" w14:paraId="31FB787D" w14:textId="71F21F34">
      <w:pPr>
        <w:rPr>
          <w:rFonts w:ascii="Arial" w:hAnsi="Arial" w:eastAsia="Arial" w:cs="Arial"/>
          <w:noProof w:val="0"/>
          <w:color w:val="000000" w:themeColor="text1" w:themeTint="FF" w:themeShade="FF"/>
          <w:sz w:val="22"/>
          <w:szCs w:val="22"/>
          <w:lang w:val="en-GB"/>
        </w:rPr>
      </w:pPr>
    </w:p>
    <w:p w:rsidR="01B49D9E" w:rsidP="3CBA91FF" w:rsidRDefault="01B49D9E" w14:paraId="03445478" w14:textId="02EDB64B">
      <w:pPr>
        <w:pStyle w:val="Normal"/>
        <w:rPr>
          <w:rFonts w:ascii="Arial" w:hAnsi="Arial" w:eastAsia="Arial" w:cs="Arial"/>
          <w:b w:val="1"/>
          <w:bCs w:val="1"/>
          <w:noProof w:val="0"/>
          <w:color w:val="000000" w:themeColor="text1" w:themeTint="FF" w:themeShade="FF"/>
          <w:sz w:val="22"/>
          <w:szCs w:val="22"/>
          <w:lang w:val="en-GB"/>
        </w:rPr>
      </w:pPr>
    </w:p>
    <w:p w:rsidR="01B49D9E" w:rsidP="3CBA91FF" w:rsidRDefault="01B49D9E" w14:paraId="6ED78364" w14:textId="2015F94A">
      <w:pPr>
        <w:pStyle w:val="Normal"/>
        <w:rPr>
          <w:rFonts w:ascii="Arial" w:hAnsi="Arial" w:eastAsia="Arial" w:cs="Arial"/>
          <w:b w:val="1"/>
          <w:bCs w:val="1"/>
          <w:noProof w:val="0"/>
          <w:color w:val="000000" w:themeColor="text1" w:themeTint="FF" w:themeShade="FF"/>
          <w:sz w:val="22"/>
          <w:szCs w:val="22"/>
          <w:lang w:val="en-GB"/>
        </w:rPr>
      </w:pPr>
    </w:p>
    <w:p w:rsidR="01B49D9E" w:rsidP="3CBA91FF" w:rsidRDefault="01B49D9E" w14:paraId="283AE46A" w14:textId="6CE9C94D">
      <w:pPr>
        <w:pStyle w:val="Normal"/>
        <w:rPr>
          <w:rFonts w:ascii="Arial" w:hAnsi="Arial" w:eastAsia="Arial" w:cs="Arial"/>
          <w:b w:val="1"/>
          <w:bCs w:val="1"/>
          <w:noProof w:val="0"/>
          <w:color w:val="000000" w:themeColor="text1" w:themeTint="FF" w:themeShade="FF"/>
          <w:sz w:val="22"/>
          <w:szCs w:val="22"/>
          <w:lang w:val="en-GB"/>
        </w:rPr>
      </w:pPr>
    </w:p>
    <w:p w:rsidR="01B49D9E" w:rsidP="3CBA91FF" w:rsidRDefault="01B49D9E" w14:paraId="27D92EE0" w14:textId="153FE40D">
      <w:pPr>
        <w:pStyle w:val="Normal"/>
        <w:rPr>
          <w:rFonts w:ascii="Arial" w:hAnsi="Arial" w:eastAsia="Arial" w:cs="Arial"/>
          <w:b w:val="1"/>
          <w:bCs w:val="1"/>
          <w:noProof w:val="0"/>
          <w:color w:val="000000" w:themeColor="text1" w:themeTint="FF" w:themeShade="FF"/>
          <w:sz w:val="22"/>
          <w:szCs w:val="22"/>
          <w:lang w:val="en-GB"/>
        </w:rPr>
      </w:pPr>
    </w:p>
    <w:p w:rsidR="01B49D9E" w:rsidP="3CBA91FF" w:rsidRDefault="01B49D9E" w14:paraId="0378CCF2" w14:textId="1A6FB973">
      <w:pPr>
        <w:pStyle w:val="Normal"/>
        <w:rPr>
          <w:rFonts w:ascii="Arial" w:hAnsi="Arial" w:eastAsia="Arial" w:cs="Arial"/>
          <w:b w:val="1"/>
          <w:bCs w:val="1"/>
          <w:noProof w:val="0"/>
          <w:color w:val="000000" w:themeColor="text1" w:themeTint="FF" w:themeShade="FF"/>
          <w:sz w:val="22"/>
          <w:szCs w:val="22"/>
          <w:lang w:val="en-GB"/>
        </w:rPr>
      </w:pPr>
    </w:p>
    <w:p w:rsidR="01B49D9E" w:rsidP="3CBA91FF" w:rsidRDefault="01B49D9E" w14:paraId="2F66BA35" w14:textId="00AC2E27">
      <w:pPr>
        <w:pStyle w:val="Normal"/>
        <w:rPr>
          <w:rFonts w:ascii="Arial" w:hAnsi="Arial" w:eastAsia="Arial" w:cs="Arial"/>
          <w:b w:val="1"/>
          <w:bCs w:val="1"/>
          <w:noProof w:val="0"/>
          <w:color w:val="000000" w:themeColor="text1" w:themeTint="FF" w:themeShade="FF"/>
          <w:sz w:val="22"/>
          <w:szCs w:val="22"/>
          <w:lang w:val="en-GB"/>
        </w:rPr>
      </w:pPr>
    </w:p>
    <w:p w:rsidR="01B49D9E" w:rsidP="3CBA91FF" w:rsidRDefault="01B49D9E" w14:paraId="0BA287E4" w14:textId="704A6659">
      <w:pPr>
        <w:pStyle w:val="Normal"/>
        <w:rPr>
          <w:rFonts w:ascii="Arial" w:hAnsi="Arial" w:eastAsia="Arial" w:cs="Arial"/>
          <w:b w:val="1"/>
          <w:bCs w:val="1"/>
          <w:noProof w:val="0"/>
          <w:color w:val="000000" w:themeColor="text1" w:themeTint="FF" w:themeShade="FF"/>
          <w:sz w:val="22"/>
          <w:szCs w:val="22"/>
          <w:lang w:val="en-GB"/>
        </w:rPr>
      </w:pPr>
    </w:p>
    <w:p w:rsidR="01B49D9E" w:rsidP="3CBA91FF" w:rsidRDefault="01B49D9E" w14:paraId="351199AE" w14:textId="2A8683A2">
      <w:pPr>
        <w:pStyle w:val="Normal"/>
        <w:rPr>
          <w:rFonts w:ascii="Arial" w:hAnsi="Arial" w:eastAsia="Arial" w:cs="Arial"/>
          <w:b w:val="1"/>
          <w:bCs w:val="1"/>
          <w:noProof w:val="0"/>
          <w:color w:val="000000" w:themeColor="text1" w:themeTint="FF" w:themeShade="FF"/>
          <w:sz w:val="22"/>
          <w:szCs w:val="22"/>
          <w:lang w:val="en-GB"/>
        </w:rPr>
      </w:pPr>
    </w:p>
    <w:p w:rsidR="01B49D9E" w:rsidP="3CBA91FF" w:rsidRDefault="01B49D9E" w14:paraId="31365F99" w14:textId="187715F5">
      <w:pPr>
        <w:pStyle w:val="Normal"/>
        <w:rPr>
          <w:rFonts w:ascii="Arial" w:hAnsi="Arial" w:eastAsia="Arial" w:cs="Arial"/>
          <w:b w:val="1"/>
          <w:bCs w:val="1"/>
          <w:noProof w:val="0"/>
          <w:color w:val="000000" w:themeColor="text1" w:themeTint="FF" w:themeShade="FF"/>
          <w:sz w:val="22"/>
          <w:szCs w:val="22"/>
          <w:lang w:val="en-GB"/>
        </w:rPr>
      </w:pPr>
    </w:p>
    <w:p w:rsidR="01B49D9E" w:rsidP="3CBA91FF" w:rsidRDefault="01B49D9E" w14:paraId="12C730F9" w14:textId="2A80BC9E">
      <w:pPr>
        <w:pStyle w:val="Normal"/>
        <w:rPr>
          <w:rFonts w:ascii="Arial" w:hAnsi="Arial" w:eastAsia="Arial" w:cs="Arial"/>
          <w:b w:val="1"/>
          <w:bCs w:val="1"/>
          <w:noProof w:val="0"/>
          <w:color w:val="000000" w:themeColor="text1" w:themeTint="FF" w:themeShade="FF"/>
          <w:sz w:val="22"/>
          <w:szCs w:val="22"/>
          <w:lang w:val="en-GB"/>
        </w:rPr>
      </w:pPr>
    </w:p>
    <w:p w:rsidR="01B49D9E" w:rsidP="3CBA91FF" w:rsidRDefault="01B49D9E" w14:paraId="6F9B107B" w14:textId="1C509FFA">
      <w:pPr>
        <w:pStyle w:val="Normal"/>
        <w:rPr>
          <w:rFonts w:ascii="Arial" w:hAnsi="Arial" w:eastAsia="Arial" w:cs="Arial"/>
          <w:b w:val="1"/>
          <w:bCs w:val="1"/>
          <w:noProof w:val="0"/>
          <w:color w:val="000000" w:themeColor="text1" w:themeTint="FF" w:themeShade="FF"/>
          <w:sz w:val="22"/>
          <w:szCs w:val="22"/>
          <w:lang w:val="en-GB"/>
        </w:rPr>
      </w:pPr>
    </w:p>
    <w:p w:rsidR="01B49D9E" w:rsidP="3CBA91FF" w:rsidRDefault="01B49D9E" w14:paraId="622D7303" w14:textId="14B48B13">
      <w:pPr>
        <w:pStyle w:val="Normal"/>
        <w:rPr>
          <w:rFonts w:ascii="Arial" w:hAnsi="Arial" w:eastAsia="Arial" w:cs="Arial"/>
          <w:b w:val="1"/>
          <w:bCs w:val="1"/>
          <w:noProof w:val="0"/>
          <w:color w:val="000000" w:themeColor="text1" w:themeTint="FF" w:themeShade="FF"/>
          <w:sz w:val="22"/>
          <w:szCs w:val="22"/>
          <w:lang w:val="en-GB"/>
        </w:rPr>
      </w:pPr>
    </w:p>
    <w:p w:rsidR="01B49D9E" w:rsidP="3CBA91FF" w:rsidRDefault="01B49D9E" w14:paraId="76373D85" w14:textId="0814A4F0">
      <w:pPr>
        <w:pStyle w:val="Normal"/>
        <w:rPr>
          <w:rFonts w:ascii="Arial" w:hAnsi="Arial" w:eastAsia="Arial" w:cs="Arial"/>
          <w:b w:val="1"/>
          <w:bCs w:val="1"/>
          <w:noProof w:val="0"/>
          <w:color w:val="000000" w:themeColor="text1" w:themeTint="FF" w:themeShade="FF"/>
          <w:sz w:val="22"/>
          <w:szCs w:val="22"/>
          <w:lang w:val="en-GB"/>
        </w:rPr>
      </w:pPr>
    </w:p>
    <w:p w:rsidR="01B49D9E" w:rsidP="3CBA91FF" w:rsidRDefault="01B49D9E" w14:paraId="1FDFB76E" w14:textId="4FFEDA25">
      <w:pPr>
        <w:pStyle w:val="Normal"/>
        <w:rPr>
          <w:rFonts w:ascii="Arial" w:hAnsi="Arial" w:eastAsia="Arial" w:cs="Arial"/>
          <w:b w:val="1"/>
          <w:bCs w:val="1"/>
          <w:noProof w:val="0"/>
          <w:color w:val="000000" w:themeColor="text1" w:themeTint="FF" w:themeShade="FF"/>
          <w:sz w:val="22"/>
          <w:szCs w:val="22"/>
          <w:lang w:val="en-GB"/>
        </w:rPr>
      </w:pPr>
    </w:p>
    <w:p w:rsidR="01B49D9E" w:rsidP="3CBA91FF" w:rsidRDefault="01B49D9E" w14:paraId="1A4D3F8F" w14:textId="54E3612D">
      <w:pPr>
        <w:pStyle w:val="Normal"/>
        <w:rPr>
          <w:rFonts w:ascii="Arial" w:hAnsi="Arial" w:eastAsia="Arial" w:cs="Arial"/>
          <w:b w:val="1"/>
          <w:bCs w:val="1"/>
          <w:noProof w:val="0"/>
          <w:color w:val="000000" w:themeColor="text1" w:themeTint="FF" w:themeShade="FF"/>
          <w:sz w:val="22"/>
          <w:szCs w:val="22"/>
          <w:lang w:val="en-GB"/>
        </w:rPr>
      </w:pPr>
    </w:p>
    <w:p w:rsidR="01B49D9E" w:rsidP="3CBA91FF" w:rsidRDefault="01B49D9E" w14:paraId="4E33A8BB" w14:textId="1737F8C5">
      <w:pPr>
        <w:pStyle w:val="Normal"/>
        <w:rPr>
          <w:rFonts w:ascii="Arial" w:hAnsi="Arial" w:eastAsia="Arial" w:cs="Arial"/>
          <w:b w:val="1"/>
          <w:bCs w:val="1"/>
          <w:noProof w:val="0"/>
          <w:color w:val="000000" w:themeColor="text1" w:themeTint="FF" w:themeShade="FF"/>
          <w:sz w:val="22"/>
          <w:szCs w:val="22"/>
          <w:lang w:val="en-GB"/>
        </w:rPr>
      </w:pPr>
    </w:p>
    <w:p w:rsidR="01B49D9E" w:rsidP="3CBA91FF" w:rsidRDefault="01B49D9E" w14:paraId="257AA679" w14:textId="3F6C4507">
      <w:pPr>
        <w:pStyle w:val="Normal"/>
        <w:rPr>
          <w:rFonts w:ascii="Arial" w:hAnsi="Arial" w:eastAsia="Arial" w:cs="Arial"/>
          <w:b w:val="1"/>
          <w:bCs w:val="1"/>
          <w:noProof w:val="0"/>
          <w:color w:val="000000" w:themeColor="text1" w:themeTint="FF" w:themeShade="FF"/>
          <w:sz w:val="22"/>
          <w:szCs w:val="22"/>
          <w:lang w:val="en-GB"/>
        </w:rPr>
      </w:pPr>
    </w:p>
    <w:p w:rsidR="01B49D9E" w:rsidP="3CBA91FF" w:rsidRDefault="01B49D9E" w14:paraId="135EB736" w14:textId="27D8FC39">
      <w:pPr>
        <w:pStyle w:val="Normal"/>
        <w:rPr>
          <w:rFonts w:ascii="Arial" w:hAnsi="Arial" w:eastAsia="Arial" w:cs="Arial"/>
          <w:b w:val="1"/>
          <w:bCs w:val="1"/>
          <w:noProof w:val="0"/>
          <w:color w:val="000000" w:themeColor="text1" w:themeTint="FF" w:themeShade="FF"/>
          <w:sz w:val="22"/>
          <w:szCs w:val="22"/>
          <w:lang w:val="en-GB"/>
        </w:rPr>
      </w:pPr>
    </w:p>
    <w:p w:rsidR="01B49D9E" w:rsidP="3CBA91FF" w:rsidRDefault="01B49D9E" w14:paraId="56D453D6" w14:textId="448FA708">
      <w:pPr>
        <w:pStyle w:val="Normal"/>
        <w:rPr>
          <w:rFonts w:ascii="Arial" w:hAnsi="Arial" w:eastAsia="Arial" w:cs="Arial"/>
          <w:b w:val="1"/>
          <w:bCs w:val="1"/>
          <w:noProof w:val="0"/>
          <w:color w:val="000000" w:themeColor="text1" w:themeTint="FF" w:themeShade="FF"/>
          <w:sz w:val="22"/>
          <w:szCs w:val="22"/>
          <w:lang w:val="en-GB"/>
        </w:rPr>
      </w:pPr>
    </w:p>
    <w:p w:rsidR="01B49D9E" w:rsidP="3CBA91FF" w:rsidRDefault="01B49D9E" w14:paraId="03821995" w14:textId="371AFD57">
      <w:pPr>
        <w:pStyle w:val="Normal"/>
        <w:rPr>
          <w:rFonts w:ascii="Arial" w:hAnsi="Arial" w:eastAsia="Arial" w:cs="Arial"/>
          <w:b w:val="1"/>
          <w:bCs w:val="1"/>
          <w:noProof w:val="0"/>
          <w:color w:val="000000" w:themeColor="text1" w:themeTint="FF" w:themeShade="FF"/>
          <w:sz w:val="22"/>
          <w:szCs w:val="22"/>
          <w:lang w:val="en-GB"/>
        </w:rPr>
      </w:pPr>
    </w:p>
    <w:p w:rsidR="01B49D9E" w:rsidP="3CBA91FF" w:rsidRDefault="01B49D9E" w14:paraId="2F776765" w14:textId="220D267C">
      <w:pPr>
        <w:pStyle w:val="Normal"/>
        <w:rPr>
          <w:rFonts w:ascii="Arial" w:hAnsi="Arial" w:eastAsia="Arial" w:cs="Arial"/>
          <w:b w:val="1"/>
          <w:bCs w:val="1"/>
          <w:noProof w:val="0"/>
          <w:color w:val="000000" w:themeColor="text1" w:themeTint="FF" w:themeShade="FF"/>
          <w:sz w:val="22"/>
          <w:szCs w:val="22"/>
          <w:lang w:val="en-GB"/>
        </w:rPr>
      </w:pPr>
    </w:p>
    <w:p w:rsidR="01B49D9E" w:rsidP="1F090E8F" w:rsidRDefault="01B49D9E" w14:paraId="0134C228" w14:textId="5281DEB7">
      <w:pPr>
        <w:pStyle w:val="Normal"/>
        <w:rPr>
          <w:rFonts w:ascii="Arial" w:hAnsi="Arial" w:eastAsia="Arial" w:cs="Arial"/>
          <w:b w:val="1"/>
          <w:bCs w:val="1"/>
          <w:noProof w:val="0"/>
          <w:color w:val="000000" w:themeColor="text1" w:themeTint="FF" w:themeShade="FF"/>
          <w:sz w:val="22"/>
          <w:szCs w:val="22"/>
          <w:lang w:val="en-GB"/>
        </w:rPr>
      </w:pPr>
      <w:r w:rsidRPr="3CBA91FF" w:rsidR="2EFCF638">
        <w:rPr>
          <w:rFonts w:ascii="Arial" w:hAnsi="Arial" w:eastAsia="Arial" w:cs="Arial"/>
          <w:b w:val="1"/>
          <w:bCs w:val="1"/>
          <w:noProof w:val="0"/>
          <w:color w:val="000000" w:themeColor="text1" w:themeTint="FF" w:themeShade="FF"/>
          <w:sz w:val="22"/>
          <w:szCs w:val="22"/>
          <w:lang w:val="en-GB"/>
        </w:rPr>
        <w:t>References</w:t>
      </w:r>
      <w:r w:rsidRPr="3CBA91FF" w:rsidR="18AEA9FD">
        <w:rPr>
          <w:rFonts w:ascii="Arial" w:hAnsi="Arial" w:eastAsia="Arial" w:cs="Arial"/>
          <w:b w:val="1"/>
          <w:bCs w:val="1"/>
          <w:noProof w:val="0"/>
          <w:color w:val="000000" w:themeColor="text1" w:themeTint="FF" w:themeShade="FF"/>
          <w:sz w:val="22"/>
          <w:szCs w:val="22"/>
          <w:lang w:val="en-GB"/>
        </w:rPr>
        <w:t>:</w:t>
      </w:r>
    </w:p>
    <w:p w:rsidR="01B49D9E" w:rsidP="549A04E6" w:rsidRDefault="01B49D9E" w14:paraId="72FEE83E" w14:textId="2C0930A0">
      <w:pPr>
        <w:rPr>
          <w:rFonts w:ascii="Arial" w:hAnsi="Arial" w:eastAsia="Arial" w:cs="Arial"/>
          <w:noProof w:val="0"/>
          <w:color w:val="000000" w:themeColor="text1" w:themeTint="FF" w:themeShade="FF"/>
          <w:sz w:val="22"/>
          <w:szCs w:val="22"/>
          <w:lang w:val="en-GB"/>
        </w:rPr>
      </w:pPr>
      <w:r w:rsidRPr="549A04E6" w:rsidR="01B49D9E">
        <w:rPr>
          <w:rFonts w:ascii="Arial" w:hAnsi="Arial" w:eastAsia="Arial" w:cs="Arial"/>
          <w:noProof w:val="0"/>
          <w:color w:val="000000" w:themeColor="text1" w:themeTint="FF" w:themeShade="FF"/>
          <w:sz w:val="22"/>
          <w:szCs w:val="22"/>
          <w:lang w:val="en-GB"/>
        </w:rPr>
        <w:t xml:space="preserve">World Health Organization (2024) </w:t>
      </w:r>
      <w:r w:rsidRPr="549A04E6" w:rsidR="01B49D9E">
        <w:rPr>
          <w:rFonts w:ascii="Arial" w:hAnsi="Arial" w:eastAsia="Arial" w:cs="Arial"/>
          <w:i w:val="1"/>
          <w:iCs w:val="1"/>
          <w:noProof w:val="0"/>
          <w:color w:val="000000" w:themeColor="text1" w:themeTint="FF" w:themeShade="FF"/>
          <w:sz w:val="22"/>
          <w:szCs w:val="22"/>
          <w:lang w:val="en-GB"/>
        </w:rPr>
        <w:t>Diabetes</w:t>
      </w:r>
      <w:r w:rsidRPr="549A04E6" w:rsidR="01B49D9E">
        <w:rPr>
          <w:rFonts w:ascii="Arial" w:hAnsi="Arial" w:eastAsia="Arial" w:cs="Arial"/>
          <w:noProof w:val="0"/>
          <w:color w:val="000000" w:themeColor="text1" w:themeTint="FF" w:themeShade="FF"/>
          <w:sz w:val="22"/>
          <w:szCs w:val="22"/>
          <w:lang w:val="en-GB"/>
        </w:rPr>
        <w:t xml:space="preserve">. Available at: </w:t>
      </w:r>
      <w:hyperlink r:id="R46dbad78459f4548">
        <w:r w:rsidRPr="549A04E6" w:rsidR="01B49D9E">
          <w:rPr>
            <w:rStyle w:val="Hyperlink"/>
            <w:rFonts w:ascii="Arial" w:hAnsi="Arial" w:eastAsia="Arial" w:cs="Arial"/>
            <w:noProof w:val="0"/>
            <w:color w:val="000000" w:themeColor="text1" w:themeTint="FF" w:themeShade="FF"/>
            <w:sz w:val="22"/>
            <w:szCs w:val="22"/>
            <w:lang w:val="en-GB"/>
          </w:rPr>
          <w:t>https://www.who.int/news-room/fact-sheets/detail/diabetes</w:t>
        </w:r>
      </w:hyperlink>
      <w:r w:rsidRPr="549A04E6" w:rsidR="01B49D9E">
        <w:rPr>
          <w:rFonts w:ascii="Arial" w:hAnsi="Arial" w:eastAsia="Arial" w:cs="Arial"/>
          <w:noProof w:val="0"/>
          <w:color w:val="000000" w:themeColor="text1" w:themeTint="FF" w:themeShade="FF"/>
          <w:sz w:val="22"/>
          <w:szCs w:val="22"/>
          <w:lang w:val="en-GB"/>
        </w:rPr>
        <w:t>(Accessed: 15 February 2026).</w:t>
      </w:r>
    </w:p>
    <w:p w:rsidR="01B49D9E" w:rsidP="549A04E6" w:rsidRDefault="01B49D9E" w14:paraId="70E944AD" w14:textId="4907914B">
      <w:pPr>
        <w:rPr>
          <w:rFonts w:ascii="Arial" w:hAnsi="Arial" w:eastAsia="Arial" w:cs="Arial"/>
          <w:noProof w:val="0"/>
          <w:color w:val="000000" w:themeColor="text1" w:themeTint="FF" w:themeShade="FF"/>
          <w:sz w:val="22"/>
          <w:szCs w:val="22"/>
          <w:lang w:val="en-GB"/>
        </w:rPr>
      </w:pPr>
      <w:r w:rsidRPr="3CBA91FF" w:rsidR="3E1C00D0">
        <w:rPr>
          <w:rFonts w:ascii="Arial" w:hAnsi="Arial" w:eastAsia="Arial" w:cs="Arial"/>
          <w:noProof w:val="0"/>
          <w:color w:val="000000" w:themeColor="text1" w:themeTint="FF" w:themeShade="FF"/>
          <w:sz w:val="22"/>
          <w:szCs w:val="22"/>
          <w:lang w:val="en-GB"/>
        </w:rPr>
        <w:t>Tsilidis</w:t>
      </w:r>
      <w:r w:rsidRPr="3CBA91FF" w:rsidR="3E1C00D0">
        <w:rPr>
          <w:rFonts w:ascii="Arial" w:hAnsi="Arial" w:eastAsia="Arial" w:cs="Arial"/>
          <w:noProof w:val="0"/>
          <w:color w:val="000000" w:themeColor="text1" w:themeTint="FF" w:themeShade="FF"/>
          <w:sz w:val="22"/>
          <w:szCs w:val="22"/>
          <w:lang w:val="en-GB"/>
        </w:rPr>
        <w:t xml:space="preserve">, K.K. </w:t>
      </w:r>
      <w:r w:rsidRPr="3CBA91FF" w:rsidR="3E1C00D0">
        <w:rPr>
          <w:rFonts w:ascii="Arial" w:hAnsi="Arial" w:eastAsia="Arial" w:cs="Arial"/>
          <w:i w:val="1"/>
          <w:iCs w:val="1"/>
          <w:noProof w:val="0"/>
          <w:color w:val="000000" w:themeColor="text1" w:themeTint="FF" w:themeShade="FF"/>
          <w:sz w:val="22"/>
          <w:szCs w:val="22"/>
          <w:lang w:val="en-GB"/>
        </w:rPr>
        <w:t>et al.</w:t>
      </w:r>
      <w:r w:rsidRPr="3CBA91FF" w:rsidR="3E1C00D0">
        <w:rPr>
          <w:rFonts w:ascii="Arial" w:hAnsi="Arial" w:eastAsia="Arial" w:cs="Arial"/>
          <w:noProof w:val="0"/>
          <w:color w:val="000000" w:themeColor="text1" w:themeTint="FF" w:themeShade="FF"/>
          <w:sz w:val="22"/>
          <w:szCs w:val="22"/>
          <w:lang w:val="en-GB"/>
        </w:rPr>
        <w:t xml:space="preserve"> (2020) 'Sociodemographic and lifestyle-related risk factors for identifying vulnerable groups for type 2 diabetes: a narrative review with emphasis on data from Europe', </w:t>
      </w:r>
      <w:r w:rsidRPr="3CBA91FF" w:rsidR="3E1C00D0">
        <w:rPr>
          <w:rFonts w:ascii="Arial" w:hAnsi="Arial" w:eastAsia="Arial" w:cs="Arial"/>
          <w:i w:val="1"/>
          <w:iCs w:val="1"/>
          <w:noProof w:val="0"/>
          <w:color w:val="000000" w:themeColor="text1" w:themeTint="FF" w:themeShade="FF"/>
          <w:sz w:val="22"/>
          <w:szCs w:val="22"/>
          <w:lang w:val="en-GB"/>
        </w:rPr>
        <w:t>BMC Endocrine Disorders</w:t>
      </w:r>
      <w:r w:rsidRPr="3CBA91FF" w:rsidR="3E1C00D0">
        <w:rPr>
          <w:rFonts w:ascii="Arial" w:hAnsi="Arial" w:eastAsia="Arial" w:cs="Arial"/>
          <w:noProof w:val="0"/>
          <w:color w:val="000000" w:themeColor="text1" w:themeTint="FF" w:themeShade="FF"/>
          <w:sz w:val="22"/>
          <w:szCs w:val="22"/>
          <w:lang w:val="en-GB"/>
        </w:rPr>
        <w:t xml:space="preserve">, 20(1). Available at: </w:t>
      </w:r>
      <w:hyperlink r:id="R036da79ea6dd4986">
        <w:r w:rsidRPr="3CBA91FF" w:rsidR="3E1C00D0">
          <w:rPr>
            <w:rStyle w:val="Hyperlink"/>
            <w:rFonts w:ascii="Arial" w:hAnsi="Arial" w:eastAsia="Arial" w:cs="Arial"/>
            <w:noProof w:val="0"/>
            <w:color w:val="000000" w:themeColor="text1" w:themeTint="FF" w:themeShade="FF"/>
            <w:sz w:val="22"/>
            <w:szCs w:val="22"/>
            <w:lang w:val="en-GB"/>
          </w:rPr>
          <w:t>https://bmcendocrdisord.biomedcentral.com/articles/10.1186/s12902-019-0463-3</w:t>
        </w:r>
      </w:hyperlink>
      <w:r w:rsidRPr="3CBA91FF" w:rsidR="3E1C00D0">
        <w:rPr>
          <w:rFonts w:ascii="Arial" w:hAnsi="Arial" w:eastAsia="Arial" w:cs="Arial"/>
          <w:noProof w:val="0"/>
          <w:color w:val="000000" w:themeColor="text1" w:themeTint="FF" w:themeShade="FF"/>
          <w:sz w:val="22"/>
          <w:szCs w:val="22"/>
          <w:lang w:val="en-GB"/>
        </w:rPr>
        <w:t xml:space="preserve"> (Accessed: 15 February 2026).</w:t>
      </w:r>
    </w:p>
    <w:p w:rsidR="6B13A98E" w:rsidP="3CBA91FF" w:rsidRDefault="6B13A98E" w14:paraId="030D3222" w14:textId="33E64223">
      <w:pPr>
        <w:pStyle w:val="Normal"/>
        <w:rPr>
          <w:rFonts w:ascii="Arial" w:hAnsi="Arial" w:eastAsia="Arial" w:cs="Arial"/>
          <w:noProof w:val="0"/>
          <w:color w:val="000000" w:themeColor="text1" w:themeTint="FF" w:themeShade="FF"/>
          <w:sz w:val="22"/>
          <w:szCs w:val="22"/>
          <w:lang w:val="en-GB"/>
        </w:rPr>
      </w:pPr>
      <w:r w:rsidRPr="3CBA91FF" w:rsidR="1432FF4C">
        <w:rPr>
          <w:rFonts w:ascii="Arial" w:hAnsi="Arial" w:eastAsia="Arial" w:cs="Arial"/>
          <w:noProof w:val="0"/>
          <w:color w:val="000000" w:themeColor="text1" w:themeTint="FF" w:themeShade="FF"/>
          <w:sz w:val="22"/>
          <w:szCs w:val="22"/>
          <w:lang w:val="en-GB"/>
        </w:rPr>
        <w:t xml:space="preserve">Holt, R.I.G., Cockram, C., Flyvbjerg, A. and Goldstein, B.J. (eds.) (2017) </w:t>
      </w:r>
      <w:r w:rsidRPr="3CBA91FF" w:rsidR="1432FF4C">
        <w:rPr>
          <w:rFonts w:ascii="Arial" w:hAnsi="Arial" w:eastAsia="Arial" w:cs="Arial"/>
          <w:i w:val="1"/>
          <w:iCs w:val="1"/>
          <w:noProof w:val="0"/>
          <w:color w:val="000000" w:themeColor="text1" w:themeTint="FF" w:themeShade="FF"/>
          <w:sz w:val="22"/>
          <w:szCs w:val="22"/>
          <w:lang w:val="en-GB"/>
        </w:rPr>
        <w:t>Textbook of Diabetes</w:t>
      </w:r>
      <w:r w:rsidRPr="3CBA91FF" w:rsidR="1432FF4C">
        <w:rPr>
          <w:rFonts w:ascii="Arial" w:hAnsi="Arial" w:eastAsia="Arial" w:cs="Arial"/>
          <w:noProof w:val="0"/>
          <w:color w:val="000000" w:themeColor="text1" w:themeTint="FF" w:themeShade="FF"/>
          <w:sz w:val="22"/>
          <w:szCs w:val="22"/>
          <w:lang w:val="en-GB"/>
        </w:rPr>
        <w:t xml:space="preserve">. 5th </w:t>
      </w:r>
      <w:r w:rsidRPr="3CBA91FF" w:rsidR="1432FF4C">
        <w:rPr>
          <w:rFonts w:ascii="Arial" w:hAnsi="Arial" w:eastAsia="Arial" w:cs="Arial"/>
          <w:noProof w:val="0"/>
          <w:color w:val="000000" w:themeColor="text1" w:themeTint="FF" w:themeShade="FF"/>
          <w:sz w:val="22"/>
          <w:szCs w:val="22"/>
          <w:lang w:val="en-GB"/>
        </w:rPr>
        <w:t>edn</w:t>
      </w:r>
      <w:r w:rsidRPr="3CBA91FF" w:rsidR="1432FF4C">
        <w:rPr>
          <w:rFonts w:ascii="Arial" w:hAnsi="Arial" w:eastAsia="Arial" w:cs="Arial"/>
          <w:noProof w:val="0"/>
          <w:color w:val="000000" w:themeColor="text1" w:themeTint="FF" w:themeShade="FF"/>
          <w:sz w:val="22"/>
          <w:szCs w:val="22"/>
          <w:lang w:val="en-GB"/>
        </w:rPr>
        <w:t>. Oxford: Wiley-Blackwell.</w:t>
      </w:r>
    </w:p>
    <w:p w:rsidR="6B13A98E" w:rsidP="549A04E6" w:rsidRDefault="6B13A98E" w14:paraId="2DC002CA" w14:textId="6B2037BC">
      <w:pPr>
        <w:rPr>
          <w:rFonts w:ascii="Arial" w:hAnsi="Arial" w:eastAsia="Arial" w:cs="Arial"/>
          <w:noProof w:val="0"/>
          <w:color w:val="000000" w:themeColor="text1" w:themeTint="FF" w:themeShade="FF"/>
          <w:sz w:val="22"/>
          <w:szCs w:val="22"/>
          <w:lang w:val="en-GB"/>
        </w:rPr>
      </w:pPr>
      <w:r w:rsidRPr="549A04E6" w:rsidR="6B13A98E">
        <w:rPr>
          <w:rFonts w:ascii="Arial" w:hAnsi="Arial" w:eastAsia="Arial" w:cs="Arial"/>
          <w:noProof w:val="0"/>
          <w:color w:val="000000" w:themeColor="text1" w:themeTint="FF" w:themeShade="FF"/>
          <w:sz w:val="22"/>
          <w:szCs w:val="22"/>
          <w:lang w:val="en-GB"/>
        </w:rPr>
        <w:t xml:space="preserve">Levy, A. and Tasker, A. (2020) 'Pancreatic physiology and pathophysiology', </w:t>
      </w:r>
      <w:r w:rsidRPr="549A04E6" w:rsidR="6B13A98E">
        <w:rPr>
          <w:rFonts w:ascii="Arial" w:hAnsi="Arial" w:eastAsia="Arial" w:cs="Arial"/>
          <w:i w:val="1"/>
          <w:iCs w:val="1"/>
          <w:noProof w:val="0"/>
          <w:color w:val="000000" w:themeColor="text1" w:themeTint="FF" w:themeShade="FF"/>
          <w:sz w:val="22"/>
          <w:szCs w:val="22"/>
          <w:lang w:val="en-GB"/>
        </w:rPr>
        <w:t>Surgery (Oxford)</w:t>
      </w:r>
      <w:r w:rsidRPr="549A04E6" w:rsidR="6B13A98E">
        <w:rPr>
          <w:rFonts w:ascii="Arial" w:hAnsi="Arial" w:eastAsia="Arial" w:cs="Arial"/>
          <w:noProof w:val="0"/>
          <w:color w:val="000000" w:themeColor="text1" w:themeTint="FF" w:themeShade="FF"/>
          <w:sz w:val="22"/>
          <w:szCs w:val="22"/>
          <w:lang w:val="en-GB"/>
        </w:rPr>
        <w:t xml:space="preserve">, 38(12), pp. 703–710. Available at: </w:t>
      </w:r>
      <w:hyperlink r:id="R615fa6a9f5ec40ba">
        <w:r w:rsidRPr="549A04E6" w:rsidR="6B13A98E">
          <w:rPr>
            <w:rStyle w:val="Hyperlink"/>
            <w:rFonts w:ascii="Arial" w:hAnsi="Arial" w:eastAsia="Arial" w:cs="Arial"/>
            <w:noProof w:val="0"/>
            <w:color w:val="000000" w:themeColor="text1" w:themeTint="FF" w:themeShade="FF"/>
            <w:sz w:val="22"/>
            <w:szCs w:val="22"/>
            <w:lang w:val="en-GB"/>
          </w:rPr>
          <w:t>https://doi.org/10.1016/j.mpsur.2020.09.010</w:t>
        </w:r>
      </w:hyperlink>
      <w:r w:rsidRPr="549A04E6" w:rsidR="6B13A98E">
        <w:rPr>
          <w:rFonts w:ascii="Arial" w:hAnsi="Arial" w:eastAsia="Arial" w:cs="Arial"/>
          <w:noProof w:val="0"/>
          <w:color w:val="000000" w:themeColor="text1" w:themeTint="FF" w:themeShade="FF"/>
          <w:sz w:val="22"/>
          <w:szCs w:val="22"/>
          <w:lang w:val="en-GB"/>
        </w:rPr>
        <w:t xml:space="preserve"> (Accessed: 15 February 2026).</w:t>
      </w:r>
    </w:p>
    <w:p w:rsidR="382CE6C2" w:rsidP="549A04E6" w:rsidRDefault="382CE6C2" w14:paraId="4A9D91BA" w14:textId="4B9A18AC">
      <w:pPr>
        <w:rPr>
          <w:rFonts w:ascii="Arial" w:hAnsi="Arial" w:eastAsia="Arial" w:cs="Arial"/>
          <w:noProof w:val="0"/>
          <w:color w:val="000000" w:themeColor="text1" w:themeTint="FF" w:themeShade="FF"/>
          <w:sz w:val="22"/>
          <w:szCs w:val="22"/>
          <w:lang w:val="en-GB"/>
        </w:rPr>
      </w:pPr>
      <w:r w:rsidRPr="549A04E6" w:rsidR="382CE6C2">
        <w:rPr>
          <w:rFonts w:ascii="Arial" w:hAnsi="Arial" w:eastAsia="Arial" w:cs="Arial"/>
          <w:noProof w:val="0"/>
          <w:color w:val="000000" w:themeColor="text1" w:themeTint="FF" w:themeShade="FF"/>
          <w:sz w:val="22"/>
          <w:szCs w:val="22"/>
          <w:lang w:val="en-GB"/>
        </w:rPr>
        <w:t xml:space="preserve">Alberts, B., Johnson, A., Lewis, J., Raff, M., Roberts, K. and Walter, P. (2002) </w:t>
      </w:r>
      <w:r w:rsidRPr="549A04E6" w:rsidR="382CE6C2">
        <w:rPr>
          <w:rFonts w:ascii="Arial" w:hAnsi="Arial" w:eastAsia="Arial" w:cs="Arial"/>
          <w:i w:val="1"/>
          <w:iCs w:val="1"/>
          <w:noProof w:val="0"/>
          <w:color w:val="000000" w:themeColor="text1" w:themeTint="FF" w:themeShade="FF"/>
          <w:sz w:val="22"/>
          <w:szCs w:val="22"/>
          <w:lang w:val="en-GB"/>
        </w:rPr>
        <w:t>Molecular Biology of the Cell</w:t>
      </w:r>
      <w:r w:rsidRPr="549A04E6" w:rsidR="382CE6C2">
        <w:rPr>
          <w:rFonts w:ascii="Arial" w:hAnsi="Arial" w:eastAsia="Arial" w:cs="Arial"/>
          <w:noProof w:val="0"/>
          <w:color w:val="000000" w:themeColor="text1" w:themeTint="FF" w:themeShade="FF"/>
          <w:sz w:val="22"/>
          <w:szCs w:val="22"/>
          <w:lang w:val="en-GB"/>
        </w:rPr>
        <w:t>. 4th edn. New York: Garland Science.</w:t>
      </w:r>
    </w:p>
    <w:p w:rsidR="382CE6C2" w:rsidP="549A04E6" w:rsidRDefault="382CE6C2" w14:paraId="669B0C6F" w14:textId="1D674F45">
      <w:pPr>
        <w:rPr>
          <w:rFonts w:ascii="Arial" w:hAnsi="Arial" w:eastAsia="Arial" w:cs="Arial"/>
          <w:noProof w:val="0"/>
          <w:color w:val="000000" w:themeColor="text1" w:themeTint="FF" w:themeShade="FF"/>
          <w:sz w:val="22"/>
          <w:szCs w:val="22"/>
          <w:lang w:val="en-GB"/>
        </w:rPr>
      </w:pPr>
      <w:r w:rsidRPr="0FD5D7C0" w:rsidR="257D56C6">
        <w:rPr>
          <w:rFonts w:ascii="Arial" w:hAnsi="Arial" w:eastAsia="Arial" w:cs="Arial"/>
          <w:noProof w:val="0"/>
          <w:color w:val="000000" w:themeColor="text1" w:themeTint="FF" w:themeShade="FF"/>
          <w:sz w:val="22"/>
          <w:szCs w:val="22"/>
          <w:lang w:val="en-GB"/>
        </w:rPr>
        <w:t xml:space="preserve">Tortora, G.J. and Derrickson, B. (2017) </w:t>
      </w:r>
      <w:r w:rsidRPr="0FD5D7C0" w:rsidR="257D56C6">
        <w:rPr>
          <w:rFonts w:ascii="Arial" w:hAnsi="Arial" w:eastAsia="Arial" w:cs="Arial"/>
          <w:i w:val="1"/>
          <w:iCs w:val="1"/>
          <w:noProof w:val="0"/>
          <w:color w:val="000000" w:themeColor="text1" w:themeTint="FF" w:themeShade="FF"/>
          <w:sz w:val="22"/>
          <w:szCs w:val="22"/>
          <w:lang w:val="en-GB"/>
        </w:rPr>
        <w:t>Principles of Anatomy and Physiology</w:t>
      </w:r>
      <w:r w:rsidRPr="0FD5D7C0" w:rsidR="257D56C6">
        <w:rPr>
          <w:rFonts w:ascii="Arial" w:hAnsi="Arial" w:eastAsia="Arial" w:cs="Arial"/>
          <w:noProof w:val="0"/>
          <w:color w:val="000000" w:themeColor="text1" w:themeTint="FF" w:themeShade="FF"/>
          <w:sz w:val="22"/>
          <w:szCs w:val="22"/>
          <w:lang w:val="en-GB"/>
        </w:rPr>
        <w:t xml:space="preserve">. 15th </w:t>
      </w:r>
      <w:r w:rsidRPr="0FD5D7C0" w:rsidR="257D56C6">
        <w:rPr>
          <w:rFonts w:ascii="Arial" w:hAnsi="Arial" w:eastAsia="Arial" w:cs="Arial"/>
          <w:noProof w:val="0"/>
          <w:color w:val="000000" w:themeColor="text1" w:themeTint="FF" w:themeShade="FF"/>
          <w:sz w:val="22"/>
          <w:szCs w:val="22"/>
          <w:lang w:val="en-GB"/>
        </w:rPr>
        <w:t>edn</w:t>
      </w:r>
      <w:r w:rsidRPr="0FD5D7C0" w:rsidR="257D56C6">
        <w:rPr>
          <w:rFonts w:ascii="Arial" w:hAnsi="Arial" w:eastAsia="Arial" w:cs="Arial"/>
          <w:noProof w:val="0"/>
          <w:color w:val="000000" w:themeColor="text1" w:themeTint="FF" w:themeShade="FF"/>
          <w:sz w:val="22"/>
          <w:szCs w:val="22"/>
          <w:lang w:val="en-GB"/>
        </w:rPr>
        <w:t>. Hoboken: Wiley.</w:t>
      </w:r>
    </w:p>
    <w:p w:rsidR="28F70758" w:rsidP="0FD5D7C0" w:rsidRDefault="28F70758" w14:paraId="0D29DF9C" w14:textId="22674ED8">
      <w:pPr>
        <w:rPr>
          <w:rFonts w:ascii="Arial" w:hAnsi="Arial" w:eastAsia="Arial" w:cs="Arial"/>
          <w:noProof w:val="0"/>
          <w:color w:val="000000" w:themeColor="text1" w:themeTint="FF" w:themeShade="FF"/>
          <w:sz w:val="22"/>
          <w:szCs w:val="22"/>
          <w:lang w:val="en-GB"/>
        </w:rPr>
      </w:pPr>
      <w:r w:rsidRPr="0FD5D7C0" w:rsidR="28F70758">
        <w:rPr>
          <w:rFonts w:ascii="Arial" w:hAnsi="Arial" w:eastAsia="Arial" w:cs="Arial"/>
          <w:noProof w:val="0"/>
          <w:color w:val="000000" w:themeColor="text1" w:themeTint="FF" w:themeShade="FF"/>
          <w:sz w:val="22"/>
          <w:szCs w:val="22"/>
          <w:lang w:val="en-GB"/>
        </w:rPr>
        <w:t xml:space="preserve">Centers for Disease Control and Prevention (2024) </w:t>
      </w:r>
      <w:r w:rsidRPr="0FD5D7C0" w:rsidR="28F70758">
        <w:rPr>
          <w:rFonts w:ascii="Arial" w:hAnsi="Arial" w:eastAsia="Arial" w:cs="Arial"/>
          <w:i w:val="1"/>
          <w:iCs w:val="1"/>
          <w:noProof w:val="0"/>
          <w:color w:val="000000" w:themeColor="text1" w:themeTint="FF" w:themeShade="FF"/>
          <w:sz w:val="22"/>
          <w:szCs w:val="22"/>
          <w:lang w:val="en-GB"/>
        </w:rPr>
        <w:t>Monitoring your blood sugar</w:t>
      </w:r>
      <w:r w:rsidRPr="0FD5D7C0" w:rsidR="28F70758">
        <w:rPr>
          <w:rFonts w:ascii="Arial" w:hAnsi="Arial" w:eastAsia="Arial" w:cs="Arial"/>
          <w:noProof w:val="0"/>
          <w:color w:val="000000" w:themeColor="text1" w:themeTint="FF" w:themeShade="FF"/>
          <w:sz w:val="22"/>
          <w:szCs w:val="22"/>
          <w:lang w:val="en-GB"/>
        </w:rPr>
        <w:t xml:space="preserve">. Available at: </w:t>
      </w:r>
      <w:hyperlink r:id="R0100c6415c4d4c27">
        <w:r w:rsidRPr="0FD5D7C0" w:rsidR="28F70758">
          <w:rPr>
            <w:rStyle w:val="Hyperlink"/>
            <w:rFonts w:ascii="Arial" w:hAnsi="Arial" w:eastAsia="Arial" w:cs="Arial"/>
            <w:noProof w:val="0"/>
            <w:color w:val="000000" w:themeColor="text1" w:themeTint="FF" w:themeShade="FF"/>
            <w:sz w:val="22"/>
            <w:szCs w:val="22"/>
            <w:lang w:val="en-GB"/>
          </w:rPr>
          <w:t>https://www.cdc.gov/diabetes/diabetes-testing/monitoring-blood-sugar.html</w:t>
        </w:r>
      </w:hyperlink>
      <w:r w:rsidRPr="0FD5D7C0" w:rsidR="28F70758">
        <w:rPr>
          <w:rFonts w:ascii="Arial" w:hAnsi="Arial" w:eastAsia="Arial" w:cs="Arial"/>
          <w:noProof w:val="0"/>
          <w:color w:val="000000" w:themeColor="text1" w:themeTint="FF" w:themeShade="FF"/>
          <w:sz w:val="22"/>
          <w:szCs w:val="22"/>
          <w:lang w:val="en-GB"/>
        </w:rPr>
        <w:t xml:space="preserve"> (Accessed: 15 February 2026).</w:t>
      </w:r>
    </w:p>
    <w:p w:rsidR="28F70758" w:rsidP="0FD5D7C0" w:rsidRDefault="28F70758" w14:paraId="0F8E551D" w14:textId="48BDB727">
      <w:pPr>
        <w:rPr>
          <w:rFonts w:ascii="Arial" w:hAnsi="Arial" w:eastAsia="Arial" w:cs="Arial"/>
          <w:noProof w:val="0"/>
          <w:color w:val="000000" w:themeColor="text1" w:themeTint="FF" w:themeShade="FF"/>
          <w:sz w:val="22"/>
          <w:szCs w:val="22"/>
          <w:lang w:val="en-GB"/>
        </w:rPr>
      </w:pPr>
      <w:r w:rsidRPr="0FD5D7C0" w:rsidR="28F70758">
        <w:rPr>
          <w:rFonts w:ascii="Arial" w:hAnsi="Arial" w:eastAsia="Arial" w:cs="Arial"/>
          <w:noProof w:val="0"/>
          <w:color w:val="000000" w:themeColor="text1" w:themeTint="FF" w:themeShade="FF"/>
          <w:sz w:val="22"/>
          <w:szCs w:val="22"/>
          <w:lang w:val="en-GB"/>
        </w:rPr>
        <w:t xml:space="preserve">Kirk, J.K. and Stegner, J. (2010) 'Self-monitoring of blood glucose: practical aspects', </w:t>
      </w:r>
      <w:r w:rsidRPr="0FD5D7C0" w:rsidR="28F70758">
        <w:rPr>
          <w:rFonts w:ascii="Arial" w:hAnsi="Arial" w:eastAsia="Arial" w:cs="Arial"/>
          <w:i w:val="1"/>
          <w:iCs w:val="1"/>
          <w:noProof w:val="0"/>
          <w:color w:val="000000" w:themeColor="text1" w:themeTint="FF" w:themeShade="FF"/>
          <w:sz w:val="22"/>
          <w:szCs w:val="22"/>
          <w:lang w:val="en-GB"/>
        </w:rPr>
        <w:t>Journal of Diabetes Science and Technology</w:t>
      </w:r>
      <w:r w:rsidRPr="0FD5D7C0" w:rsidR="28F70758">
        <w:rPr>
          <w:rFonts w:ascii="Arial" w:hAnsi="Arial" w:eastAsia="Arial" w:cs="Arial"/>
          <w:noProof w:val="0"/>
          <w:color w:val="000000" w:themeColor="text1" w:themeTint="FF" w:themeShade="FF"/>
          <w:sz w:val="22"/>
          <w:szCs w:val="22"/>
          <w:lang w:val="en-GB"/>
        </w:rPr>
        <w:t xml:space="preserve">, 4(2), pp. 435–439. Available at: </w:t>
      </w:r>
      <w:hyperlink r:id="R6ab3490550284579">
        <w:r w:rsidRPr="0FD5D7C0" w:rsidR="28F70758">
          <w:rPr>
            <w:rStyle w:val="Hyperlink"/>
            <w:rFonts w:ascii="Arial" w:hAnsi="Arial" w:eastAsia="Arial" w:cs="Arial"/>
            <w:noProof w:val="0"/>
            <w:color w:val="000000" w:themeColor="text1" w:themeTint="FF" w:themeShade="FF"/>
            <w:sz w:val="22"/>
            <w:szCs w:val="22"/>
            <w:lang w:val="en-GB"/>
          </w:rPr>
          <w:t>https://pmc.ncbi.nlm.nih.gov/articles/PMC2864180/</w:t>
        </w:r>
      </w:hyperlink>
      <w:r w:rsidRPr="0FD5D7C0" w:rsidR="28F70758">
        <w:rPr>
          <w:rFonts w:ascii="Arial" w:hAnsi="Arial" w:eastAsia="Arial" w:cs="Arial"/>
          <w:noProof w:val="0"/>
          <w:color w:val="000000" w:themeColor="text1" w:themeTint="FF" w:themeShade="FF"/>
          <w:sz w:val="22"/>
          <w:szCs w:val="22"/>
          <w:lang w:val="en-GB"/>
        </w:rPr>
        <w:t xml:space="preserve"> (Accessed: 15 February 2026).</w:t>
      </w:r>
    </w:p>
    <w:p w:rsidR="004ED27F" w:rsidP="1F090E8F" w:rsidRDefault="004ED27F" w14:paraId="3EE49D1F" w14:textId="27139122">
      <w:pPr>
        <w:rPr>
          <w:rFonts w:ascii="Arial" w:hAnsi="Arial" w:eastAsia="Arial" w:cs="Arial"/>
          <w:noProof w:val="0"/>
          <w:color w:val="000000" w:themeColor="text1" w:themeTint="FF" w:themeShade="FF"/>
          <w:sz w:val="22"/>
          <w:szCs w:val="22"/>
          <w:lang w:val="en-GB"/>
        </w:rPr>
      </w:pPr>
      <w:r w:rsidRPr="1F090E8F" w:rsidR="004ED27F">
        <w:rPr>
          <w:rFonts w:ascii="Arial" w:hAnsi="Arial" w:eastAsia="Arial" w:cs="Arial"/>
          <w:noProof w:val="0"/>
          <w:color w:val="000000" w:themeColor="text1" w:themeTint="FF" w:themeShade="FF"/>
          <w:sz w:val="22"/>
          <w:szCs w:val="22"/>
          <w:lang w:val="en-GB"/>
        </w:rPr>
        <w:t xml:space="preserve">Takai, M. et al. (2020) 'Technology-assisted self-monitoring of lifestyle </w:t>
      </w:r>
      <w:r w:rsidRPr="1F090E8F" w:rsidR="004ED27F">
        <w:rPr>
          <w:rFonts w:ascii="Arial" w:hAnsi="Arial" w:eastAsia="Arial" w:cs="Arial"/>
          <w:noProof w:val="0"/>
          <w:color w:val="000000" w:themeColor="text1" w:themeTint="FF" w:themeShade="FF"/>
          <w:sz w:val="22"/>
          <w:szCs w:val="22"/>
          <w:lang w:val="en-GB"/>
        </w:rPr>
        <w:t>behaviors</w:t>
      </w:r>
      <w:r w:rsidRPr="1F090E8F" w:rsidR="004ED27F">
        <w:rPr>
          <w:rFonts w:ascii="Arial" w:hAnsi="Arial" w:eastAsia="Arial" w:cs="Arial"/>
          <w:noProof w:val="0"/>
          <w:color w:val="000000" w:themeColor="text1" w:themeTint="FF" w:themeShade="FF"/>
          <w:sz w:val="22"/>
          <w:szCs w:val="22"/>
          <w:lang w:val="en-GB"/>
        </w:rPr>
        <w:t xml:space="preserve"> and health indicators in diabetes: qualitative study', </w:t>
      </w:r>
      <w:r w:rsidRPr="1F090E8F" w:rsidR="004ED27F">
        <w:rPr>
          <w:rFonts w:ascii="Arial" w:hAnsi="Arial" w:eastAsia="Arial" w:cs="Arial"/>
          <w:i w:val="1"/>
          <w:iCs w:val="1"/>
          <w:noProof w:val="0"/>
          <w:color w:val="000000" w:themeColor="text1" w:themeTint="FF" w:themeShade="FF"/>
          <w:sz w:val="22"/>
          <w:szCs w:val="22"/>
          <w:lang w:val="en-GB"/>
        </w:rPr>
        <w:t>JMIR Diabetes</w:t>
      </w:r>
      <w:r w:rsidRPr="1F090E8F" w:rsidR="004ED27F">
        <w:rPr>
          <w:rFonts w:ascii="Arial" w:hAnsi="Arial" w:eastAsia="Arial" w:cs="Arial"/>
          <w:noProof w:val="0"/>
          <w:color w:val="000000" w:themeColor="text1" w:themeTint="FF" w:themeShade="FF"/>
          <w:sz w:val="22"/>
          <w:szCs w:val="22"/>
          <w:lang w:val="en-GB"/>
        </w:rPr>
        <w:t xml:space="preserve">, 5(3). Available at: </w:t>
      </w:r>
      <w:hyperlink r:id="Rb5447ffbf0144b6f">
        <w:r w:rsidRPr="1F090E8F" w:rsidR="004ED27F">
          <w:rPr>
            <w:rStyle w:val="Hyperlink"/>
            <w:rFonts w:ascii="Arial" w:hAnsi="Arial" w:eastAsia="Arial" w:cs="Arial"/>
            <w:noProof w:val="0"/>
            <w:color w:val="000000" w:themeColor="text1" w:themeTint="FF" w:themeShade="FF"/>
            <w:sz w:val="22"/>
            <w:szCs w:val="22"/>
            <w:lang w:val="en-GB"/>
          </w:rPr>
          <w:t>https://diabetes.jmir.org/2020/3/e21183/</w:t>
        </w:r>
      </w:hyperlink>
      <w:r w:rsidRPr="1F090E8F" w:rsidR="004ED27F">
        <w:rPr>
          <w:rFonts w:ascii="Arial" w:hAnsi="Arial" w:eastAsia="Arial" w:cs="Arial"/>
          <w:noProof w:val="0"/>
          <w:color w:val="000000" w:themeColor="text1" w:themeTint="FF" w:themeShade="FF"/>
          <w:sz w:val="22"/>
          <w:szCs w:val="22"/>
          <w:lang w:val="en-GB"/>
        </w:rPr>
        <w:t xml:space="preserve"> (Accessed: 15 February 2026).</w:t>
      </w:r>
    </w:p>
    <w:p w:rsidR="67F99AC4" w:rsidP="1F090E8F" w:rsidRDefault="67F99AC4" w14:paraId="72A56CD3" w14:textId="7BC28101">
      <w:pPr>
        <w:rPr>
          <w:rFonts w:ascii="Arial" w:hAnsi="Arial" w:eastAsia="Arial" w:cs="Arial"/>
          <w:noProof w:val="0"/>
          <w:color w:val="000000" w:themeColor="text1" w:themeTint="FF" w:themeShade="FF"/>
          <w:sz w:val="22"/>
          <w:szCs w:val="22"/>
          <w:lang w:val="en-GB"/>
        </w:rPr>
      </w:pPr>
      <w:r w:rsidRPr="1F090E8F" w:rsidR="67F99AC4">
        <w:rPr>
          <w:rFonts w:ascii="Arial" w:hAnsi="Arial" w:eastAsia="Arial" w:cs="Arial"/>
          <w:noProof w:val="0"/>
          <w:color w:val="000000" w:themeColor="text1" w:themeTint="FF" w:themeShade="FF"/>
          <w:sz w:val="22"/>
          <w:szCs w:val="22"/>
          <w:lang w:val="en-GB"/>
        </w:rPr>
        <w:t xml:space="preserve">Centers for Disease Control and Prevention (2024) </w:t>
      </w:r>
      <w:r w:rsidRPr="1F090E8F" w:rsidR="67F99AC4">
        <w:rPr>
          <w:rFonts w:ascii="Arial" w:hAnsi="Arial" w:eastAsia="Arial" w:cs="Arial"/>
          <w:i w:val="1"/>
          <w:iCs w:val="1"/>
          <w:noProof w:val="0"/>
          <w:color w:val="000000" w:themeColor="text1" w:themeTint="FF" w:themeShade="FF"/>
          <w:sz w:val="22"/>
          <w:szCs w:val="22"/>
          <w:lang w:val="en-GB"/>
        </w:rPr>
        <w:t>Lifestyle changes and type 2 diabetes</w:t>
      </w:r>
      <w:r w:rsidRPr="1F090E8F" w:rsidR="67F99AC4">
        <w:rPr>
          <w:rFonts w:ascii="Arial" w:hAnsi="Arial" w:eastAsia="Arial" w:cs="Arial"/>
          <w:noProof w:val="0"/>
          <w:color w:val="000000" w:themeColor="text1" w:themeTint="FF" w:themeShade="FF"/>
          <w:sz w:val="22"/>
          <w:szCs w:val="22"/>
          <w:lang w:val="en-GB"/>
        </w:rPr>
        <w:t xml:space="preserve">. Available at: </w:t>
      </w:r>
      <w:hyperlink r:id="Re249138a8d6b44d7">
        <w:r w:rsidRPr="1F090E8F" w:rsidR="67F99AC4">
          <w:rPr>
            <w:rStyle w:val="Hyperlink"/>
            <w:rFonts w:ascii="Arial" w:hAnsi="Arial" w:eastAsia="Arial" w:cs="Arial"/>
            <w:noProof w:val="0"/>
            <w:sz w:val="22"/>
            <w:szCs w:val="22"/>
            <w:lang w:val="en-GB"/>
          </w:rPr>
          <w:t>https://www.cdc.gov/diabetes</w:t>
        </w:r>
      </w:hyperlink>
      <w:r w:rsidRPr="1F090E8F" w:rsidR="67F99AC4">
        <w:rPr>
          <w:rFonts w:ascii="Arial" w:hAnsi="Arial" w:eastAsia="Arial" w:cs="Arial"/>
          <w:noProof w:val="0"/>
          <w:color w:val="000000" w:themeColor="text1" w:themeTint="FF" w:themeShade="FF"/>
          <w:sz w:val="22"/>
          <w:szCs w:val="22"/>
          <w:lang w:val="en-GB"/>
        </w:rPr>
        <w:t xml:space="preserve"> (Accessed: 15 February 2026).</w:t>
      </w:r>
    </w:p>
    <w:p w:rsidR="67F99AC4" w:rsidP="1F090E8F" w:rsidRDefault="67F99AC4" w14:paraId="6AB598C9" w14:textId="2C0F33F7">
      <w:pPr>
        <w:rPr>
          <w:rFonts w:ascii="Arial" w:hAnsi="Arial" w:eastAsia="Arial" w:cs="Arial"/>
          <w:noProof w:val="0"/>
          <w:color w:val="000000" w:themeColor="text1" w:themeTint="FF" w:themeShade="FF"/>
          <w:sz w:val="22"/>
          <w:szCs w:val="22"/>
          <w:lang w:val="en-GB"/>
        </w:rPr>
      </w:pPr>
      <w:r w:rsidRPr="1F090E8F" w:rsidR="67F99AC4">
        <w:rPr>
          <w:rFonts w:ascii="Arial" w:hAnsi="Arial" w:eastAsia="Arial" w:cs="Arial"/>
          <w:noProof w:val="0"/>
          <w:color w:val="000000" w:themeColor="text1" w:themeTint="FF" w:themeShade="FF"/>
          <w:sz w:val="22"/>
          <w:szCs w:val="22"/>
          <w:lang w:val="en-GB"/>
        </w:rPr>
        <w:t xml:space="preserve">Ley, S.H., Hamdy, O., Mohan, V. and Hu, F.B. (2014) 'Prevention and management of type 2 diabetes: dietary components and nutritional strategies', </w:t>
      </w:r>
      <w:r w:rsidRPr="1F090E8F" w:rsidR="67F99AC4">
        <w:rPr>
          <w:rFonts w:ascii="Arial" w:hAnsi="Arial" w:eastAsia="Arial" w:cs="Arial"/>
          <w:i w:val="1"/>
          <w:iCs w:val="1"/>
          <w:noProof w:val="0"/>
          <w:color w:val="000000" w:themeColor="text1" w:themeTint="FF" w:themeShade="FF"/>
          <w:sz w:val="22"/>
          <w:szCs w:val="22"/>
          <w:lang w:val="en-GB"/>
        </w:rPr>
        <w:t>The Lancet</w:t>
      </w:r>
      <w:r w:rsidRPr="1F090E8F" w:rsidR="67F99AC4">
        <w:rPr>
          <w:rFonts w:ascii="Arial" w:hAnsi="Arial" w:eastAsia="Arial" w:cs="Arial"/>
          <w:noProof w:val="0"/>
          <w:color w:val="000000" w:themeColor="text1" w:themeTint="FF" w:themeShade="FF"/>
          <w:sz w:val="22"/>
          <w:szCs w:val="22"/>
          <w:lang w:val="en-GB"/>
        </w:rPr>
        <w:t xml:space="preserve">, 383(9933), pp. 1999–2007. Available at: </w:t>
      </w:r>
      <w:hyperlink r:id="R343d7794a4c14577">
        <w:r w:rsidRPr="1F090E8F" w:rsidR="67F99AC4">
          <w:rPr>
            <w:rStyle w:val="Hyperlink"/>
            <w:rFonts w:ascii="Arial" w:hAnsi="Arial" w:eastAsia="Arial" w:cs="Arial"/>
            <w:noProof w:val="0"/>
            <w:sz w:val="22"/>
            <w:szCs w:val="22"/>
            <w:lang w:val="en-GB"/>
          </w:rPr>
          <w:t>https://doi.org/10.1016/S0140-6736(14)60613-9</w:t>
        </w:r>
      </w:hyperlink>
      <w:r w:rsidRPr="1F090E8F" w:rsidR="67F99AC4">
        <w:rPr>
          <w:rFonts w:ascii="Arial" w:hAnsi="Arial" w:eastAsia="Arial" w:cs="Arial"/>
          <w:noProof w:val="0"/>
          <w:color w:val="000000" w:themeColor="text1" w:themeTint="FF" w:themeShade="FF"/>
          <w:sz w:val="22"/>
          <w:szCs w:val="22"/>
          <w:lang w:val="en-GB"/>
        </w:rPr>
        <w:t xml:space="preserve"> (Accessed: 15 February 2026).</w:t>
      </w:r>
    </w:p>
    <w:p w:rsidR="67F99AC4" w:rsidP="1F090E8F" w:rsidRDefault="67F99AC4" w14:paraId="6320B5D0" w14:textId="4A7BF037">
      <w:pPr>
        <w:rPr>
          <w:rFonts w:ascii="Arial" w:hAnsi="Arial" w:eastAsia="Arial" w:cs="Arial"/>
          <w:noProof w:val="0"/>
          <w:color w:val="000000" w:themeColor="text1" w:themeTint="FF" w:themeShade="FF"/>
          <w:sz w:val="22"/>
          <w:szCs w:val="22"/>
          <w:lang w:val="en-GB"/>
        </w:rPr>
      </w:pPr>
      <w:r w:rsidRPr="1F090E8F" w:rsidR="67F99AC4">
        <w:rPr>
          <w:rFonts w:ascii="Arial" w:hAnsi="Arial" w:eastAsia="Arial" w:cs="Arial"/>
          <w:noProof w:val="0"/>
          <w:color w:val="000000" w:themeColor="text1" w:themeTint="FF" w:themeShade="FF"/>
          <w:sz w:val="22"/>
          <w:szCs w:val="22"/>
          <w:lang w:val="en-GB"/>
        </w:rPr>
        <w:t xml:space="preserve">Tsilidis, K.K. et al. (2020) 'Sociodemographic and lifestyle-related risk factors for identifying vulnerable groups for type 2 diabetes', </w:t>
      </w:r>
      <w:r w:rsidRPr="1F090E8F" w:rsidR="67F99AC4">
        <w:rPr>
          <w:rFonts w:ascii="Arial" w:hAnsi="Arial" w:eastAsia="Arial" w:cs="Arial"/>
          <w:i w:val="1"/>
          <w:iCs w:val="1"/>
          <w:noProof w:val="0"/>
          <w:color w:val="000000" w:themeColor="text1" w:themeTint="FF" w:themeShade="FF"/>
          <w:sz w:val="22"/>
          <w:szCs w:val="22"/>
          <w:lang w:val="en-GB"/>
        </w:rPr>
        <w:t>BMC Endocrine Disorders</w:t>
      </w:r>
      <w:r w:rsidRPr="1F090E8F" w:rsidR="67F99AC4">
        <w:rPr>
          <w:rFonts w:ascii="Arial" w:hAnsi="Arial" w:eastAsia="Arial" w:cs="Arial"/>
          <w:noProof w:val="0"/>
          <w:color w:val="000000" w:themeColor="text1" w:themeTint="FF" w:themeShade="FF"/>
          <w:sz w:val="22"/>
          <w:szCs w:val="22"/>
          <w:lang w:val="en-GB"/>
        </w:rPr>
        <w:t xml:space="preserve">, 20(1). Available at: </w:t>
      </w:r>
      <w:hyperlink r:id="R0b7eb393a0fd43c4">
        <w:r w:rsidRPr="1F090E8F" w:rsidR="67F99AC4">
          <w:rPr>
            <w:rStyle w:val="Hyperlink"/>
            <w:rFonts w:ascii="Arial" w:hAnsi="Arial" w:eastAsia="Arial" w:cs="Arial"/>
            <w:noProof w:val="0"/>
            <w:sz w:val="22"/>
            <w:szCs w:val="22"/>
            <w:lang w:val="en-GB"/>
          </w:rPr>
          <w:t>https://bmcendocrdisord.biomedcentral.com/articles/10.1186/s12902-019-0463-3</w:t>
        </w:r>
      </w:hyperlink>
      <w:r w:rsidRPr="1F090E8F" w:rsidR="67F99AC4">
        <w:rPr>
          <w:rFonts w:ascii="Arial" w:hAnsi="Arial" w:eastAsia="Arial" w:cs="Arial"/>
          <w:noProof w:val="0"/>
          <w:color w:val="000000" w:themeColor="text1" w:themeTint="FF" w:themeShade="FF"/>
          <w:sz w:val="22"/>
          <w:szCs w:val="22"/>
          <w:lang w:val="en-GB"/>
        </w:rPr>
        <w:t xml:space="preserve"> (Accessed: 15 February 2026).</w:t>
      </w:r>
    </w:p>
    <w:p w:rsidR="67F99AC4" w:rsidP="1F090E8F" w:rsidRDefault="67F99AC4" w14:paraId="3DBDE269" w14:textId="534FD0B9">
      <w:pPr>
        <w:rPr>
          <w:rFonts w:ascii="Arial" w:hAnsi="Arial" w:eastAsia="Arial" w:cs="Arial"/>
          <w:noProof w:val="0"/>
          <w:color w:val="000000" w:themeColor="text1" w:themeTint="FF" w:themeShade="FF"/>
          <w:sz w:val="22"/>
          <w:szCs w:val="22"/>
          <w:lang w:val="en-GB"/>
        </w:rPr>
      </w:pPr>
      <w:r w:rsidRPr="1F090E8F" w:rsidR="67F99AC4">
        <w:rPr>
          <w:rFonts w:ascii="Arial" w:hAnsi="Arial" w:eastAsia="Arial" w:cs="Arial"/>
          <w:noProof w:val="0"/>
          <w:color w:val="000000" w:themeColor="text1" w:themeTint="FF" w:themeShade="FF"/>
          <w:sz w:val="22"/>
          <w:szCs w:val="22"/>
          <w:lang w:val="en-GB"/>
        </w:rPr>
        <w:t xml:space="preserve">Umpierre, D. et al. (2021) 'Lifestyle interventions to improve glycaemic control in adults with type 2 diabetes', </w:t>
      </w:r>
      <w:r w:rsidRPr="1F090E8F" w:rsidR="67F99AC4">
        <w:rPr>
          <w:rFonts w:ascii="Arial" w:hAnsi="Arial" w:eastAsia="Arial" w:cs="Arial"/>
          <w:i w:val="1"/>
          <w:iCs w:val="1"/>
          <w:noProof w:val="0"/>
          <w:color w:val="000000" w:themeColor="text1" w:themeTint="FF" w:themeShade="FF"/>
          <w:sz w:val="22"/>
          <w:szCs w:val="22"/>
          <w:lang w:val="en-GB"/>
        </w:rPr>
        <w:t>BMC Public Health</w:t>
      </w:r>
      <w:r w:rsidRPr="1F090E8F" w:rsidR="67F99AC4">
        <w:rPr>
          <w:rFonts w:ascii="Arial" w:hAnsi="Arial" w:eastAsia="Arial" w:cs="Arial"/>
          <w:noProof w:val="0"/>
          <w:color w:val="000000" w:themeColor="text1" w:themeTint="FF" w:themeShade="FF"/>
          <w:sz w:val="22"/>
          <w:szCs w:val="22"/>
          <w:lang w:val="en-GB"/>
        </w:rPr>
        <w:t xml:space="preserve">, 21(1). Available at: </w:t>
      </w:r>
      <w:hyperlink r:id="R7c290549038c42db">
        <w:r w:rsidRPr="1F090E8F" w:rsidR="67F99AC4">
          <w:rPr>
            <w:rStyle w:val="Hyperlink"/>
            <w:rFonts w:ascii="Arial" w:hAnsi="Arial" w:eastAsia="Arial" w:cs="Arial"/>
            <w:noProof w:val="0"/>
            <w:sz w:val="22"/>
            <w:szCs w:val="22"/>
            <w:lang w:val="en-GB"/>
          </w:rPr>
          <w:t>https://pmc.ncbi.nlm.nih.gov/articles/PMC8296019/</w:t>
        </w:r>
      </w:hyperlink>
      <w:r w:rsidRPr="1F090E8F" w:rsidR="67F99AC4">
        <w:rPr>
          <w:rFonts w:ascii="Arial" w:hAnsi="Arial" w:eastAsia="Arial" w:cs="Arial"/>
          <w:noProof w:val="0"/>
          <w:color w:val="000000" w:themeColor="text1" w:themeTint="FF" w:themeShade="FF"/>
          <w:sz w:val="22"/>
          <w:szCs w:val="22"/>
          <w:lang w:val="en-GB"/>
        </w:rPr>
        <w:t xml:space="preserve"> (Accessed: 15 February 2026).</w:t>
      </w:r>
    </w:p>
    <w:p w:rsidR="4C3CC405" w:rsidP="1F090E8F" w:rsidRDefault="4C3CC405" w14:paraId="059292E4" w14:textId="347FF3A2">
      <w:pPr>
        <w:rPr>
          <w:rFonts w:ascii="Arial" w:hAnsi="Arial" w:eastAsia="Arial" w:cs="Arial"/>
          <w:noProof w:val="0"/>
          <w:color w:val="000000" w:themeColor="text1" w:themeTint="FF" w:themeShade="FF"/>
          <w:sz w:val="22"/>
          <w:szCs w:val="22"/>
          <w:lang w:val="en-GB"/>
        </w:rPr>
      </w:pPr>
      <w:r w:rsidRPr="1F090E8F" w:rsidR="4C3CC405">
        <w:rPr>
          <w:rFonts w:ascii="Arial" w:hAnsi="Arial" w:eastAsia="Arial" w:cs="Arial"/>
          <w:noProof w:val="0"/>
          <w:color w:val="000000" w:themeColor="text1" w:themeTint="FF" w:themeShade="FF"/>
          <w:sz w:val="22"/>
          <w:szCs w:val="22"/>
          <w:lang w:val="en-GB"/>
        </w:rPr>
        <w:t xml:space="preserve">Lambrinou, E., Hansen, T.B. and Beulens, J.W. (2019) 'Lifestyle factors, self-management and patient empowerment in diabetes care', </w:t>
      </w:r>
      <w:r w:rsidRPr="1F090E8F" w:rsidR="4C3CC405">
        <w:rPr>
          <w:rFonts w:ascii="Arial" w:hAnsi="Arial" w:eastAsia="Arial" w:cs="Arial"/>
          <w:i w:val="1"/>
          <w:iCs w:val="1"/>
          <w:noProof w:val="0"/>
          <w:color w:val="000000" w:themeColor="text1" w:themeTint="FF" w:themeShade="FF"/>
          <w:sz w:val="22"/>
          <w:szCs w:val="22"/>
          <w:lang w:val="en-GB"/>
        </w:rPr>
        <w:t>European Journal of Preventive Cardiology</w:t>
      </w:r>
      <w:r w:rsidRPr="1F090E8F" w:rsidR="4C3CC405">
        <w:rPr>
          <w:rFonts w:ascii="Arial" w:hAnsi="Arial" w:eastAsia="Arial" w:cs="Arial"/>
          <w:noProof w:val="0"/>
          <w:color w:val="000000" w:themeColor="text1" w:themeTint="FF" w:themeShade="FF"/>
          <w:sz w:val="22"/>
          <w:szCs w:val="22"/>
          <w:lang w:val="en-GB"/>
        </w:rPr>
        <w:t xml:space="preserve">, 26(2), pp. 55–63. Available at: </w:t>
      </w:r>
      <w:hyperlink r:id="R0254a317bbe1467f">
        <w:r w:rsidRPr="1F090E8F" w:rsidR="4C3CC405">
          <w:rPr>
            <w:rStyle w:val="Hyperlink"/>
            <w:rFonts w:ascii="Arial" w:hAnsi="Arial" w:eastAsia="Arial" w:cs="Arial"/>
            <w:noProof w:val="0"/>
            <w:color w:val="000000" w:themeColor="text1" w:themeTint="FF" w:themeShade="FF"/>
            <w:sz w:val="22"/>
            <w:szCs w:val="22"/>
            <w:lang w:val="en-GB"/>
          </w:rPr>
          <w:t>https://doi.org/10.1177/2047487319885455</w:t>
        </w:r>
      </w:hyperlink>
      <w:r w:rsidRPr="1F090E8F" w:rsidR="4C3CC405">
        <w:rPr>
          <w:rFonts w:ascii="Arial" w:hAnsi="Arial" w:eastAsia="Arial" w:cs="Arial"/>
          <w:noProof w:val="0"/>
          <w:color w:val="000000" w:themeColor="text1" w:themeTint="FF" w:themeShade="FF"/>
          <w:sz w:val="22"/>
          <w:szCs w:val="22"/>
          <w:lang w:val="en-GB"/>
        </w:rPr>
        <w:t xml:space="preserve"> (Accessed: 15 February 2026).</w:t>
      </w:r>
    </w:p>
    <w:p w:rsidR="4C3CC405" w:rsidP="1F090E8F" w:rsidRDefault="4C3CC405" w14:paraId="43E3FCAF" w14:textId="7F333AFE">
      <w:pPr>
        <w:rPr>
          <w:rFonts w:ascii="Arial" w:hAnsi="Arial" w:eastAsia="Arial" w:cs="Arial"/>
          <w:noProof w:val="0"/>
          <w:color w:val="000000" w:themeColor="text1" w:themeTint="FF" w:themeShade="FF"/>
          <w:sz w:val="22"/>
          <w:szCs w:val="22"/>
          <w:lang w:val="en-GB"/>
        </w:rPr>
      </w:pPr>
      <w:r w:rsidRPr="1F090E8F" w:rsidR="4C3CC405">
        <w:rPr>
          <w:rFonts w:ascii="Arial" w:hAnsi="Arial" w:eastAsia="Arial" w:cs="Arial"/>
          <w:noProof w:val="0"/>
          <w:color w:val="000000" w:themeColor="text1" w:themeTint="FF" w:themeShade="FF"/>
          <w:sz w:val="22"/>
          <w:szCs w:val="22"/>
          <w:lang w:val="en-GB"/>
        </w:rPr>
        <w:t xml:space="preserve">Peyrot, M. and Rubin, R.R. (2012) 'Diabetes empowerment, medication adherence and self-care behaviours in adults with Type 2 diabetes', </w:t>
      </w:r>
      <w:r w:rsidRPr="1F090E8F" w:rsidR="4C3CC405">
        <w:rPr>
          <w:rFonts w:ascii="Arial" w:hAnsi="Arial" w:eastAsia="Arial" w:cs="Arial"/>
          <w:i w:val="1"/>
          <w:iCs w:val="1"/>
          <w:noProof w:val="0"/>
          <w:color w:val="000000" w:themeColor="text1" w:themeTint="FF" w:themeShade="FF"/>
          <w:sz w:val="22"/>
          <w:szCs w:val="22"/>
          <w:lang w:val="en-GB"/>
        </w:rPr>
        <w:t>Diabetic Medicine</w:t>
      </w:r>
      <w:r w:rsidRPr="1F090E8F" w:rsidR="4C3CC405">
        <w:rPr>
          <w:rFonts w:ascii="Arial" w:hAnsi="Arial" w:eastAsia="Arial" w:cs="Arial"/>
          <w:noProof w:val="0"/>
          <w:color w:val="000000" w:themeColor="text1" w:themeTint="FF" w:themeShade="FF"/>
          <w:sz w:val="22"/>
          <w:szCs w:val="22"/>
          <w:lang w:val="en-GB"/>
        </w:rPr>
        <w:t xml:space="preserve">, 29(7), pp. 875–882. Available at: </w:t>
      </w:r>
      <w:hyperlink r:id="Ra45d1b78889b4952">
        <w:r w:rsidRPr="1F090E8F" w:rsidR="4C3CC405">
          <w:rPr>
            <w:rStyle w:val="Hyperlink"/>
            <w:rFonts w:ascii="Arial" w:hAnsi="Arial" w:eastAsia="Arial" w:cs="Arial"/>
            <w:noProof w:val="0"/>
            <w:color w:val="000000" w:themeColor="text1" w:themeTint="FF" w:themeShade="FF"/>
            <w:sz w:val="22"/>
            <w:szCs w:val="22"/>
            <w:lang w:val="en-GB"/>
          </w:rPr>
          <w:t>https://pmc.ncbi.nlm.nih.gov/articles/PMC3389377/</w:t>
        </w:r>
      </w:hyperlink>
      <w:r w:rsidRPr="1F090E8F" w:rsidR="4C3CC405">
        <w:rPr>
          <w:rFonts w:ascii="Arial" w:hAnsi="Arial" w:eastAsia="Arial" w:cs="Arial"/>
          <w:noProof w:val="0"/>
          <w:color w:val="000000" w:themeColor="text1" w:themeTint="FF" w:themeShade="FF"/>
          <w:sz w:val="22"/>
          <w:szCs w:val="22"/>
          <w:lang w:val="en-GB"/>
        </w:rPr>
        <w:t xml:space="preserve"> (Accessed: 15 February 2026).</w:t>
      </w:r>
    </w:p>
    <w:p w:rsidR="4C3CC405" w:rsidP="1F090E8F" w:rsidRDefault="4C3CC405" w14:paraId="5905E339" w14:textId="36712A66">
      <w:pPr>
        <w:rPr>
          <w:rFonts w:ascii="Arial" w:hAnsi="Arial" w:eastAsia="Arial" w:cs="Arial"/>
          <w:noProof w:val="0"/>
          <w:color w:val="000000" w:themeColor="text1" w:themeTint="FF" w:themeShade="FF"/>
          <w:sz w:val="22"/>
          <w:szCs w:val="22"/>
          <w:lang w:val="en-GB"/>
        </w:rPr>
      </w:pPr>
      <w:r w:rsidRPr="1F090E8F" w:rsidR="4C3CC405">
        <w:rPr>
          <w:rFonts w:ascii="Arial" w:hAnsi="Arial" w:eastAsia="Arial" w:cs="Arial"/>
          <w:noProof w:val="0"/>
          <w:color w:val="000000" w:themeColor="text1" w:themeTint="FF" w:themeShade="FF"/>
          <w:sz w:val="22"/>
          <w:szCs w:val="22"/>
          <w:lang w:val="en-GB"/>
        </w:rPr>
        <w:t xml:space="preserve">Thapa, P., Oral, O. and Nomikos, G.N. (2024) 'The importance of empowering self-management skills in diabetes mellitus', </w:t>
      </w:r>
      <w:r w:rsidRPr="1F090E8F" w:rsidR="4C3CC405">
        <w:rPr>
          <w:rFonts w:ascii="Arial" w:hAnsi="Arial" w:eastAsia="Arial" w:cs="Arial"/>
          <w:i w:val="1"/>
          <w:iCs w:val="1"/>
          <w:noProof w:val="0"/>
          <w:color w:val="000000" w:themeColor="text1" w:themeTint="FF" w:themeShade="FF"/>
          <w:sz w:val="22"/>
          <w:szCs w:val="22"/>
          <w:lang w:val="en-GB"/>
        </w:rPr>
        <w:t>Advanced Medical Research</w:t>
      </w:r>
      <w:r w:rsidRPr="1F090E8F" w:rsidR="4C3CC405">
        <w:rPr>
          <w:rFonts w:ascii="Arial" w:hAnsi="Arial" w:eastAsia="Arial" w:cs="Arial"/>
          <w:noProof w:val="0"/>
          <w:color w:val="000000" w:themeColor="text1" w:themeTint="FF" w:themeShade="FF"/>
          <w:sz w:val="22"/>
          <w:szCs w:val="22"/>
          <w:lang w:val="en-GB"/>
        </w:rPr>
        <w:t xml:space="preserve">, 3(1). Available at: </w:t>
      </w:r>
      <w:hyperlink r:id="Rc9f5e24675244c7b">
        <w:r w:rsidRPr="1F090E8F" w:rsidR="4C3CC405">
          <w:rPr>
            <w:rStyle w:val="Hyperlink"/>
            <w:rFonts w:ascii="Arial" w:hAnsi="Arial" w:eastAsia="Arial" w:cs="Arial"/>
            <w:noProof w:val="0"/>
            <w:color w:val="000000" w:themeColor="text1" w:themeTint="FF" w:themeShade="FF"/>
            <w:sz w:val="22"/>
            <w:szCs w:val="22"/>
            <w:lang w:val="en-GB"/>
          </w:rPr>
          <w:t>https://doi.org/10.62836/amr.v3i1.182</w:t>
        </w:r>
      </w:hyperlink>
      <w:r w:rsidRPr="1F090E8F" w:rsidR="4C3CC405">
        <w:rPr>
          <w:rFonts w:ascii="Arial" w:hAnsi="Arial" w:eastAsia="Arial" w:cs="Arial"/>
          <w:noProof w:val="0"/>
          <w:color w:val="000000" w:themeColor="text1" w:themeTint="FF" w:themeShade="FF"/>
          <w:sz w:val="22"/>
          <w:szCs w:val="22"/>
          <w:lang w:val="en-GB"/>
        </w:rPr>
        <w:t xml:space="preserve"> (Accessed: 15 February 2026).</w:t>
      </w:r>
    </w:p>
    <w:p w:rsidR="4C3CC405" w:rsidP="1F090E8F" w:rsidRDefault="4C3CC405" w14:paraId="0D049A6E" w14:textId="5E5A5A0E">
      <w:pPr>
        <w:rPr>
          <w:rFonts w:ascii="Arial" w:hAnsi="Arial" w:eastAsia="Arial" w:cs="Arial"/>
          <w:noProof w:val="0"/>
          <w:color w:val="000000" w:themeColor="text1" w:themeTint="FF" w:themeShade="FF"/>
          <w:sz w:val="22"/>
          <w:szCs w:val="22"/>
          <w:lang w:val="en-GB"/>
        </w:rPr>
      </w:pPr>
      <w:r w:rsidRPr="1F090E8F" w:rsidR="4C3CC405">
        <w:rPr>
          <w:rFonts w:ascii="Arial" w:hAnsi="Arial" w:eastAsia="Arial" w:cs="Arial"/>
          <w:noProof w:val="0"/>
          <w:color w:val="000000" w:themeColor="text1" w:themeTint="FF" w:themeShade="FF"/>
          <w:sz w:val="22"/>
          <w:szCs w:val="22"/>
          <w:lang w:val="en-GB"/>
        </w:rPr>
        <w:t xml:space="preserve">Wazqar, D.Y. et al. (2024) 'The impact of patient support and health education on diabetes management and glycaemic control', </w:t>
      </w:r>
      <w:r w:rsidRPr="1F090E8F" w:rsidR="4C3CC405">
        <w:rPr>
          <w:rFonts w:ascii="Arial" w:hAnsi="Arial" w:eastAsia="Arial" w:cs="Arial"/>
          <w:i w:val="1"/>
          <w:iCs w:val="1"/>
          <w:noProof w:val="0"/>
          <w:color w:val="000000" w:themeColor="text1" w:themeTint="FF" w:themeShade="FF"/>
          <w:sz w:val="22"/>
          <w:szCs w:val="22"/>
          <w:lang w:val="en-GB"/>
        </w:rPr>
        <w:t>PMC</w:t>
      </w:r>
      <w:r w:rsidRPr="1F090E8F" w:rsidR="4C3CC405">
        <w:rPr>
          <w:rFonts w:ascii="Arial" w:hAnsi="Arial" w:eastAsia="Arial" w:cs="Arial"/>
          <w:noProof w:val="0"/>
          <w:color w:val="000000" w:themeColor="text1" w:themeTint="FF" w:themeShade="FF"/>
          <w:sz w:val="22"/>
          <w:szCs w:val="22"/>
          <w:lang w:val="en-GB"/>
        </w:rPr>
        <w:t xml:space="preserve">. Available at: </w:t>
      </w:r>
      <w:hyperlink r:id="R82e3cdf58eaf4694">
        <w:r w:rsidRPr="1F090E8F" w:rsidR="4C3CC405">
          <w:rPr>
            <w:rStyle w:val="Hyperlink"/>
            <w:rFonts w:ascii="Arial" w:hAnsi="Arial" w:eastAsia="Arial" w:cs="Arial"/>
            <w:noProof w:val="0"/>
            <w:color w:val="000000" w:themeColor="text1" w:themeTint="FF" w:themeShade="FF"/>
            <w:sz w:val="22"/>
            <w:szCs w:val="22"/>
            <w:lang w:val="en-GB"/>
          </w:rPr>
          <w:t>https://pmc.ncbi.nlm.nih.gov/articles/PMC11665752/</w:t>
        </w:r>
      </w:hyperlink>
      <w:r w:rsidRPr="1F090E8F" w:rsidR="4C3CC405">
        <w:rPr>
          <w:rFonts w:ascii="Arial" w:hAnsi="Arial" w:eastAsia="Arial" w:cs="Arial"/>
          <w:noProof w:val="0"/>
          <w:color w:val="000000" w:themeColor="text1" w:themeTint="FF" w:themeShade="FF"/>
          <w:sz w:val="22"/>
          <w:szCs w:val="22"/>
          <w:lang w:val="en-GB"/>
        </w:rPr>
        <w:t xml:space="preserve"> (Accessed: 15 February 2026).</w:t>
      </w:r>
    </w:p>
    <w:p w:rsidR="1F090E8F" w:rsidP="1F090E8F" w:rsidRDefault="1F090E8F" w14:paraId="30884CE0" w14:textId="6EFFF510">
      <w:pPr>
        <w:rPr>
          <w:rFonts w:ascii="Arial" w:hAnsi="Arial" w:eastAsia="Arial" w:cs="Arial"/>
          <w:noProof w:val="0"/>
          <w:color w:val="000000" w:themeColor="text1" w:themeTint="FF" w:themeShade="FF"/>
          <w:sz w:val="22"/>
          <w:szCs w:val="22"/>
          <w:lang w:val="en-GB"/>
        </w:rPr>
      </w:pPr>
    </w:p>
    <w:p w:rsidR="1F090E8F" w:rsidP="1F090E8F" w:rsidRDefault="1F090E8F" w14:paraId="2FC3D94A" w14:textId="646AE7F0">
      <w:pPr>
        <w:rPr>
          <w:rFonts w:ascii="Arial" w:hAnsi="Arial" w:eastAsia="Arial" w:cs="Arial"/>
          <w:noProof w:val="0"/>
          <w:color w:val="000000" w:themeColor="text1" w:themeTint="FF" w:themeShade="FF"/>
          <w:sz w:val="22"/>
          <w:szCs w:val="22"/>
          <w:lang w:val="en-GB"/>
        </w:rPr>
      </w:pPr>
    </w:p>
    <w:p w:rsidR="1F090E8F" w:rsidP="1F090E8F" w:rsidRDefault="1F090E8F" w14:paraId="01B47ABD" w14:textId="417E2082">
      <w:pPr>
        <w:rPr>
          <w:rFonts w:ascii="Arial" w:hAnsi="Arial" w:eastAsia="Arial" w:cs="Arial"/>
          <w:noProof w:val="0"/>
          <w:color w:val="000000" w:themeColor="text1" w:themeTint="FF" w:themeShade="FF"/>
          <w:sz w:val="22"/>
          <w:szCs w:val="22"/>
          <w:lang w:val="en-GB"/>
        </w:rPr>
      </w:pPr>
    </w:p>
    <w:p w:rsidR="0FD5D7C0" w:rsidP="0FD5D7C0" w:rsidRDefault="0FD5D7C0" w14:paraId="508979D5" w14:textId="6A715B07">
      <w:pPr>
        <w:rPr>
          <w:rFonts w:ascii="Arial" w:hAnsi="Arial" w:eastAsia="Arial" w:cs="Arial"/>
          <w:noProof w:val="0"/>
          <w:color w:val="000000" w:themeColor="text1" w:themeTint="FF" w:themeShade="FF"/>
          <w:sz w:val="22"/>
          <w:szCs w:val="22"/>
          <w:lang w:val="en-GB"/>
        </w:rPr>
      </w:pPr>
    </w:p>
    <w:p w:rsidR="0FD5D7C0" w:rsidP="0FD5D7C0" w:rsidRDefault="0FD5D7C0" w14:paraId="5648BCF3" w14:textId="1A57BB4C">
      <w:pPr>
        <w:rPr>
          <w:rFonts w:ascii="Arial" w:hAnsi="Arial" w:eastAsia="Arial" w:cs="Arial"/>
          <w:sz w:val="22"/>
          <w:szCs w:val="22"/>
        </w:rPr>
      </w:pPr>
    </w:p>
    <w:p w:rsidR="0FD5D7C0" w:rsidP="0FD5D7C0" w:rsidRDefault="0FD5D7C0" w14:paraId="48D7AD39" w14:textId="7B38DB15">
      <w:pPr>
        <w:rPr>
          <w:rFonts w:ascii="Arial" w:hAnsi="Arial" w:eastAsia="Arial" w:cs="Arial"/>
          <w:noProof w:val="0"/>
          <w:color w:val="000000" w:themeColor="text1" w:themeTint="FF" w:themeShade="FF"/>
          <w:sz w:val="22"/>
          <w:szCs w:val="22"/>
          <w:lang w:val="en-GB"/>
        </w:rPr>
      </w:pPr>
    </w:p>
    <w:p w:rsidR="549A04E6" w:rsidP="549A04E6" w:rsidRDefault="549A04E6" w14:paraId="465F06D4" w14:textId="19785A72">
      <w:pPr>
        <w:rPr>
          <w:rFonts w:ascii="Arial" w:hAnsi="Arial" w:eastAsia="Arial" w:cs="Arial"/>
          <w:noProof w:val="0"/>
          <w:color w:val="000000" w:themeColor="text1" w:themeTint="FF" w:themeShade="FF"/>
          <w:sz w:val="22"/>
          <w:szCs w:val="22"/>
          <w:lang w:val="en-GB"/>
        </w:rPr>
      </w:pPr>
    </w:p>
    <w:p w:rsidR="549A04E6" w:rsidP="549A04E6" w:rsidRDefault="549A04E6" w14:paraId="4DCF5D9D" w14:textId="1C4F82BF">
      <w:pPr>
        <w:rPr>
          <w:rFonts w:ascii="Arial" w:hAnsi="Arial" w:eastAsia="Arial" w:cs="Arial"/>
          <w:noProof w:val="0"/>
          <w:color w:val="000000" w:themeColor="text1" w:themeTint="FF" w:themeShade="FF"/>
          <w:sz w:val="22"/>
          <w:szCs w:val="22"/>
          <w:lang w:val="en-GB"/>
        </w:rPr>
      </w:pPr>
    </w:p>
    <w:p w:rsidR="549A04E6" w:rsidP="549A04E6" w:rsidRDefault="549A04E6" w14:paraId="7F821201" w14:textId="7D46CF23">
      <w:pPr>
        <w:rPr>
          <w:rFonts w:ascii="Arial" w:hAnsi="Arial" w:eastAsia="Arial" w:cs="Arial"/>
          <w:noProof w:val="0"/>
          <w:color w:val="000000" w:themeColor="text1" w:themeTint="FF" w:themeShade="FF"/>
          <w:sz w:val="22"/>
          <w:szCs w:val="22"/>
          <w:lang w:val="en-GB"/>
        </w:rPr>
      </w:pPr>
    </w:p>
    <w:p w:rsidR="549A04E6" w:rsidP="549A04E6" w:rsidRDefault="549A04E6" w14:paraId="562C74ED" w14:textId="5BB1B022">
      <w:pPr>
        <w:pStyle w:val="Normal"/>
        <w:rPr>
          <w:rFonts w:ascii="Arial" w:hAnsi="Arial" w:eastAsia="Arial" w:cs="Arial"/>
          <w:sz w:val="32"/>
          <w:szCs w:val="3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IE0qJQBeX6uvKM" int2:id="62D609xr">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801BD9"/>
    <w:rsid w:val="004ED27F"/>
    <w:rsid w:val="0195047F"/>
    <w:rsid w:val="01B49D9E"/>
    <w:rsid w:val="06FD47C2"/>
    <w:rsid w:val="0A8C65CC"/>
    <w:rsid w:val="0B24D02D"/>
    <w:rsid w:val="0FD5D7C0"/>
    <w:rsid w:val="11599631"/>
    <w:rsid w:val="13A56471"/>
    <w:rsid w:val="1432FF4C"/>
    <w:rsid w:val="185A18CE"/>
    <w:rsid w:val="18AEA9FD"/>
    <w:rsid w:val="1973612B"/>
    <w:rsid w:val="1F090E8F"/>
    <w:rsid w:val="1FA648FF"/>
    <w:rsid w:val="203A6D88"/>
    <w:rsid w:val="2137F215"/>
    <w:rsid w:val="214CC569"/>
    <w:rsid w:val="257D56C6"/>
    <w:rsid w:val="2769E2D2"/>
    <w:rsid w:val="28F70758"/>
    <w:rsid w:val="2E6F982E"/>
    <w:rsid w:val="2EFCF638"/>
    <w:rsid w:val="33C872FB"/>
    <w:rsid w:val="382CE6C2"/>
    <w:rsid w:val="3CBA91FF"/>
    <w:rsid w:val="3D872329"/>
    <w:rsid w:val="3DC09F4D"/>
    <w:rsid w:val="3E1C00D0"/>
    <w:rsid w:val="409279CF"/>
    <w:rsid w:val="42493FED"/>
    <w:rsid w:val="43BC1914"/>
    <w:rsid w:val="44C18464"/>
    <w:rsid w:val="474736B7"/>
    <w:rsid w:val="4B5D04DB"/>
    <w:rsid w:val="4BDC866A"/>
    <w:rsid w:val="4C3CC405"/>
    <w:rsid w:val="4D3235D4"/>
    <w:rsid w:val="4E52A206"/>
    <w:rsid w:val="4EA5A082"/>
    <w:rsid w:val="4FC4CD43"/>
    <w:rsid w:val="50801BD9"/>
    <w:rsid w:val="53AAE3FB"/>
    <w:rsid w:val="549A04E6"/>
    <w:rsid w:val="6291075C"/>
    <w:rsid w:val="63409CAD"/>
    <w:rsid w:val="63D79FF5"/>
    <w:rsid w:val="650B85B6"/>
    <w:rsid w:val="67F99AC4"/>
    <w:rsid w:val="683C5135"/>
    <w:rsid w:val="6B13A98E"/>
    <w:rsid w:val="6BEAAFA8"/>
    <w:rsid w:val="70218193"/>
    <w:rsid w:val="702F0513"/>
    <w:rsid w:val="75D3DBF1"/>
    <w:rsid w:val="7B0B54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01BD9"/>
  <w15:chartTrackingRefBased/>
  <w15:docId w15:val="{4F35B652-8687-4522-A0E0-F029C044C1A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49A04E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who.int/news-room/fact-sheets/detail/diabetes" TargetMode="External" Id="R46dbad78459f4548" /><Relationship Type="http://schemas.openxmlformats.org/officeDocument/2006/relationships/hyperlink" Target="https://doi.org/10.1016/j.mpsur.2020.09.010" TargetMode="External" Id="R615fa6a9f5ec40ba" /><Relationship Type="http://schemas.openxmlformats.org/officeDocument/2006/relationships/hyperlink" Target="https://www.wjgnet.com/1948-9358/full/v16/i2/100371.htm" TargetMode="External" Id="Raa5add040ef444ea" /><Relationship Type="http://schemas.openxmlformats.org/officeDocument/2006/relationships/hyperlink" Target="https://www.who.int/news-room/fact-sheets/detail/diabetes" TargetMode="External" Id="Rd3f825924f68404d" /><Relationship Type="http://schemas.openxmlformats.org/officeDocument/2006/relationships/hyperlink" Target="https://www.thelancet.com/journals/landia/article/PIIS2213-8587(23)00326-1/fulltext" TargetMode="External" Id="Rd3bb98c9b67a4820" /><Relationship Type="http://schemas.openxmlformats.org/officeDocument/2006/relationships/hyperlink" Target="https://bmcendocrdisord.biomedcentral.com/articles/10.1186/s12902-019-0463-3" TargetMode="External" Id="Rf84a7c16c18e40b0" /><Relationship Type="http://schemas.openxmlformats.org/officeDocument/2006/relationships/hyperlink" Target="https://www.who.int/news-room/fact-sheets/detail/diabetes" TargetMode="External" Id="R409fbfa947f1467f" /><Relationship Type="http://schemas.openxmlformats.org/officeDocument/2006/relationships/hyperlink" Target="https://bmcendocrdisord.biomedcentral.com/articles/10.1186/s12902-019-0463-3" TargetMode="External" Id="Rf8fa0719227a4be0" /><Relationship Type="http://schemas.openxmlformats.org/officeDocument/2006/relationships/hyperlink" Target="https://www.openaccessjournals.com/articles/risk-factors-of-diabetes.pdf" TargetMode="External" Id="Ra71aff2b2235451a" /><Relationship Type="http://schemas.openxmlformats.org/officeDocument/2006/relationships/hyperlink" Target="https://pmc.ncbi.nlm.nih.gov/articles/PMC4166864/" TargetMode="External" Id="R55b8ed7350644fbd" /><Relationship Type="http://schemas.openxmlformats.org/officeDocument/2006/relationships/hyperlink" Target="https://www.cdc.gov/diabetes/diabetes-testing/monitoring-blood-sugar.html" TargetMode="External" Id="R0100c6415c4d4c27" /><Relationship Type="http://schemas.openxmlformats.org/officeDocument/2006/relationships/hyperlink" Target="https://pmc.ncbi.nlm.nih.gov/articles/PMC2864180/" TargetMode="External" Id="R6ab3490550284579" /><Relationship Type="http://schemas.openxmlformats.org/officeDocument/2006/relationships/hyperlink" Target="https://www.wjgnet.com/1948-9358/full/v16/i2/100371.htm" TargetMode="External" Id="Rc0a5f9c396cd4ac5" /><Relationship Type="http://schemas.openxmlformats.org/officeDocument/2006/relationships/hyperlink" Target="https://bmcendocrdisord.biomedcentral.com/articles/10.1186/s12902-019-0463-3" TargetMode="External" Id="Rf1276d186aba4595" /><Relationship Type="http://schemas.openxmlformats.org/officeDocument/2006/relationships/hyperlink" Target="https://pmc.ncbi.nlm.nih.gov/articles/PMC4166864/" TargetMode="External" Id="R0a82f7786df24b56" /><Relationship Type="http://schemas.openxmlformats.org/officeDocument/2006/relationships/hyperlink" Target="https://www.who.int/news-room/fact-sheets/detail/diabetes" TargetMode="External" Id="R5a4ab5c028a046de" /><Relationship Type="http://schemas.openxmlformats.org/officeDocument/2006/relationships/hyperlink" Target="https://www.openaccessjournals.com/articles/risk-factors-of-diabetes.pdf" TargetMode="External" Id="Rabc87fd3be2942a7" /><Relationship Type="http://schemas.openxmlformats.org/officeDocument/2006/relationships/hyperlink" Target="https://diabetes.jmir.org/2020/3/e21183/" TargetMode="External" Id="Rb5447ffbf0144b6f" /><Relationship Type="http://schemas.openxmlformats.org/officeDocument/2006/relationships/hyperlink" Target="https://www.cdc.gov/diabetes" TargetMode="External" Id="Re249138a8d6b44d7" /><Relationship Type="http://schemas.openxmlformats.org/officeDocument/2006/relationships/hyperlink" Target="https://doi.org/10.1016/S0140-6736(14)60613-9" TargetMode="External" Id="R343d7794a4c14577" /><Relationship Type="http://schemas.openxmlformats.org/officeDocument/2006/relationships/hyperlink" Target="https://bmcendocrdisord.biomedcentral.com/articles/10.1186/s12902-019-0463-3" TargetMode="External" Id="R0b7eb393a0fd43c4" /><Relationship Type="http://schemas.openxmlformats.org/officeDocument/2006/relationships/hyperlink" Target="https://pmc.ncbi.nlm.nih.gov/articles/PMC8296019/" TargetMode="External" Id="R7c290549038c42db" /><Relationship Type="http://schemas.openxmlformats.org/officeDocument/2006/relationships/hyperlink" Target="https://doi.org/10.1177/2047487319885455" TargetMode="External" Id="R0254a317bbe1467f" /><Relationship Type="http://schemas.openxmlformats.org/officeDocument/2006/relationships/hyperlink" Target="https://pmc.ncbi.nlm.nih.gov/articles/PMC3389377/" TargetMode="External" Id="Ra45d1b78889b4952" /><Relationship Type="http://schemas.openxmlformats.org/officeDocument/2006/relationships/hyperlink" Target="https://doi.org/10.62836/amr.v3i1.182" TargetMode="External" Id="Rc9f5e24675244c7b" /><Relationship Type="http://schemas.openxmlformats.org/officeDocument/2006/relationships/hyperlink" Target="https://pmc.ncbi.nlm.nih.gov/articles/PMC11665752/" TargetMode="External" Id="R82e3cdf58eaf4694" /><Relationship Type="http://schemas.microsoft.com/office/2020/10/relationships/intelligence" Target="/word/intelligence2.xml" Id="R3ee9a0c181644512" /><Relationship Type="http://schemas.openxmlformats.org/officeDocument/2006/relationships/hyperlink" Target="https://bmcendocrdisord.biomedcentral.com/articles/10.1186/s12902-019-0463-3" TargetMode="External" Id="R036da79ea6dd498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Nargis Ahmed (2329515)</dc:creator>
  <keywords/>
  <dc:description/>
  <lastModifiedBy>Nargis Ahmed (2329515)</lastModifiedBy>
  <revision>5</revision>
  <dcterms:created xsi:type="dcterms:W3CDTF">2026-02-15T01:15:31.1011242Z</dcterms:created>
  <dcterms:modified xsi:type="dcterms:W3CDTF">2026-02-23T02:32:18.2982657Z</dcterms:modified>
</coreProperties>
</file>