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42281" w14:textId="3F4A6E2B" w:rsidR="00BC2BEF" w:rsidRDefault="00BC2BEF">
      <w:r>
        <w:rPr>
          <w:noProof/>
          <w:lang w:eastAsia="en-GB"/>
        </w:rPr>
        <w:drawing>
          <wp:anchor distT="0" distB="0" distL="114300" distR="114300" simplePos="0" relativeHeight="251658240" behindDoc="0" locked="0" layoutInCell="1" allowOverlap="1" wp14:anchorId="76A50E8E" wp14:editId="29F99610">
            <wp:simplePos x="0" y="0"/>
            <wp:positionH relativeFrom="margin">
              <wp:align>center</wp:align>
            </wp:positionH>
            <wp:positionV relativeFrom="paragraph">
              <wp:posOffset>11575</wp:posOffset>
            </wp:positionV>
            <wp:extent cx="2800350" cy="1246505"/>
            <wp:effectExtent l="0" t="0" r="0" b="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800350" cy="1246505"/>
                    </a:xfrm>
                    <a:prstGeom prst="rect">
                      <a:avLst/>
                    </a:prstGeom>
                  </pic:spPr>
                </pic:pic>
              </a:graphicData>
            </a:graphic>
            <wp14:sizeRelH relativeFrom="margin">
              <wp14:pctWidth>0</wp14:pctWidth>
            </wp14:sizeRelH>
            <wp14:sizeRelV relativeFrom="margin">
              <wp14:pctHeight>0</wp14:pctHeight>
            </wp14:sizeRelV>
          </wp:anchor>
        </w:drawing>
      </w:r>
    </w:p>
    <w:p w14:paraId="05687070" w14:textId="01DE2097" w:rsidR="00BC2BEF" w:rsidRDefault="00BC2BEF"/>
    <w:p w14:paraId="4194F827" w14:textId="56D9DF58" w:rsidR="00BC2BEF" w:rsidRDefault="00BC2BEF"/>
    <w:p w14:paraId="7F5A162C" w14:textId="3E1182B5" w:rsidR="00BC2BEF" w:rsidRDefault="00BC2BEF"/>
    <w:p w14:paraId="40D022CF" w14:textId="0BD43CDD" w:rsidR="00BC2BEF" w:rsidRDefault="00BC2BEF"/>
    <w:p w14:paraId="682F9FB5" w14:textId="060ED027" w:rsidR="00BC2BEF" w:rsidRDefault="00BC2BEF"/>
    <w:p w14:paraId="0605B376" w14:textId="77777777" w:rsidR="00BC2BEF" w:rsidRPr="00BC2BEF" w:rsidRDefault="00BC2BEF" w:rsidP="00BC2BEF">
      <w:pPr>
        <w:spacing w:after="0" w:line="240" w:lineRule="auto"/>
        <w:jc w:val="center"/>
        <w:rPr>
          <w:rFonts w:ascii="Arial" w:hAnsi="Arial" w:cs="Arial"/>
          <w:b/>
          <w:bCs/>
          <w:sz w:val="28"/>
          <w:szCs w:val="28"/>
        </w:rPr>
      </w:pPr>
      <w:bookmarkStart w:id="0" w:name="_Hlk76569018"/>
      <w:r w:rsidRPr="00BC2BEF">
        <w:rPr>
          <w:rFonts w:ascii="Arial" w:hAnsi="Arial" w:cs="Arial"/>
          <w:b/>
          <w:bCs/>
          <w:sz w:val="28"/>
          <w:szCs w:val="28"/>
        </w:rPr>
        <w:t>Children, Young People and Families</w:t>
      </w:r>
    </w:p>
    <w:p w14:paraId="1372BCFD" w14:textId="21FE8F48" w:rsidR="00BC2BEF" w:rsidRPr="00BC2BEF" w:rsidRDefault="00BC2BEF" w:rsidP="00BC2BEF">
      <w:pPr>
        <w:spacing w:after="0" w:line="240" w:lineRule="auto"/>
        <w:jc w:val="center"/>
        <w:rPr>
          <w:rFonts w:ascii="Arial" w:hAnsi="Arial" w:cs="Arial"/>
          <w:b/>
          <w:bCs/>
          <w:sz w:val="28"/>
          <w:szCs w:val="28"/>
        </w:rPr>
      </w:pPr>
      <w:r w:rsidRPr="00BC2BEF">
        <w:rPr>
          <w:rFonts w:ascii="Arial" w:hAnsi="Arial" w:cs="Arial"/>
          <w:b/>
          <w:bCs/>
          <w:sz w:val="28"/>
          <w:szCs w:val="28"/>
        </w:rPr>
        <w:t>(BMHP5004_LON)</w:t>
      </w:r>
    </w:p>
    <w:p w14:paraId="3DCB78E0" w14:textId="6087386D" w:rsidR="00BC2BEF" w:rsidRPr="00BC2BEF" w:rsidRDefault="00BC2BEF" w:rsidP="00BC2BEF">
      <w:pPr>
        <w:spacing w:after="0" w:line="240" w:lineRule="auto"/>
        <w:jc w:val="center"/>
        <w:rPr>
          <w:rFonts w:ascii="Arial" w:hAnsi="Arial" w:cs="Arial"/>
          <w:b/>
          <w:bCs/>
          <w:sz w:val="28"/>
          <w:szCs w:val="28"/>
        </w:rPr>
      </w:pPr>
    </w:p>
    <w:p w14:paraId="3E8CA961" w14:textId="77777777" w:rsidR="00BC2BEF" w:rsidRPr="00BC2BEF" w:rsidRDefault="00BC2BEF" w:rsidP="00BC2BEF">
      <w:pPr>
        <w:spacing w:after="0" w:line="240" w:lineRule="auto"/>
        <w:jc w:val="center"/>
        <w:rPr>
          <w:rFonts w:ascii="Arial" w:hAnsi="Arial" w:cs="Arial"/>
          <w:b/>
          <w:bCs/>
          <w:sz w:val="28"/>
          <w:szCs w:val="28"/>
        </w:rPr>
      </w:pPr>
    </w:p>
    <w:p w14:paraId="1151F449" w14:textId="5E7F4827" w:rsidR="00BC2BEF" w:rsidRPr="000B26AC" w:rsidRDefault="00BC2BEF" w:rsidP="00BC2BEF">
      <w:pPr>
        <w:spacing w:after="0" w:line="240" w:lineRule="auto"/>
        <w:jc w:val="center"/>
        <w:rPr>
          <w:rFonts w:ascii="Arial" w:hAnsi="Arial" w:cs="Arial"/>
          <w:b/>
          <w:bCs/>
          <w:sz w:val="24"/>
          <w:szCs w:val="24"/>
          <w:u w:val="single"/>
        </w:rPr>
      </w:pPr>
      <w:r w:rsidRPr="000B26AC">
        <w:rPr>
          <w:rFonts w:ascii="Arial" w:hAnsi="Arial" w:cs="Arial"/>
          <w:b/>
          <w:bCs/>
          <w:sz w:val="24"/>
          <w:szCs w:val="24"/>
          <w:u w:val="single"/>
        </w:rPr>
        <w:t xml:space="preserve">Assessment Component 1 </w:t>
      </w:r>
    </w:p>
    <w:p w14:paraId="53FFD7C2" w14:textId="77777777" w:rsidR="00BC2BEF" w:rsidRPr="000B26AC" w:rsidRDefault="00BC2BEF" w:rsidP="00BC2BEF">
      <w:pPr>
        <w:spacing w:after="0" w:line="240" w:lineRule="auto"/>
        <w:jc w:val="center"/>
        <w:rPr>
          <w:rFonts w:ascii="Arial" w:hAnsi="Arial" w:cs="Arial"/>
          <w:b/>
          <w:bCs/>
          <w:sz w:val="24"/>
          <w:szCs w:val="24"/>
          <w:u w:val="single"/>
        </w:rPr>
      </w:pPr>
    </w:p>
    <w:p w14:paraId="21D7160B" w14:textId="13FFFC50" w:rsidR="00BC2BEF" w:rsidRPr="000B26AC" w:rsidRDefault="00BC2BEF" w:rsidP="00BC2BEF">
      <w:pPr>
        <w:spacing w:after="0" w:line="240" w:lineRule="auto"/>
        <w:jc w:val="center"/>
        <w:rPr>
          <w:rFonts w:ascii="Arial" w:hAnsi="Arial" w:cs="Arial"/>
          <w:b/>
          <w:bCs/>
          <w:sz w:val="24"/>
          <w:szCs w:val="24"/>
          <w:u w:val="single"/>
        </w:rPr>
      </w:pPr>
      <w:r w:rsidRPr="000B26AC">
        <w:rPr>
          <w:rFonts w:ascii="Arial" w:hAnsi="Arial" w:cs="Arial"/>
          <w:b/>
          <w:bCs/>
          <w:sz w:val="24"/>
          <w:szCs w:val="24"/>
          <w:u w:val="single"/>
        </w:rPr>
        <w:t>Case study - Written Report</w:t>
      </w:r>
    </w:p>
    <w:p w14:paraId="37260D9E" w14:textId="49E53479" w:rsidR="00BC2BEF" w:rsidRPr="000B26AC" w:rsidRDefault="00BC2BEF" w:rsidP="00BC2BEF">
      <w:pPr>
        <w:spacing w:after="0" w:line="240" w:lineRule="auto"/>
        <w:jc w:val="center"/>
        <w:rPr>
          <w:rFonts w:ascii="Arial" w:hAnsi="Arial" w:cs="Arial"/>
          <w:b/>
          <w:bCs/>
          <w:sz w:val="24"/>
          <w:szCs w:val="24"/>
          <w:u w:val="single"/>
        </w:rPr>
      </w:pPr>
    </w:p>
    <w:p w14:paraId="791AEA22" w14:textId="3BC4529F" w:rsidR="00BC2BEF" w:rsidRDefault="00BC2BEF" w:rsidP="00BC2BEF">
      <w:pPr>
        <w:spacing w:after="0" w:line="240" w:lineRule="auto"/>
        <w:jc w:val="center"/>
        <w:rPr>
          <w:rFonts w:ascii="Arial" w:hAnsi="Arial" w:cs="Arial"/>
          <w:b/>
          <w:bCs/>
          <w:sz w:val="40"/>
          <w:szCs w:val="40"/>
        </w:rPr>
      </w:pPr>
    </w:p>
    <w:p w14:paraId="0C2E1DEF" w14:textId="77777777" w:rsidR="000B26AC" w:rsidRPr="00BC2BEF" w:rsidRDefault="000B26AC" w:rsidP="00BC2BEF">
      <w:pPr>
        <w:spacing w:after="0" w:line="240" w:lineRule="auto"/>
        <w:jc w:val="center"/>
        <w:rPr>
          <w:rFonts w:ascii="Arial" w:hAnsi="Arial" w:cs="Arial"/>
          <w:b/>
          <w:bCs/>
          <w:sz w:val="40"/>
          <w:szCs w:val="40"/>
        </w:rPr>
      </w:pPr>
    </w:p>
    <w:p w14:paraId="652D9FC8" w14:textId="62B9BB78" w:rsidR="005711F1" w:rsidRPr="000B26AC" w:rsidRDefault="005711F1" w:rsidP="005711F1">
      <w:pPr>
        <w:spacing w:after="0" w:line="240" w:lineRule="auto"/>
        <w:rPr>
          <w:rFonts w:ascii="Arial" w:hAnsi="Arial" w:cs="Arial"/>
          <w:b/>
          <w:bCs/>
        </w:rPr>
      </w:pPr>
      <w:r w:rsidRPr="000B26AC">
        <w:rPr>
          <w:rFonts w:ascii="Arial" w:hAnsi="Arial" w:cs="Arial"/>
          <w:b/>
          <w:bCs/>
        </w:rPr>
        <w:t>Student name:</w:t>
      </w:r>
      <w:r w:rsidR="007356E2">
        <w:rPr>
          <w:rFonts w:ascii="Arial" w:hAnsi="Arial" w:cs="Arial"/>
          <w:b/>
          <w:bCs/>
        </w:rPr>
        <w:t xml:space="preserve"> Maryam Malik</w:t>
      </w:r>
    </w:p>
    <w:p w14:paraId="6D8D5AEB" w14:textId="77777777" w:rsidR="005711F1" w:rsidRPr="000B26AC" w:rsidRDefault="005711F1" w:rsidP="005711F1">
      <w:pPr>
        <w:spacing w:after="0" w:line="240" w:lineRule="auto"/>
        <w:rPr>
          <w:rFonts w:ascii="Arial" w:hAnsi="Arial" w:cs="Arial"/>
          <w:b/>
          <w:bCs/>
        </w:rPr>
      </w:pPr>
    </w:p>
    <w:p w14:paraId="2257A8C1" w14:textId="66227900" w:rsidR="005711F1" w:rsidRPr="000B26AC" w:rsidRDefault="005711F1" w:rsidP="005711F1">
      <w:pPr>
        <w:spacing w:after="0" w:line="240" w:lineRule="auto"/>
        <w:rPr>
          <w:rFonts w:ascii="Arial" w:hAnsi="Arial" w:cs="Arial"/>
          <w:b/>
          <w:bCs/>
        </w:rPr>
      </w:pPr>
      <w:r w:rsidRPr="000B26AC">
        <w:rPr>
          <w:rFonts w:ascii="Arial" w:hAnsi="Arial" w:cs="Arial"/>
          <w:b/>
          <w:bCs/>
        </w:rPr>
        <w:t>Student number:</w:t>
      </w:r>
      <w:r w:rsidR="007356E2">
        <w:rPr>
          <w:rFonts w:ascii="Arial" w:hAnsi="Arial" w:cs="Arial"/>
          <w:b/>
          <w:bCs/>
        </w:rPr>
        <w:t>1919971</w:t>
      </w:r>
    </w:p>
    <w:p w14:paraId="2126A1B9" w14:textId="77777777" w:rsidR="0014665F" w:rsidRPr="000B26AC" w:rsidRDefault="0014665F" w:rsidP="005711F1">
      <w:pPr>
        <w:spacing w:after="0" w:line="240" w:lineRule="auto"/>
        <w:rPr>
          <w:rFonts w:ascii="Arial" w:hAnsi="Arial" w:cs="Arial"/>
          <w:b/>
          <w:bCs/>
        </w:rPr>
      </w:pPr>
    </w:p>
    <w:p w14:paraId="6A66F07E" w14:textId="42B31CEF" w:rsidR="00BC2BEF" w:rsidRPr="000B26AC" w:rsidRDefault="005711F1" w:rsidP="005711F1">
      <w:pPr>
        <w:spacing w:after="0" w:line="240" w:lineRule="auto"/>
        <w:rPr>
          <w:rFonts w:ascii="Arial" w:hAnsi="Arial" w:cs="Arial"/>
          <w:b/>
          <w:bCs/>
        </w:rPr>
      </w:pPr>
      <w:r w:rsidRPr="000B26AC">
        <w:rPr>
          <w:rFonts w:ascii="Arial" w:hAnsi="Arial" w:cs="Arial"/>
          <w:b/>
          <w:bCs/>
        </w:rPr>
        <w:t>Group:</w:t>
      </w:r>
      <w:r w:rsidR="007356E2">
        <w:rPr>
          <w:rFonts w:ascii="Arial" w:hAnsi="Arial" w:cs="Arial"/>
          <w:b/>
          <w:bCs/>
        </w:rPr>
        <w:t xml:space="preserve"> 2</w:t>
      </w:r>
    </w:p>
    <w:p w14:paraId="1ADF318F" w14:textId="45DABD21" w:rsidR="00772174" w:rsidRPr="000B26AC" w:rsidRDefault="00772174" w:rsidP="005711F1">
      <w:pPr>
        <w:spacing w:after="0" w:line="240" w:lineRule="auto"/>
        <w:rPr>
          <w:rFonts w:ascii="Arial" w:hAnsi="Arial" w:cs="Arial"/>
          <w:b/>
          <w:bCs/>
        </w:rPr>
      </w:pPr>
    </w:p>
    <w:p w14:paraId="739687B5" w14:textId="1AFCFB21" w:rsidR="004F3FDE" w:rsidRPr="000B26AC" w:rsidRDefault="004F3FDE" w:rsidP="005711F1">
      <w:pPr>
        <w:spacing w:after="0" w:line="240" w:lineRule="auto"/>
        <w:rPr>
          <w:rFonts w:ascii="Arial" w:hAnsi="Arial" w:cs="Arial"/>
          <w:b/>
          <w:bCs/>
        </w:rPr>
      </w:pPr>
      <w:r w:rsidRPr="000B26AC">
        <w:rPr>
          <w:rFonts w:ascii="Arial" w:hAnsi="Arial" w:cs="Arial"/>
          <w:b/>
          <w:bCs/>
        </w:rPr>
        <w:t xml:space="preserve">Lecturer name: </w:t>
      </w:r>
      <w:r w:rsidR="007356E2">
        <w:rPr>
          <w:rFonts w:ascii="Arial" w:hAnsi="Arial" w:cs="Arial"/>
          <w:b/>
          <w:bCs/>
        </w:rPr>
        <w:t>Racheal Adebayo</w:t>
      </w:r>
    </w:p>
    <w:p w14:paraId="5C18FB8B" w14:textId="4576F2B1" w:rsidR="00BC2BEF" w:rsidRPr="000B26AC" w:rsidRDefault="00BC2BEF" w:rsidP="00BC2BEF">
      <w:pPr>
        <w:spacing w:after="0" w:line="240" w:lineRule="auto"/>
        <w:jc w:val="center"/>
        <w:rPr>
          <w:rFonts w:ascii="Arial" w:hAnsi="Arial" w:cs="Arial"/>
          <w:b/>
          <w:bCs/>
        </w:rPr>
      </w:pPr>
    </w:p>
    <w:p w14:paraId="61FC5B28" w14:textId="4683E6EC" w:rsidR="00BC2BEF" w:rsidRPr="000B26AC" w:rsidRDefault="00BC2BEF" w:rsidP="00BC2BEF">
      <w:pPr>
        <w:rPr>
          <w:rFonts w:ascii="Arial" w:hAnsi="Arial" w:cs="Arial"/>
          <w:b/>
          <w:bCs/>
        </w:rPr>
      </w:pPr>
      <w:r w:rsidRPr="000B26AC">
        <w:rPr>
          <w:rFonts w:ascii="Arial" w:hAnsi="Arial" w:cs="Arial"/>
          <w:b/>
          <w:bCs/>
        </w:rPr>
        <w:t xml:space="preserve">Submission Date: </w:t>
      </w:r>
      <w:r w:rsidR="007356E2">
        <w:rPr>
          <w:rFonts w:ascii="Arial" w:hAnsi="Arial" w:cs="Arial"/>
          <w:b/>
          <w:bCs/>
        </w:rPr>
        <w:t>25/08/2021</w:t>
      </w:r>
    </w:p>
    <w:p w14:paraId="6FCB93C0" w14:textId="77777777" w:rsidR="00BC2BEF" w:rsidRPr="000B26AC" w:rsidRDefault="00BC2BEF" w:rsidP="00BC2BEF">
      <w:pPr>
        <w:rPr>
          <w:rFonts w:ascii="Arial" w:hAnsi="Arial" w:cs="Arial"/>
          <w:b/>
          <w:bCs/>
        </w:rPr>
      </w:pPr>
    </w:p>
    <w:p w14:paraId="69D8ADC7" w14:textId="73D2EFF0" w:rsidR="00BC2BEF" w:rsidRPr="000B26AC" w:rsidRDefault="00BC2BEF" w:rsidP="00BC2BEF">
      <w:pPr>
        <w:rPr>
          <w:rFonts w:ascii="Arial" w:hAnsi="Arial" w:cs="Arial"/>
          <w:b/>
          <w:bCs/>
        </w:rPr>
      </w:pPr>
      <w:r w:rsidRPr="000B26AC">
        <w:rPr>
          <w:rFonts w:ascii="Arial" w:hAnsi="Arial" w:cs="Arial"/>
          <w:b/>
          <w:bCs/>
        </w:rPr>
        <w:t xml:space="preserve">Word count: </w:t>
      </w:r>
      <w:r w:rsidR="007356E2">
        <w:rPr>
          <w:rFonts w:ascii="Arial" w:hAnsi="Arial" w:cs="Arial"/>
          <w:b/>
          <w:bCs/>
        </w:rPr>
        <w:t>2310</w:t>
      </w:r>
    </w:p>
    <w:p w14:paraId="5701DB5A" w14:textId="5D20DBB7" w:rsidR="00BC2BEF" w:rsidRPr="000B26AC" w:rsidRDefault="00BC2BEF" w:rsidP="00BC2BEF">
      <w:pPr>
        <w:rPr>
          <w:rFonts w:ascii="Arial" w:hAnsi="Arial" w:cs="Arial"/>
        </w:rPr>
      </w:pPr>
    </w:p>
    <w:tbl>
      <w:tblPr>
        <w:tblStyle w:val="TableGrid"/>
        <w:tblW w:w="9762" w:type="dxa"/>
        <w:tblLook w:val="04A0" w:firstRow="1" w:lastRow="0" w:firstColumn="1" w:lastColumn="0" w:noHBand="0" w:noVBand="1"/>
      </w:tblPr>
      <w:tblGrid>
        <w:gridCol w:w="9762"/>
      </w:tblGrid>
      <w:tr w:rsidR="00BC2BEF" w:rsidRPr="000B26AC" w14:paraId="516EEC43" w14:textId="77777777" w:rsidTr="007356E2">
        <w:trPr>
          <w:trHeight w:val="577"/>
        </w:trPr>
        <w:tc>
          <w:tcPr>
            <w:tcW w:w="9762" w:type="dxa"/>
          </w:tcPr>
          <w:p w14:paraId="65BF7AD9" w14:textId="77777777" w:rsidR="00BC2BEF" w:rsidRPr="000B26AC" w:rsidRDefault="00BC2BEF" w:rsidP="00D6405E">
            <w:pPr>
              <w:rPr>
                <w:rFonts w:ascii="Arial" w:hAnsi="Arial" w:cs="Arial"/>
                <w:b/>
              </w:rPr>
            </w:pPr>
          </w:p>
          <w:p w14:paraId="7DD8B8C3" w14:textId="77777777" w:rsidR="00BC2BEF" w:rsidRPr="000B26AC" w:rsidRDefault="00BC2BEF" w:rsidP="00D6405E">
            <w:pPr>
              <w:rPr>
                <w:rFonts w:ascii="Arial" w:hAnsi="Arial" w:cs="Arial"/>
                <w:b/>
              </w:rPr>
            </w:pPr>
            <w:r w:rsidRPr="000B26AC">
              <w:rPr>
                <w:rFonts w:ascii="Arial" w:hAnsi="Arial" w:cs="Arial"/>
                <w:b/>
              </w:rPr>
              <w:t>Learner declaration</w:t>
            </w:r>
          </w:p>
          <w:p w14:paraId="7E34FA30" w14:textId="77777777" w:rsidR="00BC2BEF" w:rsidRPr="000B26AC" w:rsidRDefault="00BC2BEF" w:rsidP="00D6405E">
            <w:pPr>
              <w:rPr>
                <w:rFonts w:ascii="Arial" w:hAnsi="Arial" w:cs="Arial"/>
              </w:rPr>
            </w:pPr>
          </w:p>
        </w:tc>
      </w:tr>
      <w:tr w:rsidR="00BC2BEF" w:rsidRPr="000B26AC" w14:paraId="60251601" w14:textId="77777777" w:rsidTr="007356E2">
        <w:trPr>
          <w:trHeight w:val="1347"/>
        </w:trPr>
        <w:tc>
          <w:tcPr>
            <w:tcW w:w="9762" w:type="dxa"/>
          </w:tcPr>
          <w:p w14:paraId="276AA4AD" w14:textId="77777777" w:rsidR="00BC2BEF" w:rsidRPr="000B26AC" w:rsidRDefault="00BC2BEF" w:rsidP="00D6405E">
            <w:pPr>
              <w:rPr>
                <w:rFonts w:ascii="Arial" w:hAnsi="Arial" w:cs="Arial"/>
              </w:rPr>
            </w:pPr>
          </w:p>
          <w:p w14:paraId="2579CAA1" w14:textId="77777777" w:rsidR="00E409C8" w:rsidRDefault="000B26AC" w:rsidP="000B26AC">
            <w:pPr>
              <w:rPr>
                <w:rFonts w:ascii="Arial" w:hAnsi="Arial" w:cs="Arial"/>
              </w:rPr>
            </w:pPr>
            <w:r w:rsidRPr="000B26AC">
              <w:rPr>
                <w:rFonts w:ascii="Arial" w:hAnsi="Arial" w:cs="Arial"/>
              </w:rPr>
              <w:t>This assignment is my own original work. No part of this work has been copied from any other source or person except where due acknowledgement is made, and no part of the work has been previously submitted for assessment at this or any other institution.</w:t>
            </w:r>
          </w:p>
          <w:p w14:paraId="41A1186E" w14:textId="4C5F59DB" w:rsidR="00BC2BEF" w:rsidRPr="000B26AC" w:rsidRDefault="000B26AC" w:rsidP="000B26AC">
            <w:pPr>
              <w:rPr>
                <w:rFonts w:ascii="Arial" w:hAnsi="Arial" w:cs="Arial"/>
              </w:rPr>
            </w:pPr>
            <w:r w:rsidRPr="000B26AC">
              <w:rPr>
                <w:rFonts w:ascii="Arial" w:hAnsi="Arial" w:cs="Arial"/>
              </w:rPr>
              <w:t xml:space="preserve">I have read the Student Academic Integrity Policy and understand its implications. </w:t>
            </w:r>
          </w:p>
          <w:p w14:paraId="2F461065" w14:textId="77777777" w:rsidR="00BC2BEF" w:rsidRPr="000B26AC" w:rsidRDefault="00BC2BEF" w:rsidP="00D6405E">
            <w:pPr>
              <w:rPr>
                <w:rFonts w:ascii="Arial" w:hAnsi="Arial" w:cs="Arial"/>
              </w:rPr>
            </w:pPr>
          </w:p>
          <w:p w14:paraId="2DEFB5FA" w14:textId="18859E11" w:rsidR="00BC2BEF" w:rsidRPr="000B26AC" w:rsidRDefault="00BC2BEF" w:rsidP="00D6405E">
            <w:pPr>
              <w:rPr>
                <w:rFonts w:ascii="Arial" w:hAnsi="Arial" w:cs="Arial"/>
              </w:rPr>
            </w:pPr>
            <w:r w:rsidRPr="000B26AC">
              <w:rPr>
                <w:rFonts w:ascii="Arial" w:hAnsi="Arial" w:cs="Arial"/>
              </w:rPr>
              <w:t xml:space="preserve">Student signature: </w:t>
            </w:r>
            <w:r w:rsidRPr="000B26AC">
              <w:rPr>
                <w:rFonts w:ascii="Arial" w:hAnsi="Arial" w:cs="Arial"/>
              </w:rPr>
              <w:tab/>
              <w:t xml:space="preserve">    </w:t>
            </w:r>
            <w:r w:rsidR="007356E2">
              <w:rPr>
                <w:rFonts w:ascii="Arial" w:hAnsi="Arial" w:cs="Arial"/>
              </w:rPr>
              <w:t>Maryam Malik</w:t>
            </w:r>
            <w:r w:rsidRPr="000B26AC">
              <w:rPr>
                <w:rFonts w:ascii="Arial" w:hAnsi="Arial" w:cs="Arial"/>
              </w:rPr>
              <w:t xml:space="preserve">                                         Date:</w:t>
            </w:r>
            <w:r w:rsidR="007356E2">
              <w:rPr>
                <w:rFonts w:ascii="Arial" w:hAnsi="Arial" w:cs="Arial"/>
              </w:rPr>
              <w:t>25/08/2021</w:t>
            </w:r>
          </w:p>
        </w:tc>
      </w:tr>
      <w:bookmarkEnd w:id="0"/>
    </w:tbl>
    <w:p w14:paraId="09CA0A92" w14:textId="77777777" w:rsidR="00BC2BEF" w:rsidRPr="000B26AC" w:rsidRDefault="00BC2BEF" w:rsidP="00BC2BEF">
      <w:pPr>
        <w:rPr>
          <w:rFonts w:ascii="Arial" w:hAnsi="Arial" w:cs="Arial"/>
        </w:rPr>
      </w:pPr>
    </w:p>
    <w:p w14:paraId="7F49390D" w14:textId="77777777" w:rsidR="00BC2BEF" w:rsidRDefault="00BC2BEF" w:rsidP="00BC2BEF">
      <w:pPr>
        <w:spacing w:after="0" w:line="240" w:lineRule="auto"/>
        <w:jc w:val="center"/>
        <w:rPr>
          <w:rFonts w:ascii="Arial" w:hAnsi="Arial" w:cs="Arial"/>
          <w:b/>
          <w:bCs/>
          <w:sz w:val="40"/>
          <w:szCs w:val="40"/>
        </w:rPr>
      </w:pPr>
    </w:p>
    <w:p w14:paraId="63FE9535" w14:textId="77777777" w:rsidR="007356E2" w:rsidRDefault="007356E2" w:rsidP="00BC2BEF">
      <w:pPr>
        <w:spacing w:after="0" w:line="240" w:lineRule="auto"/>
        <w:jc w:val="center"/>
        <w:rPr>
          <w:rFonts w:ascii="Arial" w:hAnsi="Arial" w:cs="Arial"/>
          <w:b/>
          <w:bCs/>
          <w:sz w:val="40"/>
          <w:szCs w:val="40"/>
        </w:rPr>
      </w:pPr>
    </w:p>
    <w:p w14:paraId="5BE9EF5F" w14:textId="5CB34474" w:rsidR="007356E2" w:rsidRPr="007356E2" w:rsidRDefault="007356E2" w:rsidP="007356E2">
      <w:pPr>
        <w:spacing w:after="0" w:line="360" w:lineRule="auto"/>
        <w:rPr>
          <w:rFonts w:ascii="Arial" w:hAnsi="Arial" w:cs="Arial"/>
          <w:b/>
          <w:bCs/>
          <w:color w:val="000000" w:themeColor="text1"/>
          <w:sz w:val="40"/>
          <w:szCs w:val="40"/>
        </w:rPr>
      </w:pPr>
      <w:r>
        <w:rPr>
          <w:rFonts w:ascii="Arial" w:hAnsi="Arial" w:cs="Arial"/>
          <w:b/>
          <w:bCs/>
          <w:color w:val="000000" w:themeColor="text1"/>
          <w:sz w:val="40"/>
          <w:szCs w:val="40"/>
        </w:rPr>
        <w:lastRenderedPageBreak/>
        <w:t xml:space="preserve">Table of </w:t>
      </w:r>
      <w:r w:rsidRPr="007356E2">
        <w:rPr>
          <w:rFonts w:ascii="Arial" w:hAnsi="Arial" w:cs="Arial"/>
          <w:b/>
          <w:bCs/>
          <w:color w:val="000000" w:themeColor="text1"/>
          <w:sz w:val="40"/>
          <w:szCs w:val="40"/>
        </w:rPr>
        <w:t>Content</w:t>
      </w:r>
      <w:r>
        <w:rPr>
          <w:rFonts w:ascii="Arial" w:hAnsi="Arial" w:cs="Arial"/>
          <w:b/>
          <w:bCs/>
          <w:color w:val="000000" w:themeColor="text1"/>
          <w:sz w:val="40"/>
          <w:szCs w:val="40"/>
        </w:rPr>
        <w:t>s</w:t>
      </w:r>
    </w:p>
    <w:p w14:paraId="3890F5A4" w14:textId="19EA4A0F" w:rsidR="007356E2" w:rsidRPr="007356E2" w:rsidRDefault="007356E2" w:rsidP="007356E2">
      <w:pPr>
        <w:spacing w:after="0" w:line="360" w:lineRule="auto"/>
        <w:rPr>
          <w:rFonts w:ascii="Arial" w:hAnsi="Arial" w:cs="Arial"/>
          <w:color w:val="000000" w:themeColor="text1"/>
          <w:sz w:val="24"/>
          <w:szCs w:val="24"/>
        </w:rPr>
      </w:pPr>
      <w:r w:rsidRPr="007356E2">
        <w:rPr>
          <w:rFonts w:ascii="Arial" w:hAnsi="Arial" w:cs="Arial"/>
          <w:color w:val="000000" w:themeColor="text1"/>
          <w:sz w:val="24"/>
          <w:szCs w:val="24"/>
        </w:rPr>
        <w:t>Introduction……………………………………………………………………………..</w:t>
      </w:r>
      <w:r>
        <w:rPr>
          <w:rFonts w:ascii="Arial" w:hAnsi="Arial" w:cs="Arial"/>
          <w:color w:val="000000" w:themeColor="text1"/>
          <w:sz w:val="24"/>
          <w:szCs w:val="24"/>
        </w:rPr>
        <w:t>2</w:t>
      </w:r>
    </w:p>
    <w:p w14:paraId="2C2C5E29" w14:textId="09F40A7E" w:rsidR="007356E2" w:rsidRPr="007356E2" w:rsidRDefault="007356E2" w:rsidP="007356E2">
      <w:pPr>
        <w:spacing w:after="0" w:line="360" w:lineRule="auto"/>
        <w:rPr>
          <w:rFonts w:ascii="Arial" w:hAnsi="Arial" w:cs="Arial"/>
          <w:color w:val="000000" w:themeColor="text1"/>
          <w:sz w:val="24"/>
          <w:szCs w:val="24"/>
        </w:rPr>
      </w:pPr>
      <w:r w:rsidRPr="007356E2">
        <w:rPr>
          <w:rFonts w:ascii="Arial" w:hAnsi="Arial" w:cs="Arial"/>
          <w:color w:val="000000" w:themeColor="text1"/>
          <w:sz w:val="24"/>
          <w:szCs w:val="24"/>
        </w:rPr>
        <w:t>Case study………………………………………………………………………………</w:t>
      </w:r>
      <w:r>
        <w:rPr>
          <w:rFonts w:ascii="Arial" w:hAnsi="Arial" w:cs="Arial"/>
          <w:color w:val="000000" w:themeColor="text1"/>
          <w:sz w:val="24"/>
          <w:szCs w:val="24"/>
        </w:rPr>
        <w:t>3</w:t>
      </w:r>
    </w:p>
    <w:p w14:paraId="3D250C9B" w14:textId="320BB825" w:rsidR="007356E2" w:rsidRPr="007356E2" w:rsidRDefault="007356E2" w:rsidP="007356E2">
      <w:pPr>
        <w:spacing w:after="0" w:line="360" w:lineRule="auto"/>
        <w:rPr>
          <w:rFonts w:ascii="Arial" w:hAnsi="Arial" w:cs="Arial"/>
          <w:color w:val="000000" w:themeColor="text1"/>
          <w:sz w:val="24"/>
          <w:szCs w:val="24"/>
        </w:rPr>
      </w:pPr>
      <w:r w:rsidRPr="007356E2">
        <w:rPr>
          <w:rFonts w:ascii="Arial" w:hAnsi="Arial" w:cs="Arial"/>
          <w:color w:val="000000" w:themeColor="text1"/>
          <w:sz w:val="24"/>
          <w:szCs w:val="24"/>
        </w:rPr>
        <w:t>Analysis………………………………………………………………………………….</w:t>
      </w:r>
      <w:r>
        <w:rPr>
          <w:rFonts w:ascii="Arial" w:hAnsi="Arial" w:cs="Arial"/>
          <w:color w:val="000000" w:themeColor="text1"/>
          <w:sz w:val="24"/>
          <w:szCs w:val="24"/>
        </w:rPr>
        <w:t>5</w:t>
      </w:r>
    </w:p>
    <w:p w14:paraId="51617B9C" w14:textId="662600F2" w:rsidR="007356E2" w:rsidRPr="007356E2" w:rsidRDefault="007356E2" w:rsidP="007356E2">
      <w:pPr>
        <w:spacing w:after="0" w:line="360" w:lineRule="auto"/>
        <w:rPr>
          <w:rFonts w:ascii="Arial" w:hAnsi="Arial" w:cs="Arial"/>
          <w:color w:val="000000" w:themeColor="text1"/>
          <w:sz w:val="24"/>
          <w:szCs w:val="24"/>
        </w:rPr>
      </w:pPr>
      <w:r w:rsidRPr="007356E2">
        <w:rPr>
          <w:rFonts w:ascii="Arial" w:hAnsi="Arial" w:cs="Arial"/>
          <w:color w:val="000000" w:themeColor="text1"/>
          <w:sz w:val="24"/>
          <w:szCs w:val="24"/>
        </w:rPr>
        <w:t>Evaluation……………………………………………………………………………….</w:t>
      </w:r>
      <w:r>
        <w:rPr>
          <w:rFonts w:ascii="Arial" w:hAnsi="Arial" w:cs="Arial"/>
          <w:color w:val="000000" w:themeColor="text1"/>
          <w:sz w:val="24"/>
          <w:szCs w:val="24"/>
        </w:rPr>
        <w:t>7</w:t>
      </w:r>
    </w:p>
    <w:p w14:paraId="23CFFFB1" w14:textId="0C8C1418" w:rsidR="007356E2" w:rsidRPr="007356E2" w:rsidRDefault="007356E2" w:rsidP="007356E2">
      <w:pPr>
        <w:spacing w:after="0" w:line="360" w:lineRule="auto"/>
        <w:rPr>
          <w:rFonts w:ascii="Arial" w:hAnsi="Arial" w:cs="Arial"/>
          <w:color w:val="000000" w:themeColor="text1"/>
          <w:sz w:val="24"/>
          <w:szCs w:val="24"/>
        </w:rPr>
      </w:pPr>
      <w:r w:rsidRPr="007356E2">
        <w:rPr>
          <w:rFonts w:ascii="Arial" w:hAnsi="Arial" w:cs="Arial"/>
          <w:color w:val="000000" w:themeColor="text1"/>
          <w:sz w:val="24"/>
          <w:szCs w:val="24"/>
        </w:rPr>
        <w:t>Conclusion………………………………………………………………………………</w:t>
      </w:r>
      <w:r>
        <w:rPr>
          <w:rFonts w:ascii="Arial" w:hAnsi="Arial" w:cs="Arial"/>
          <w:color w:val="000000" w:themeColor="text1"/>
          <w:sz w:val="24"/>
          <w:szCs w:val="24"/>
        </w:rPr>
        <w:t>8</w:t>
      </w:r>
    </w:p>
    <w:p w14:paraId="7D90F1FA" w14:textId="0B5567DC" w:rsidR="007356E2" w:rsidRPr="007356E2" w:rsidRDefault="007356E2" w:rsidP="007356E2">
      <w:pPr>
        <w:spacing w:after="0" w:line="360" w:lineRule="auto"/>
        <w:rPr>
          <w:rFonts w:ascii="Arial" w:hAnsi="Arial" w:cs="Arial"/>
          <w:color w:val="000000" w:themeColor="text1"/>
          <w:sz w:val="24"/>
          <w:szCs w:val="24"/>
        </w:rPr>
      </w:pPr>
      <w:r w:rsidRPr="007356E2">
        <w:rPr>
          <w:rFonts w:ascii="Arial" w:hAnsi="Arial" w:cs="Arial"/>
          <w:color w:val="000000" w:themeColor="text1"/>
          <w:sz w:val="24"/>
          <w:szCs w:val="24"/>
        </w:rPr>
        <w:t>References………………………………………………………………………………</w:t>
      </w:r>
      <w:r>
        <w:rPr>
          <w:rFonts w:ascii="Arial" w:hAnsi="Arial" w:cs="Arial"/>
          <w:color w:val="000000" w:themeColor="text1"/>
          <w:sz w:val="24"/>
          <w:szCs w:val="24"/>
        </w:rPr>
        <w:t>9</w:t>
      </w:r>
    </w:p>
    <w:p w14:paraId="3CA00B5E" w14:textId="77777777" w:rsidR="007356E2" w:rsidRPr="007356E2" w:rsidRDefault="007356E2" w:rsidP="007356E2">
      <w:pPr>
        <w:spacing w:after="0" w:line="360" w:lineRule="auto"/>
        <w:rPr>
          <w:rFonts w:ascii="Arial" w:hAnsi="Arial" w:cs="Arial"/>
          <w:b/>
          <w:bCs/>
          <w:color w:val="000000" w:themeColor="text1"/>
          <w:sz w:val="40"/>
          <w:szCs w:val="40"/>
        </w:rPr>
      </w:pPr>
    </w:p>
    <w:p w14:paraId="62E0DF40" w14:textId="77777777" w:rsidR="007356E2" w:rsidRPr="007356E2" w:rsidRDefault="007356E2" w:rsidP="007356E2">
      <w:pPr>
        <w:spacing w:after="0" w:line="360" w:lineRule="auto"/>
        <w:rPr>
          <w:rFonts w:ascii="Arial" w:hAnsi="Arial" w:cs="Arial"/>
          <w:b/>
          <w:bCs/>
          <w:color w:val="FF0000"/>
          <w:sz w:val="40"/>
          <w:szCs w:val="40"/>
        </w:rPr>
      </w:pPr>
      <w:r w:rsidRPr="007356E2">
        <w:rPr>
          <w:rFonts w:ascii="Arial" w:hAnsi="Arial" w:cs="Arial"/>
          <w:b/>
          <w:bCs/>
          <w:color w:val="000000" w:themeColor="text1"/>
          <w:sz w:val="40"/>
          <w:szCs w:val="40"/>
        </w:rPr>
        <w:t>Introduction</w:t>
      </w:r>
      <w:r w:rsidRPr="007356E2">
        <w:rPr>
          <w:rFonts w:ascii="Arial" w:hAnsi="Arial" w:cs="Arial"/>
          <w:b/>
          <w:bCs/>
          <w:color w:val="FF0000"/>
          <w:sz w:val="40"/>
          <w:szCs w:val="40"/>
        </w:rPr>
        <w:t xml:space="preserve"> </w:t>
      </w:r>
    </w:p>
    <w:p w14:paraId="67E18CBD"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rPr>
        <w:t xml:space="preserve">Safeguarding  children is the most fundamental  act and duty of building safe and happy society. Therefore, everybody who comes into contact with a child and their families has a role to play in preventing and protecting children from significant harm (HM Government, 2018). All service providers that involve children must recognise and respond to the concern of individuals who have not yet reached the age of 18 (Lindon and Webb, 2016). The best interests of any child must be the top priority and the core aspects of children’s well-being. That is ensuring safety and emotional warmth; health and education; family and social relationship; emotional and behavioural development; right to be yourself; housing and income; employment and social presentation (Children Act, 1989). </w:t>
      </w:r>
    </w:p>
    <w:p w14:paraId="52E11D7A"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rPr>
        <w:t xml:space="preserve">Children are more vulnerable if they have parents who are misusing drugs or alcohol, as well as exposed to domestic violence and abuse (NSPCC, 2021). Such factors can result in various forms of harm to children emotionally, physically and socially.     </w:t>
      </w:r>
    </w:p>
    <w:p w14:paraId="2134C3F6"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rPr>
        <w:t xml:space="preserve">Another cause of vulnerability in children takes place when children are placed in role of becoming the carers of their own adult care givers or of other siblings, whether older or younger than them. Such instances will occur where an adult care giver becomes too incapable to caring for the children through drug/alcohol misuse, suffering from severe mental health issues, have a learning disability that prevents them from providing care or being absent through death for example (NHS, 2021). </w:t>
      </w:r>
    </w:p>
    <w:p w14:paraId="004E8AC4"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rPr>
        <w:t xml:space="preserve">The case study ‘Stockport’ report  will provide recommendations and guidelines as well as underlining and analysing the legislation's that safeguards children from abuse and neglect. </w:t>
      </w:r>
    </w:p>
    <w:p w14:paraId="602E1EE0" w14:textId="77777777" w:rsidR="007356E2" w:rsidRPr="007356E2" w:rsidRDefault="007356E2" w:rsidP="007356E2">
      <w:pPr>
        <w:spacing w:after="0" w:line="360" w:lineRule="auto"/>
        <w:rPr>
          <w:rFonts w:ascii="Arial" w:hAnsi="Arial" w:cs="Arial"/>
          <w:sz w:val="24"/>
          <w:szCs w:val="24"/>
        </w:rPr>
      </w:pPr>
    </w:p>
    <w:p w14:paraId="64634E84" w14:textId="77777777" w:rsidR="007356E2" w:rsidRPr="007356E2" w:rsidRDefault="007356E2" w:rsidP="007356E2">
      <w:pPr>
        <w:spacing w:after="0" w:line="240" w:lineRule="auto"/>
        <w:rPr>
          <w:rFonts w:ascii="Arial" w:hAnsi="Arial" w:cs="Arial"/>
          <w:b/>
          <w:bCs/>
          <w:color w:val="FF0000"/>
          <w:sz w:val="40"/>
          <w:szCs w:val="40"/>
        </w:rPr>
      </w:pPr>
      <w:r w:rsidRPr="007356E2">
        <w:rPr>
          <w:rFonts w:ascii="Arial" w:hAnsi="Arial" w:cs="Arial"/>
          <w:b/>
          <w:bCs/>
          <w:color w:val="000000" w:themeColor="text1"/>
          <w:sz w:val="40"/>
          <w:szCs w:val="40"/>
        </w:rPr>
        <w:t>Case study</w:t>
      </w:r>
      <w:r w:rsidRPr="007356E2">
        <w:rPr>
          <w:rFonts w:ascii="Arial" w:hAnsi="Arial" w:cs="Arial"/>
          <w:b/>
          <w:bCs/>
          <w:color w:val="FF0000"/>
          <w:sz w:val="40"/>
          <w:szCs w:val="40"/>
        </w:rPr>
        <w:t xml:space="preserve"> </w:t>
      </w:r>
    </w:p>
    <w:p w14:paraId="50C80FB2" w14:textId="77777777" w:rsidR="007356E2" w:rsidRPr="007356E2" w:rsidRDefault="007356E2" w:rsidP="007356E2">
      <w:pPr>
        <w:spacing w:after="0" w:line="240" w:lineRule="auto"/>
        <w:rPr>
          <w:rFonts w:ascii="Arial" w:hAnsi="Arial" w:cs="Arial"/>
          <w:sz w:val="24"/>
          <w:szCs w:val="24"/>
        </w:rPr>
      </w:pPr>
    </w:p>
    <w:p w14:paraId="260EEF2A" w14:textId="77777777" w:rsidR="007356E2" w:rsidRPr="007356E2" w:rsidRDefault="007356E2" w:rsidP="007356E2">
      <w:pPr>
        <w:spacing w:after="0" w:line="360" w:lineRule="auto"/>
        <w:rPr>
          <w:rFonts w:ascii="Arial" w:hAnsi="Arial" w:cs="Arial"/>
          <w:color w:val="000000" w:themeColor="text1"/>
          <w:sz w:val="24"/>
          <w:szCs w:val="24"/>
        </w:rPr>
      </w:pPr>
      <w:r w:rsidRPr="007356E2">
        <w:rPr>
          <w:rFonts w:ascii="Arial" w:hAnsi="Arial" w:cs="Arial"/>
          <w:color w:val="000000" w:themeColor="text1"/>
          <w:sz w:val="24"/>
          <w:szCs w:val="24"/>
        </w:rPr>
        <w:t xml:space="preserve">‘Stockport’ troubled family case study reports that mom had significant history of abuse in a childhood and as an adult was in a relationship where she was experiencing severe domestic violence and misusing alcohol (GOV.UK, 2014). Children who are exposed to abuse at young ages often make poor life choices that can further result in low self-esteem and confidence (NSPCC, 2021). By choosing to remain in her abusive relationship she may have added to this as well as experiencing other mental health concerns. This then may have presented itself in the form of alcoholism whereby she may have felt this was the best way of coping with her emotions, feelings and situations. Although the mother was not in a healthy relationship with her partner, she was also grieving his death. Whether she felt sad and upset or relieved of such a person around her, she was experiencing a significant loss and change in her immediate surroundings. </w:t>
      </w:r>
    </w:p>
    <w:p w14:paraId="25F9ED62" w14:textId="77777777" w:rsidR="007356E2" w:rsidRPr="007356E2" w:rsidRDefault="007356E2" w:rsidP="007356E2">
      <w:pPr>
        <w:spacing w:after="0" w:line="360" w:lineRule="auto"/>
        <w:rPr>
          <w:rFonts w:ascii="Arial" w:hAnsi="Arial" w:cs="Arial"/>
          <w:color w:val="000000" w:themeColor="text1"/>
          <w:sz w:val="24"/>
          <w:szCs w:val="24"/>
        </w:rPr>
      </w:pPr>
      <w:r w:rsidRPr="007356E2">
        <w:rPr>
          <w:rFonts w:ascii="Arial" w:hAnsi="Arial" w:cs="Arial"/>
          <w:color w:val="000000" w:themeColor="text1"/>
          <w:sz w:val="24"/>
          <w:szCs w:val="24"/>
        </w:rPr>
        <w:t xml:space="preserve">There was detected anti-social behaviour around her property, other individuals would drink alcohol near and at the property where mother lived with her two children. Both the mother and the children would have been vulnerable to abuse or exploitation by those carrying out such acts. This could have impacted the children to falsely believe they can also take part in such activities and is the norm or on the other hand, make them fearful and/or isolated from social gatherings. </w:t>
      </w:r>
    </w:p>
    <w:p w14:paraId="00149B40"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color w:val="000000" w:themeColor="text1"/>
          <w:sz w:val="24"/>
          <w:szCs w:val="24"/>
        </w:rPr>
        <w:t>The Children were not attending school regularly (GOV.UK, 2014). It is well known that c</w:t>
      </w:r>
      <w:r w:rsidRPr="007356E2">
        <w:rPr>
          <w:rFonts w:ascii="Arial" w:hAnsi="Arial" w:cs="Arial"/>
          <w:sz w:val="24"/>
          <w:szCs w:val="24"/>
        </w:rPr>
        <w:t>hildren who miss out on their education are at a much higher risk of underachieving, being victims of anti-social behaviours, being exploited or radicalised and developing disruptive behaviour themselves in later in life (The Education Act 1996).</w:t>
      </w:r>
    </w:p>
    <w:p w14:paraId="3194A724" w14:textId="77777777" w:rsidR="007356E2" w:rsidRPr="007356E2" w:rsidRDefault="007356E2" w:rsidP="007356E2">
      <w:pPr>
        <w:spacing w:after="0" w:line="360" w:lineRule="auto"/>
        <w:rPr>
          <w:rFonts w:ascii="Arial" w:hAnsi="Arial" w:cs="Arial"/>
          <w:color w:val="000000" w:themeColor="text1"/>
          <w:sz w:val="24"/>
          <w:szCs w:val="24"/>
        </w:rPr>
      </w:pPr>
      <w:r w:rsidRPr="007356E2">
        <w:rPr>
          <w:rFonts w:ascii="Arial" w:hAnsi="Arial" w:cs="Arial"/>
          <w:color w:val="000000" w:themeColor="text1"/>
          <w:sz w:val="24"/>
          <w:szCs w:val="24"/>
        </w:rPr>
        <w:t xml:space="preserve">The children’s father recently died from overdose of drugs that meant that the children may be grieving his death and were unable to receive or reach out for suitable adult support or care. Furthermore, children may experience other psychological effects such as: </w:t>
      </w:r>
    </w:p>
    <w:p w14:paraId="2EDCCF18" w14:textId="77777777" w:rsidR="007356E2" w:rsidRPr="007356E2" w:rsidRDefault="007356E2" w:rsidP="007356E2">
      <w:pPr>
        <w:numPr>
          <w:ilvl w:val="0"/>
          <w:numId w:val="4"/>
        </w:numPr>
        <w:spacing w:after="0" w:line="360" w:lineRule="auto"/>
        <w:contextualSpacing/>
        <w:rPr>
          <w:rFonts w:ascii="Arial" w:hAnsi="Arial" w:cs="Arial"/>
          <w:color w:val="000000" w:themeColor="text1"/>
          <w:sz w:val="24"/>
          <w:szCs w:val="24"/>
        </w:rPr>
      </w:pPr>
      <w:r w:rsidRPr="007356E2">
        <w:rPr>
          <w:rFonts w:ascii="Arial" w:hAnsi="Arial" w:cs="Arial"/>
          <w:color w:val="000000" w:themeColor="text1"/>
          <w:sz w:val="24"/>
          <w:szCs w:val="24"/>
        </w:rPr>
        <w:t>blaming them self for their parent’s behaviour or death</w:t>
      </w:r>
    </w:p>
    <w:p w14:paraId="6801A9FA" w14:textId="77777777" w:rsidR="007356E2" w:rsidRPr="007356E2" w:rsidRDefault="007356E2" w:rsidP="007356E2">
      <w:pPr>
        <w:numPr>
          <w:ilvl w:val="0"/>
          <w:numId w:val="4"/>
        </w:numPr>
        <w:spacing w:after="0" w:line="360" w:lineRule="auto"/>
        <w:contextualSpacing/>
        <w:rPr>
          <w:rFonts w:ascii="Arial" w:hAnsi="Arial" w:cs="Arial"/>
          <w:color w:val="000000" w:themeColor="text1"/>
          <w:sz w:val="24"/>
          <w:szCs w:val="24"/>
        </w:rPr>
      </w:pPr>
      <w:r w:rsidRPr="007356E2">
        <w:rPr>
          <w:rFonts w:ascii="Arial" w:hAnsi="Arial" w:cs="Arial"/>
          <w:color w:val="000000" w:themeColor="text1"/>
          <w:sz w:val="24"/>
          <w:szCs w:val="24"/>
        </w:rPr>
        <w:t>not being able to attend school or have poor educational attainment</w:t>
      </w:r>
    </w:p>
    <w:p w14:paraId="22E2C8FE" w14:textId="77777777" w:rsidR="007356E2" w:rsidRPr="007356E2" w:rsidRDefault="007356E2" w:rsidP="007356E2">
      <w:pPr>
        <w:numPr>
          <w:ilvl w:val="0"/>
          <w:numId w:val="4"/>
        </w:numPr>
        <w:spacing w:after="0" w:line="360" w:lineRule="auto"/>
        <w:contextualSpacing/>
        <w:rPr>
          <w:rFonts w:ascii="Arial" w:hAnsi="Arial" w:cs="Arial"/>
          <w:color w:val="000000" w:themeColor="text1"/>
          <w:sz w:val="24"/>
          <w:szCs w:val="24"/>
        </w:rPr>
      </w:pPr>
      <w:r w:rsidRPr="007356E2">
        <w:rPr>
          <w:rFonts w:ascii="Arial" w:hAnsi="Arial" w:cs="Arial"/>
          <w:color w:val="000000" w:themeColor="text1"/>
          <w:sz w:val="24"/>
          <w:szCs w:val="24"/>
        </w:rPr>
        <w:t>difficulty in maintaining healthy relationship with others</w:t>
      </w:r>
    </w:p>
    <w:p w14:paraId="714584B3" w14:textId="77777777" w:rsidR="007356E2" w:rsidRPr="007356E2" w:rsidRDefault="007356E2" w:rsidP="007356E2">
      <w:pPr>
        <w:numPr>
          <w:ilvl w:val="0"/>
          <w:numId w:val="4"/>
        </w:numPr>
        <w:spacing w:after="0" w:line="360" w:lineRule="auto"/>
        <w:contextualSpacing/>
        <w:rPr>
          <w:rFonts w:ascii="Arial" w:hAnsi="Arial" w:cs="Arial"/>
          <w:color w:val="000000" w:themeColor="text1"/>
          <w:sz w:val="24"/>
          <w:szCs w:val="24"/>
        </w:rPr>
      </w:pPr>
      <w:r w:rsidRPr="007356E2">
        <w:rPr>
          <w:rFonts w:ascii="Arial" w:hAnsi="Arial" w:cs="Arial"/>
          <w:color w:val="000000" w:themeColor="text1"/>
          <w:sz w:val="24"/>
          <w:szCs w:val="24"/>
        </w:rPr>
        <w:t>depression and other emotional and behavioural issues (NSPCC, 2021).</w:t>
      </w:r>
    </w:p>
    <w:p w14:paraId="1300AB5C"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color w:val="000000" w:themeColor="text1"/>
          <w:sz w:val="24"/>
          <w:szCs w:val="24"/>
        </w:rPr>
        <w:lastRenderedPageBreak/>
        <w:t xml:space="preserve">Unfortunately, statistics indicates that </w:t>
      </w:r>
      <w:r w:rsidRPr="007356E2">
        <w:rPr>
          <w:rFonts w:ascii="Arial" w:hAnsi="Arial" w:cs="Arial"/>
          <w:sz w:val="24"/>
          <w:szCs w:val="24"/>
        </w:rPr>
        <w:t xml:space="preserve">on average at least one child dies every week in the UK due to abuse or neglect (NSPCC, 2020).  Therefore, the troubled family case study “Stockport” required immediate attention to prevent further harm or neglect towards children and family as a whole. Children Act 1989 and 2004 state that the most important welfare aspect for children is to feel safe in their own family unit and not to be separated from biological parents if safe environment could be formed or provided because parents play a significant role in their children's life. </w:t>
      </w:r>
    </w:p>
    <w:p w14:paraId="1BBAA44B"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rPr>
        <w:t>The troubled families programme was introduced in 2011 with the aim to support parents to integrate back to the working society. Local authorities have the responsibility of ensuring that all children in their area are receiving a proper education and reduce anti-social behaviour in troubled families. Dedicated family intervention workers would identify and help families to reduce problematic behaviours and overcome their problems in a way that they can make good use of the resources around them. Social workers build an honest and proactive relationship with troubled families. The objective of support is to guide and help troubled families to gain self-esteem and confidence in themselves; being resilient and building trust in the services. There are several key factors to successful intervention (Department for Communities and Local Government, 2012):</w:t>
      </w:r>
    </w:p>
    <w:p w14:paraId="623D89BE" w14:textId="77777777" w:rsidR="007356E2" w:rsidRPr="007356E2" w:rsidRDefault="007356E2" w:rsidP="007356E2">
      <w:pPr>
        <w:spacing w:after="0" w:line="360" w:lineRule="auto"/>
        <w:rPr>
          <w:rFonts w:ascii="Arial" w:hAnsi="Arial" w:cs="Arial"/>
          <w:color w:val="000000" w:themeColor="text1"/>
          <w:sz w:val="24"/>
          <w:szCs w:val="24"/>
        </w:rPr>
      </w:pPr>
      <w:r w:rsidRPr="007356E2">
        <w:rPr>
          <w:rFonts w:ascii="Arial" w:hAnsi="Arial" w:cs="Arial"/>
          <w:b/>
          <w:bCs/>
          <w:color w:val="000000" w:themeColor="text1"/>
          <w:sz w:val="24"/>
          <w:szCs w:val="24"/>
        </w:rPr>
        <w:t>A Dedicated worker</w:t>
      </w:r>
      <w:r w:rsidRPr="007356E2">
        <w:rPr>
          <w:rFonts w:ascii="Arial" w:hAnsi="Arial" w:cs="Arial"/>
          <w:color w:val="000000" w:themeColor="text1"/>
          <w:sz w:val="24"/>
          <w:szCs w:val="24"/>
        </w:rPr>
        <w:t xml:space="preserve"> has to be able to build a good working relationship with the family that involves openness, trust, honesty and integrity. In the “Stockport” case study, the evidence is clear that the family worker gained the mothers trust, therefore she engaged willingly and was ready to accept the help that she needed and prepared to make changes to her current habits and lifestyle choices. </w:t>
      </w:r>
    </w:p>
    <w:p w14:paraId="6DDA1636" w14:textId="77777777" w:rsidR="007356E2" w:rsidRPr="007356E2" w:rsidRDefault="007356E2" w:rsidP="007356E2">
      <w:pPr>
        <w:spacing w:after="0" w:line="360" w:lineRule="auto"/>
        <w:rPr>
          <w:rFonts w:ascii="Arial" w:hAnsi="Arial" w:cs="Arial"/>
          <w:color w:val="000000" w:themeColor="text1"/>
          <w:sz w:val="24"/>
          <w:szCs w:val="24"/>
        </w:rPr>
      </w:pPr>
      <w:r w:rsidRPr="007356E2">
        <w:rPr>
          <w:rFonts w:ascii="Arial" w:hAnsi="Arial" w:cs="Arial"/>
          <w:b/>
          <w:bCs/>
          <w:color w:val="000000" w:themeColor="text1"/>
          <w:sz w:val="24"/>
          <w:szCs w:val="24"/>
        </w:rPr>
        <w:t>Practical “hands on” support</w:t>
      </w:r>
      <w:r w:rsidRPr="007356E2">
        <w:rPr>
          <w:rFonts w:ascii="Arial" w:hAnsi="Arial" w:cs="Arial"/>
          <w:color w:val="000000" w:themeColor="text1"/>
          <w:sz w:val="24"/>
          <w:szCs w:val="24"/>
        </w:rPr>
        <w:t xml:space="preserve"> the family worker recognised that mother was suffering with alcoholism and was confident and willing to get support for her to get her life back under control. Therefore, the dedicated worker promptly arranged a detox programme for mother to attend as this was contributing to mothers inability to prioritise her children’s needs for instance.</w:t>
      </w:r>
    </w:p>
    <w:p w14:paraId="62930DCD" w14:textId="77777777" w:rsidR="007356E2" w:rsidRPr="007356E2" w:rsidRDefault="007356E2" w:rsidP="007356E2">
      <w:pPr>
        <w:spacing w:after="0" w:line="360" w:lineRule="auto"/>
        <w:rPr>
          <w:rFonts w:ascii="Arial" w:hAnsi="Arial" w:cs="Arial"/>
          <w:color w:val="000000" w:themeColor="text1"/>
          <w:sz w:val="24"/>
          <w:szCs w:val="24"/>
        </w:rPr>
      </w:pPr>
      <w:r w:rsidRPr="007356E2">
        <w:rPr>
          <w:rFonts w:ascii="Arial" w:hAnsi="Arial" w:cs="Arial"/>
          <w:b/>
          <w:bCs/>
          <w:color w:val="000000" w:themeColor="text1"/>
          <w:sz w:val="24"/>
          <w:szCs w:val="24"/>
        </w:rPr>
        <w:t>The Family worker had a challenging approach</w:t>
      </w:r>
      <w:r w:rsidRPr="007356E2">
        <w:rPr>
          <w:rFonts w:ascii="Arial" w:hAnsi="Arial" w:cs="Arial"/>
          <w:color w:val="000000" w:themeColor="text1"/>
          <w:sz w:val="24"/>
          <w:szCs w:val="24"/>
        </w:rPr>
        <w:t xml:space="preserve"> that specifically involving the children helping their mother to understand that she needed guidance and support with parenting them. This helped Mum feel needed and motivated and so was encouraged to set routine and boundaries for children to start the process of putting in some sense of security and safety for them also.</w:t>
      </w:r>
    </w:p>
    <w:p w14:paraId="3E8558CD" w14:textId="77777777" w:rsidR="007356E2" w:rsidRPr="007356E2" w:rsidRDefault="007356E2" w:rsidP="007356E2">
      <w:pPr>
        <w:spacing w:after="0" w:line="360" w:lineRule="auto"/>
        <w:rPr>
          <w:rFonts w:ascii="Arial" w:hAnsi="Arial" w:cs="Arial"/>
          <w:color w:val="000000" w:themeColor="text1"/>
          <w:sz w:val="24"/>
          <w:szCs w:val="24"/>
        </w:rPr>
      </w:pPr>
      <w:r w:rsidRPr="007356E2">
        <w:rPr>
          <w:rFonts w:ascii="Arial" w:hAnsi="Arial" w:cs="Arial"/>
          <w:b/>
          <w:bCs/>
          <w:color w:val="000000" w:themeColor="text1"/>
          <w:sz w:val="24"/>
          <w:szCs w:val="24"/>
        </w:rPr>
        <w:lastRenderedPageBreak/>
        <w:t>Considering the family as a whole</w:t>
      </w:r>
      <w:r w:rsidRPr="007356E2">
        <w:rPr>
          <w:rFonts w:ascii="Arial" w:hAnsi="Arial" w:cs="Arial"/>
          <w:color w:val="000000" w:themeColor="text1"/>
          <w:sz w:val="24"/>
          <w:szCs w:val="24"/>
        </w:rPr>
        <w:t>. Although the family support worker was primarily supporting the mother to take back control of her life and to parent her own children, they contacted the children’s school on her behalf and informed them of the current situation in the home. The school were then able to consider some form of support to help the children in returning and settling into school again. This itself allowed mother to have some time to herself and seek any support services she intended to as well as beginning to really focus on her own parenting skills. Attending school would have also supported the children in developing a healthy routine which would result in better attendance at school too (</w:t>
      </w:r>
      <w:r w:rsidRPr="007356E2">
        <w:rPr>
          <w:rFonts w:ascii="Arial" w:hAnsi="Arial" w:cs="Arial"/>
          <w:sz w:val="24"/>
          <w:szCs w:val="24"/>
        </w:rPr>
        <w:t>Department for Education, 2016)</w:t>
      </w:r>
      <w:r w:rsidRPr="007356E2">
        <w:rPr>
          <w:rFonts w:ascii="Arial" w:hAnsi="Arial" w:cs="Arial"/>
          <w:color w:val="000000" w:themeColor="text1"/>
          <w:sz w:val="24"/>
          <w:szCs w:val="24"/>
        </w:rPr>
        <w:t xml:space="preserve">. Therefore, the involvement of school was essential of not only providing a safe space outside the house and education, but also a place where they could have an outlet themselves should they require it. As a result, the risk of the children developing any further negative exposure or harm is reduced significantly by involving school and supporting mother with parenting skills. </w:t>
      </w:r>
    </w:p>
    <w:p w14:paraId="1CAC7675" w14:textId="77777777" w:rsidR="007356E2" w:rsidRPr="007356E2" w:rsidRDefault="007356E2" w:rsidP="007356E2">
      <w:pPr>
        <w:spacing w:after="0" w:line="360" w:lineRule="auto"/>
        <w:rPr>
          <w:rFonts w:ascii="Arial" w:hAnsi="Arial" w:cs="Arial"/>
          <w:color w:val="000000" w:themeColor="text1"/>
          <w:sz w:val="24"/>
          <w:szCs w:val="24"/>
        </w:rPr>
      </w:pPr>
      <w:r w:rsidRPr="007356E2">
        <w:rPr>
          <w:rFonts w:ascii="Arial" w:hAnsi="Arial" w:cs="Arial"/>
          <w:b/>
          <w:bCs/>
          <w:color w:val="000000" w:themeColor="text1"/>
          <w:sz w:val="24"/>
          <w:szCs w:val="24"/>
        </w:rPr>
        <w:t>Common purpose</w:t>
      </w:r>
      <w:r w:rsidRPr="007356E2">
        <w:rPr>
          <w:rFonts w:ascii="Arial" w:hAnsi="Arial" w:cs="Arial"/>
          <w:color w:val="000000" w:themeColor="text1"/>
          <w:sz w:val="24"/>
          <w:szCs w:val="24"/>
        </w:rPr>
        <w:t xml:space="preserve">. The mother was supported with counselling regarding her mental issues that lead to substance abuse. She managed to keep a record of all her triggers and drinking problem was under control. </w:t>
      </w:r>
    </w:p>
    <w:p w14:paraId="1F493302" w14:textId="77777777" w:rsidR="007356E2" w:rsidRPr="007356E2" w:rsidRDefault="007356E2" w:rsidP="007356E2">
      <w:pPr>
        <w:spacing w:after="0" w:line="360" w:lineRule="auto"/>
        <w:rPr>
          <w:rFonts w:ascii="Arial" w:hAnsi="Arial" w:cs="Arial"/>
          <w:color w:val="000000" w:themeColor="text1"/>
          <w:sz w:val="24"/>
          <w:szCs w:val="24"/>
        </w:rPr>
      </w:pPr>
    </w:p>
    <w:p w14:paraId="563698A9" w14:textId="77777777" w:rsidR="007356E2" w:rsidRPr="007356E2" w:rsidRDefault="007356E2" w:rsidP="007356E2">
      <w:pPr>
        <w:spacing w:after="0" w:line="240" w:lineRule="auto"/>
        <w:rPr>
          <w:rFonts w:ascii="Arial" w:hAnsi="Arial" w:cs="Arial"/>
          <w:b/>
          <w:bCs/>
          <w:color w:val="FF0000"/>
          <w:sz w:val="40"/>
          <w:szCs w:val="40"/>
        </w:rPr>
      </w:pPr>
      <w:r w:rsidRPr="007356E2">
        <w:rPr>
          <w:rFonts w:ascii="Arial" w:hAnsi="Arial" w:cs="Arial"/>
          <w:b/>
          <w:bCs/>
          <w:color w:val="000000" w:themeColor="text1"/>
          <w:sz w:val="40"/>
          <w:szCs w:val="40"/>
        </w:rPr>
        <w:t>Analysis</w:t>
      </w:r>
      <w:r w:rsidRPr="007356E2">
        <w:rPr>
          <w:rFonts w:ascii="Arial" w:hAnsi="Arial" w:cs="Arial"/>
          <w:b/>
          <w:bCs/>
          <w:color w:val="FF0000"/>
          <w:sz w:val="40"/>
          <w:szCs w:val="40"/>
        </w:rPr>
        <w:t xml:space="preserve"> </w:t>
      </w:r>
    </w:p>
    <w:p w14:paraId="078B696F" w14:textId="77777777" w:rsidR="007356E2" w:rsidRPr="007356E2" w:rsidRDefault="007356E2" w:rsidP="007356E2">
      <w:pPr>
        <w:spacing w:after="0" w:line="240" w:lineRule="auto"/>
        <w:rPr>
          <w:rFonts w:ascii="Arial" w:hAnsi="Arial" w:cs="Arial"/>
          <w:sz w:val="24"/>
          <w:szCs w:val="24"/>
        </w:rPr>
      </w:pPr>
    </w:p>
    <w:p w14:paraId="0A58793B" w14:textId="77777777" w:rsidR="007356E2" w:rsidRPr="007356E2" w:rsidRDefault="007356E2" w:rsidP="007356E2">
      <w:pPr>
        <w:spacing w:after="0" w:line="360" w:lineRule="auto"/>
        <w:rPr>
          <w:rFonts w:ascii="Arial" w:hAnsi="Arial" w:cs="Arial"/>
          <w:b/>
          <w:bCs/>
          <w:color w:val="FF0000"/>
          <w:sz w:val="40"/>
          <w:szCs w:val="40"/>
        </w:rPr>
      </w:pPr>
      <w:r w:rsidRPr="007356E2">
        <w:rPr>
          <w:rFonts w:ascii="Arial" w:hAnsi="Arial" w:cs="Arial"/>
          <w:sz w:val="24"/>
          <w:szCs w:val="24"/>
        </w:rPr>
        <w:t xml:space="preserve">Parents who have continuing problems with alcohol and substance misuse are more likely to neglect the welfare of their children and use their resources to fund their own habits rather than on the upbringing of their children or the maintenance of their home for instance (NSPCC, 2021). </w:t>
      </w:r>
    </w:p>
    <w:p w14:paraId="7F2F7EDB" w14:textId="77777777" w:rsidR="007356E2" w:rsidRPr="007356E2" w:rsidRDefault="007356E2" w:rsidP="007356E2">
      <w:pPr>
        <w:spacing w:after="0" w:line="360" w:lineRule="auto"/>
        <w:rPr>
          <w:rFonts w:ascii="Arial" w:hAnsi="Arial" w:cs="Arial"/>
          <w:b/>
          <w:bCs/>
          <w:sz w:val="24"/>
          <w:szCs w:val="24"/>
        </w:rPr>
      </w:pPr>
      <w:r w:rsidRPr="007356E2">
        <w:rPr>
          <w:rFonts w:ascii="Arial" w:hAnsi="Arial" w:cs="Arial"/>
          <w:b/>
          <w:bCs/>
          <w:sz w:val="24"/>
          <w:szCs w:val="24"/>
        </w:rPr>
        <w:t xml:space="preserve">Working Together to Safeguarding Children </w:t>
      </w:r>
    </w:p>
    <w:p w14:paraId="5C22A120"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rPr>
        <w:t>Children’s welfare is top priority and everyone who works with children has a responsibility to keeping them safe. The key guidance that must be complied with by all professionals working with children in England is ‘Working Together’. It is here that it is emphasised and highlighted on how every citizen that comes in contact with children has a role to play (HM Government, 2018).</w:t>
      </w:r>
    </w:p>
    <w:p w14:paraId="378C3559" w14:textId="77777777" w:rsidR="007356E2" w:rsidRPr="007356E2" w:rsidRDefault="007356E2" w:rsidP="007356E2">
      <w:pPr>
        <w:spacing w:after="0" w:line="360" w:lineRule="auto"/>
        <w:rPr>
          <w:rFonts w:ascii="Arial" w:hAnsi="Arial" w:cs="Arial"/>
          <w:b/>
          <w:bCs/>
          <w:sz w:val="24"/>
          <w:szCs w:val="24"/>
        </w:rPr>
      </w:pPr>
      <w:r w:rsidRPr="007356E2">
        <w:rPr>
          <w:rFonts w:ascii="Arial" w:hAnsi="Arial" w:cs="Arial"/>
          <w:b/>
          <w:bCs/>
          <w:sz w:val="24"/>
          <w:szCs w:val="24"/>
        </w:rPr>
        <w:t>Children Act 1989</w:t>
      </w:r>
    </w:p>
    <w:p w14:paraId="18E76051"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rPr>
        <w:t xml:space="preserve"> Enforce the local authorities to provide suitable services for children within in their area. Local authorities have a duty of care that involves them to assess, listen and </w:t>
      </w:r>
      <w:r w:rsidRPr="007356E2">
        <w:rPr>
          <w:rFonts w:ascii="Arial" w:hAnsi="Arial" w:cs="Arial"/>
          <w:sz w:val="24"/>
          <w:szCs w:val="24"/>
        </w:rPr>
        <w:lastRenderedPageBreak/>
        <w:t xml:space="preserve">understand child’s wishes, feelings and develop a support plan according to their individual needs. </w:t>
      </w:r>
    </w:p>
    <w:p w14:paraId="7F66B3C0" w14:textId="77777777" w:rsidR="007356E2" w:rsidRPr="007356E2" w:rsidRDefault="007356E2" w:rsidP="007356E2">
      <w:pPr>
        <w:spacing w:after="0" w:line="360" w:lineRule="auto"/>
        <w:rPr>
          <w:rFonts w:ascii="Arial" w:hAnsi="Arial" w:cs="Arial"/>
          <w:b/>
          <w:bCs/>
          <w:sz w:val="24"/>
          <w:szCs w:val="24"/>
        </w:rPr>
      </w:pPr>
      <w:r w:rsidRPr="007356E2">
        <w:rPr>
          <w:rFonts w:ascii="Arial" w:hAnsi="Arial" w:cs="Arial"/>
          <w:b/>
          <w:bCs/>
          <w:sz w:val="24"/>
          <w:szCs w:val="24"/>
        </w:rPr>
        <w:t>Children and Social Work Act 2017</w:t>
      </w:r>
    </w:p>
    <w:p w14:paraId="220AD306" w14:textId="77777777" w:rsidR="007356E2" w:rsidRPr="007356E2" w:rsidRDefault="007356E2" w:rsidP="007356E2">
      <w:pPr>
        <w:spacing w:after="0" w:line="360" w:lineRule="auto"/>
        <w:rPr>
          <w:rFonts w:ascii="Arial" w:hAnsi="Arial" w:cs="Arial"/>
          <w:b/>
          <w:bCs/>
          <w:sz w:val="24"/>
          <w:szCs w:val="24"/>
        </w:rPr>
      </w:pPr>
      <w:r w:rsidRPr="007356E2">
        <w:rPr>
          <w:rFonts w:ascii="Arial" w:hAnsi="Arial" w:cs="Arial"/>
          <w:sz w:val="24"/>
          <w:szCs w:val="24"/>
        </w:rPr>
        <w:t>Children welfare is a top priority and everyone who works with children has a responsibility to keep them safe. There are three main safeguarding partners that must work together and engage others to achieve the best possible outcome (Local Government Association, 2017):</w:t>
      </w:r>
    </w:p>
    <w:p w14:paraId="144E53D7" w14:textId="77777777" w:rsidR="007356E2" w:rsidRPr="007356E2" w:rsidRDefault="007356E2" w:rsidP="007356E2">
      <w:pPr>
        <w:numPr>
          <w:ilvl w:val="0"/>
          <w:numId w:val="10"/>
        </w:numPr>
        <w:spacing w:after="0" w:line="360" w:lineRule="auto"/>
        <w:contextualSpacing/>
        <w:rPr>
          <w:rFonts w:ascii="Arial" w:hAnsi="Arial" w:cs="Arial"/>
          <w:sz w:val="24"/>
          <w:szCs w:val="24"/>
        </w:rPr>
      </w:pPr>
      <w:r w:rsidRPr="007356E2">
        <w:rPr>
          <w:rFonts w:ascii="Arial" w:hAnsi="Arial" w:cs="Arial"/>
          <w:sz w:val="24"/>
          <w:szCs w:val="24"/>
        </w:rPr>
        <w:t>local authority must protect the welfare of children and work with the whole family in order to ensure that children’s upbringing remains within their own family if possible (Citizens advice, 2021).</w:t>
      </w:r>
    </w:p>
    <w:p w14:paraId="1BF31D99" w14:textId="77777777" w:rsidR="007356E2" w:rsidRPr="007356E2" w:rsidRDefault="007356E2" w:rsidP="007356E2">
      <w:pPr>
        <w:numPr>
          <w:ilvl w:val="0"/>
          <w:numId w:val="10"/>
        </w:numPr>
        <w:spacing w:after="0" w:line="360" w:lineRule="auto"/>
        <w:contextualSpacing/>
        <w:rPr>
          <w:rFonts w:ascii="Arial" w:hAnsi="Arial" w:cs="Arial"/>
          <w:sz w:val="24"/>
          <w:szCs w:val="24"/>
        </w:rPr>
      </w:pPr>
      <w:r w:rsidRPr="007356E2">
        <w:rPr>
          <w:rFonts w:ascii="Arial" w:hAnsi="Arial" w:cs="Arial"/>
          <w:sz w:val="24"/>
          <w:szCs w:val="24"/>
        </w:rPr>
        <w:t>a clinical commissioning groups has responsibility to follow 5 R’s that means Recognise, Respond, Report, Record and Refer to the Police and Social Care Services</w:t>
      </w:r>
    </w:p>
    <w:p w14:paraId="58C33CCA" w14:textId="77777777" w:rsidR="007356E2" w:rsidRPr="007356E2" w:rsidRDefault="007356E2" w:rsidP="007356E2">
      <w:pPr>
        <w:numPr>
          <w:ilvl w:val="0"/>
          <w:numId w:val="10"/>
        </w:numPr>
        <w:spacing w:after="0" w:line="360" w:lineRule="auto"/>
        <w:contextualSpacing/>
        <w:rPr>
          <w:rFonts w:ascii="Arial" w:hAnsi="Arial" w:cs="Arial"/>
          <w:sz w:val="24"/>
          <w:szCs w:val="24"/>
        </w:rPr>
      </w:pPr>
      <w:r w:rsidRPr="007356E2">
        <w:rPr>
          <w:rFonts w:ascii="Arial" w:hAnsi="Arial" w:cs="Arial"/>
          <w:sz w:val="24"/>
          <w:szCs w:val="24"/>
        </w:rPr>
        <w:t>the chief officer of police has a unique power to remove a child to a safe environment and protect from immediate harm, for example while attending domestic abuse incident (HMIC, 2015).</w:t>
      </w:r>
    </w:p>
    <w:p w14:paraId="54FFF2CA"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b/>
          <w:bCs/>
          <w:sz w:val="24"/>
          <w:szCs w:val="24"/>
        </w:rPr>
        <w:t>Equality Act 2010</w:t>
      </w:r>
      <w:r w:rsidRPr="007356E2">
        <w:rPr>
          <w:rFonts w:ascii="Arial" w:hAnsi="Arial" w:cs="Arial"/>
          <w:sz w:val="24"/>
          <w:szCs w:val="24"/>
        </w:rPr>
        <w:t xml:space="preserve"> </w:t>
      </w:r>
    </w:p>
    <w:p w14:paraId="7A120E50"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rPr>
        <w:t xml:space="preserve">Must ensure that public authorities eliminate discrimination and provide every child with services that meets their particular needs, and promotes equal opportunities in life.  </w:t>
      </w:r>
      <w:r w:rsidRPr="007356E2">
        <w:rPr>
          <w:rFonts w:ascii="Arial" w:hAnsi="Arial" w:cs="Arial"/>
          <w:sz w:val="24"/>
          <w:szCs w:val="24"/>
          <w:lang w:val="x-none"/>
        </w:rPr>
        <w:t xml:space="preserve"> </w:t>
      </w:r>
    </w:p>
    <w:p w14:paraId="21BC1896" w14:textId="77777777" w:rsidR="007356E2" w:rsidRPr="007356E2" w:rsidRDefault="007356E2" w:rsidP="007356E2">
      <w:pPr>
        <w:spacing w:after="0" w:line="360" w:lineRule="auto"/>
        <w:rPr>
          <w:rFonts w:ascii="Arial" w:hAnsi="Arial" w:cs="Arial"/>
          <w:b/>
          <w:bCs/>
          <w:sz w:val="24"/>
          <w:szCs w:val="24"/>
        </w:rPr>
      </w:pPr>
      <w:r w:rsidRPr="007356E2">
        <w:rPr>
          <w:rFonts w:ascii="Arial" w:hAnsi="Arial" w:cs="Arial"/>
          <w:b/>
          <w:bCs/>
          <w:sz w:val="24"/>
          <w:szCs w:val="24"/>
        </w:rPr>
        <w:t xml:space="preserve">Education Act 2002 </w:t>
      </w:r>
    </w:p>
    <w:p w14:paraId="48080058"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rPr>
        <w:t>Local authorities have the responsibility to monitor and make sure that children of compulsory school age are attending school regularly and receiving suitable education.</w:t>
      </w:r>
    </w:p>
    <w:p w14:paraId="7601FF3D"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b/>
          <w:bCs/>
          <w:sz w:val="24"/>
          <w:szCs w:val="24"/>
        </w:rPr>
        <w:t>Children missing education</w:t>
      </w:r>
    </w:p>
    <w:p w14:paraId="45A9CE1B"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rPr>
        <w:t>There could be many reasons why children are missing school. Therefore, local authorities have a duty to investigate and safeguard children from being victims of harm, exploitation or radicalisation. Children missing education are at significant risk of underachieving and developing disruptive behaviour later in life. First of all is a parent’s responsibility to ensure that a child receives suitable full-time education. Schools have a responsibility to monitor child’s attendance and report poor attendance to the local authorities. Information sharing between schools and local authorities is essential to keep children safe (Department for Education, 2016).</w:t>
      </w:r>
    </w:p>
    <w:p w14:paraId="1E54C0E5" w14:textId="77777777" w:rsidR="007356E2" w:rsidRPr="007356E2" w:rsidRDefault="007356E2" w:rsidP="007356E2">
      <w:pPr>
        <w:spacing w:after="0" w:line="360" w:lineRule="auto"/>
        <w:rPr>
          <w:rFonts w:ascii="Arial" w:hAnsi="Arial" w:cs="Arial"/>
          <w:sz w:val="24"/>
          <w:szCs w:val="24"/>
        </w:rPr>
      </w:pPr>
    </w:p>
    <w:p w14:paraId="3478D7ED" w14:textId="77777777" w:rsidR="007356E2" w:rsidRPr="007356E2" w:rsidRDefault="007356E2" w:rsidP="007356E2">
      <w:pPr>
        <w:spacing w:after="0" w:line="360" w:lineRule="auto"/>
        <w:rPr>
          <w:rFonts w:ascii="Arial" w:hAnsi="Arial" w:cs="Arial"/>
          <w:b/>
          <w:bCs/>
          <w:sz w:val="24"/>
          <w:szCs w:val="24"/>
        </w:rPr>
      </w:pPr>
      <w:r w:rsidRPr="007356E2">
        <w:rPr>
          <w:rFonts w:ascii="Arial" w:hAnsi="Arial" w:cs="Arial"/>
          <w:b/>
          <w:bCs/>
          <w:sz w:val="24"/>
          <w:szCs w:val="24"/>
        </w:rPr>
        <w:t>The United Nations Convention on the Rights of the Children 1989 (UNCRC)</w:t>
      </w:r>
    </w:p>
    <w:p w14:paraId="1B00648F"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rPr>
        <w:t>Is the most established, internationally used human rights treaty in the world. The Convention cover all aspects of a child’s life and set out the rights that all children are entitled to. The Convention came into force in 1992 in the UK (UNICEF UK, 2021). In respect to case study ‘Stockport’ there are visible evidence that a key worker was considering the Article 9 that a child has a right to live with the parent as  long as they are meeting the best interest of the child and if safeguarding guidelines are met (UNICEF UK, 2010).</w:t>
      </w:r>
    </w:p>
    <w:p w14:paraId="791E8408" w14:textId="77777777" w:rsidR="007356E2" w:rsidRPr="007356E2" w:rsidRDefault="007356E2" w:rsidP="007356E2">
      <w:pPr>
        <w:spacing w:after="0" w:line="360" w:lineRule="auto"/>
        <w:rPr>
          <w:rFonts w:ascii="Arial" w:hAnsi="Arial" w:cs="Arial"/>
          <w:sz w:val="24"/>
          <w:szCs w:val="24"/>
        </w:rPr>
      </w:pPr>
    </w:p>
    <w:p w14:paraId="22BC2F0E" w14:textId="77777777" w:rsidR="007356E2" w:rsidRPr="007356E2" w:rsidRDefault="007356E2" w:rsidP="007356E2">
      <w:pPr>
        <w:spacing w:after="0" w:line="240" w:lineRule="auto"/>
        <w:rPr>
          <w:rFonts w:ascii="Arial" w:hAnsi="Arial" w:cs="Arial"/>
          <w:b/>
          <w:bCs/>
          <w:color w:val="FF0000"/>
          <w:sz w:val="40"/>
          <w:szCs w:val="40"/>
        </w:rPr>
      </w:pPr>
      <w:r w:rsidRPr="007356E2">
        <w:rPr>
          <w:rFonts w:ascii="Arial" w:hAnsi="Arial" w:cs="Arial"/>
          <w:b/>
          <w:bCs/>
          <w:color w:val="000000" w:themeColor="text1"/>
          <w:sz w:val="40"/>
          <w:szCs w:val="40"/>
        </w:rPr>
        <w:t>Evaluation</w:t>
      </w:r>
      <w:r w:rsidRPr="007356E2">
        <w:rPr>
          <w:rFonts w:ascii="Arial" w:hAnsi="Arial" w:cs="Arial"/>
          <w:b/>
          <w:bCs/>
          <w:color w:val="FF0000"/>
          <w:sz w:val="40"/>
          <w:szCs w:val="40"/>
        </w:rPr>
        <w:t xml:space="preserve"> </w:t>
      </w:r>
    </w:p>
    <w:p w14:paraId="2865E136" w14:textId="77777777" w:rsidR="007356E2" w:rsidRPr="007356E2" w:rsidRDefault="007356E2" w:rsidP="007356E2">
      <w:pPr>
        <w:spacing w:after="0" w:line="240" w:lineRule="auto"/>
        <w:rPr>
          <w:rFonts w:ascii="Arial" w:hAnsi="Arial" w:cs="Arial"/>
          <w:sz w:val="24"/>
          <w:szCs w:val="24"/>
        </w:rPr>
      </w:pPr>
    </w:p>
    <w:p w14:paraId="677DA623"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color w:val="000000" w:themeColor="text1"/>
          <w:sz w:val="24"/>
          <w:szCs w:val="24"/>
        </w:rPr>
        <w:t xml:space="preserve">In the case study ‘Stockport’ mother revealed that she was pleased that she finally felt able to trust the family worker. Therefore, better outcome was achieved, children was enjoining school, mother was feeling positive and was able to look for a job. However, it is important to understand that sometimes it can be more challenging to indicate the impact of neglect in older children. Children’s responses may not be as expected by either parent or worker as well as the other way round. They may have become habited to the chaotic lifestyles and be unwilling to change when stability is beginning to be formed for them. Older children may feel less empowered as again, there are changes happening around them that they do not have control over (Crown, 2018). Therefore, while mom was the victim of severe domestic abuse as well as anti-social behaviour around the home. The police responsibility was to identify older children as potentially vulnerable to neglect or abuse. Police must use their professional instincts and look further then immediate incident and always consider children’s needs (HMIC, 2015). Case study show no evidence of support after children lost their father. </w:t>
      </w:r>
      <w:r w:rsidRPr="007356E2">
        <w:rPr>
          <w:rFonts w:ascii="Arial" w:hAnsi="Arial" w:cs="Arial"/>
          <w:sz w:val="24"/>
          <w:szCs w:val="24"/>
        </w:rPr>
        <w:t>Lack of understanding of the impact of trauma in children as well as lack of support with mental health needs.</w:t>
      </w:r>
      <w:r w:rsidRPr="007356E2">
        <w:rPr>
          <w:rFonts w:ascii="Arial" w:hAnsi="Arial" w:cs="Arial"/>
          <w:color w:val="000000" w:themeColor="text1"/>
          <w:sz w:val="24"/>
          <w:szCs w:val="24"/>
        </w:rPr>
        <w:t xml:space="preserve"> Professionals across all agencies must have better understanding what is happening to older children. Safeguarding partners must build strong relationship, work together and provide strong leadership and support to other relevant agencies (Crown, 2018). School failed to identify the case study ‘Stockport’ as a troubled family and did not report the signs of neglect. Therefore, school need to </w:t>
      </w:r>
      <w:r w:rsidRPr="007356E2">
        <w:rPr>
          <w:rFonts w:ascii="Arial" w:hAnsi="Arial" w:cs="Arial"/>
          <w:sz w:val="24"/>
          <w:szCs w:val="24"/>
        </w:rPr>
        <w:t>provide appropriate support for the parents and children.</w:t>
      </w:r>
    </w:p>
    <w:p w14:paraId="5A5B7E88" w14:textId="77777777" w:rsidR="007356E2" w:rsidRPr="007356E2" w:rsidRDefault="007356E2" w:rsidP="007356E2">
      <w:pPr>
        <w:spacing w:after="0" w:line="360" w:lineRule="auto"/>
        <w:rPr>
          <w:rFonts w:ascii="Arial" w:hAnsi="Arial" w:cs="Arial"/>
          <w:color w:val="000000" w:themeColor="text1"/>
          <w:sz w:val="24"/>
          <w:szCs w:val="24"/>
        </w:rPr>
      </w:pPr>
    </w:p>
    <w:p w14:paraId="0311FDE1" w14:textId="77777777" w:rsidR="007356E2" w:rsidRPr="007356E2" w:rsidRDefault="007356E2" w:rsidP="007356E2">
      <w:pPr>
        <w:spacing w:after="0" w:line="360" w:lineRule="auto"/>
        <w:rPr>
          <w:rFonts w:ascii="Arial" w:hAnsi="Arial" w:cs="Arial"/>
          <w:b/>
          <w:bCs/>
          <w:sz w:val="24"/>
          <w:szCs w:val="24"/>
        </w:rPr>
      </w:pPr>
      <w:r w:rsidRPr="007356E2">
        <w:rPr>
          <w:rFonts w:ascii="Arial" w:hAnsi="Arial" w:cs="Arial"/>
          <w:b/>
          <w:bCs/>
          <w:sz w:val="24"/>
          <w:szCs w:val="24"/>
        </w:rPr>
        <w:t xml:space="preserve">Keeping children safe in education (2020) </w:t>
      </w:r>
    </w:p>
    <w:p w14:paraId="64454560"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lang w:val="x-none"/>
        </w:rPr>
        <w:t xml:space="preserve">Schools </w:t>
      </w:r>
      <w:r w:rsidRPr="007356E2">
        <w:rPr>
          <w:rFonts w:ascii="Arial" w:hAnsi="Arial" w:cs="Arial"/>
          <w:sz w:val="24"/>
          <w:szCs w:val="24"/>
        </w:rPr>
        <w:t>have the advantage and position to identify concerns, promote the welfare of children at an  early stage. Therefore, all staff must undergo safeguarding and child protection training. All staff are required to provide relevant skills and knowledge to safeguard children effectively (Department for Education, 2021).</w:t>
      </w:r>
    </w:p>
    <w:p w14:paraId="50836D43" w14:textId="77777777" w:rsidR="007356E2" w:rsidRPr="007356E2" w:rsidRDefault="007356E2" w:rsidP="007356E2">
      <w:pPr>
        <w:spacing w:after="0" w:line="360" w:lineRule="auto"/>
        <w:rPr>
          <w:rFonts w:ascii="Arial" w:hAnsi="Arial" w:cs="Arial"/>
          <w:color w:val="000000" w:themeColor="text1"/>
          <w:sz w:val="24"/>
          <w:szCs w:val="24"/>
        </w:rPr>
      </w:pPr>
      <w:r w:rsidRPr="007356E2">
        <w:rPr>
          <w:rFonts w:ascii="Arial" w:hAnsi="Arial" w:cs="Arial"/>
          <w:b/>
          <w:bCs/>
          <w:color w:val="000000" w:themeColor="text1"/>
          <w:sz w:val="24"/>
          <w:szCs w:val="24"/>
        </w:rPr>
        <w:t xml:space="preserve">Early help system guide  </w:t>
      </w:r>
      <w:r w:rsidRPr="007356E2">
        <w:rPr>
          <w:rFonts w:ascii="Arial" w:hAnsi="Arial" w:cs="Arial"/>
          <w:color w:val="000000" w:themeColor="text1"/>
          <w:sz w:val="24"/>
          <w:szCs w:val="24"/>
        </w:rPr>
        <w:t>is designed to support professionals working with troubled families in the early stage in order to prevent further harm. Information sharing between practitioners is vital in tackling abuse and neglect (</w:t>
      </w:r>
      <w:r w:rsidRPr="007356E2">
        <w:rPr>
          <w:rFonts w:ascii="Arial" w:hAnsi="Arial" w:cs="Arial"/>
          <w:sz w:val="24"/>
          <w:szCs w:val="24"/>
        </w:rPr>
        <w:t xml:space="preserve">Ministry of Housing, Communities &amp; Local Government </w:t>
      </w:r>
      <w:r w:rsidRPr="007356E2">
        <w:rPr>
          <w:rFonts w:ascii="Arial" w:hAnsi="Arial" w:cs="Arial"/>
          <w:color w:val="000000" w:themeColor="text1"/>
          <w:sz w:val="24"/>
          <w:szCs w:val="24"/>
        </w:rPr>
        <w:t>2020).</w:t>
      </w:r>
    </w:p>
    <w:p w14:paraId="5D0377B5" w14:textId="77777777" w:rsidR="007356E2" w:rsidRPr="007356E2" w:rsidRDefault="007356E2" w:rsidP="007356E2">
      <w:pPr>
        <w:spacing w:after="0" w:line="360" w:lineRule="auto"/>
        <w:rPr>
          <w:rFonts w:ascii="Arial" w:hAnsi="Arial" w:cs="Arial"/>
          <w:color w:val="000000" w:themeColor="text1"/>
          <w:sz w:val="24"/>
          <w:szCs w:val="24"/>
        </w:rPr>
      </w:pPr>
    </w:p>
    <w:p w14:paraId="691448D2" w14:textId="77777777" w:rsidR="007356E2" w:rsidRPr="007356E2" w:rsidRDefault="007356E2" w:rsidP="007356E2">
      <w:pPr>
        <w:spacing w:after="0" w:line="360" w:lineRule="auto"/>
        <w:rPr>
          <w:rFonts w:ascii="Arial" w:hAnsi="Arial" w:cs="Arial"/>
          <w:b/>
          <w:bCs/>
          <w:color w:val="000000" w:themeColor="text1"/>
          <w:sz w:val="40"/>
          <w:szCs w:val="40"/>
        </w:rPr>
      </w:pPr>
      <w:r w:rsidRPr="007356E2">
        <w:rPr>
          <w:rFonts w:ascii="Arial" w:hAnsi="Arial" w:cs="Arial"/>
          <w:b/>
          <w:bCs/>
          <w:color w:val="000000" w:themeColor="text1"/>
          <w:sz w:val="40"/>
          <w:szCs w:val="40"/>
        </w:rPr>
        <w:t xml:space="preserve">Conclusion </w:t>
      </w:r>
    </w:p>
    <w:p w14:paraId="4A3A99F9" w14:textId="77777777" w:rsidR="007356E2" w:rsidRPr="007356E2" w:rsidRDefault="007356E2" w:rsidP="007356E2">
      <w:pPr>
        <w:spacing w:after="0" w:line="360" w:lineRule="auto"/>
        <w:rPr>
          <w:rFonts w:ascii="Arial" w:hAnsi="Arial" w:cs="Arial"/>
          <w:color w:val="000000" w:themeColor="text1"/>
          <w:sz w:val="24"/>
          <w:szCs w:val="24"/>
        </w:rPr>
      </w:pPr>
      <w:r w:rsidRPr="007356E2">
        <w:rPr>
          <w:rFonts w:ascii="Arial" w:hAnsi="Arial" w:cs="Arial"/>
          <w:sz w:val="24"/>
          <w:szCs w:val="24"/>
        </w:rPr>
        <w:t xml:space="preserve">This report has showed evidence that parents behaviour may expose the risk that increase the child's vulnerability. </w:t>
      </w:r>
      <w:r w:rsidRPr="007356E2">
        <w:rPr>
          <w:rFonts w:ascii="Arial" w:hAnsi="Arial" w:cs="Arial"/>
          <w:color w:val="000000" w:themeColor="text1"/>
          <w:sz w:val="24"/>
          <w:szCs w:val="24"/>
        </w:rPr>
        <w:t xml:space="preserve">It can be seen overall that is essential to have workers that specifically work for the benefit of children. Organisations and agencies must work together, because communication is a key part of ensuring children are safe, from reporting incidents to relevant professionals to ensuring that people in troubled families and vulnerable children have access to services specific to their needs. Relationship building is also key and parents are encouraged first to rebuild broken relationships with their children as this will be in both their best interest to move forwards in a positive manner. </w:t>
      </w:r>
    </w:p>
    <w:p w14:paraId="4531BEB2" w14:textId="77777777" w:rsidR="007356E2" w:rsidRPr="007356E2" w:rsidRDefault="007356E2" w:rsidP="007356E2">
      <w:pPr>
        <w:spacing w:after="0" w:line="360" w:lineRule="auto"/>
        <w:rPr>
          <w:rFonts w:ascii="Arial" w:hAnsi="Arial" w:cs="Arial"/>
          <w:color w:val="000000" w:themeColor="text1"/>
          <w:sz w:val="24"/>
          <w:szCs w:val="24"/>
        </w:rPr>
      </w:pPr>
    </w:p>
    <w:p w14:paraId="206D9951" w14:textId="77777777" w:rsidR="007356E2" w:rsidRPr="007356E2" w:rsidRDefault="007356E2" w:rsidP="007356E2">
      <w:pPr>
        <w:spacing w:after="0" w:line="360" w:lineRule="auto"/>
        <w:rPr>
          <w:rFonts w:ascii="Arial" w:hAnsi="Arial" w:cs="Arial"/>
          <w:color w:val="FF0000"/>
          <w:sz w:val="24"/>
          <w:szCs w:val="24"/>
        </w:rPr>
      </w:pPr>
    </w:p>
    <w:p w14:paraId="279F8C6C" w14:textId="77777777" w:rsidR="007356E2" w:rsidRPr="007356E2" w:rsidRDefault="007356E2" w:rsidP="007356E2">
      <w:pPr>
        <w:spacing w:after="0" w:line="360" w:lineRule="auto"/>
        <w:rPr>
          <w:rFonts w:ascii="Arial" w:hAnsi="Arial" w:cs="Arial"/>
          <w:sz w:val="24"/>
          <w:szCs w:val="24"/>
        </w:rPr>
      </w:pPr>
    </w:p>
    <w:p w14:paraId="2EDAD677" w14:textId="77777777" w:rsidR="007356E2" w:rsidRPr="007356E2" w:rsidRDefault="007356E2" w:rsidP="007356E2">
      <w:pPr>
        <w:spacing w:after="0" w:line="360" w:lineRule="auto"/>
        <w:rPr>
          <w:rFonts w:ascii="Arial" w:hAnsi="Arial" w:cs="Arial"/>
          <w:sz w:val="24"/>
          <w:szCs w:val="24"/>
        </w:rPr>
      </w:pPr>
    </w:p>
    <w:p w14:paraId="1C6254CC" w14:textId="77777777" w:rsidR="007356E2" w:rsidRPr="007356E2" w:rsidRDefault="007356E2" w:rsidP="007356E2">
      <w:pPr>
        <w:spacing w:after="0" w:line="360" w:lineRule="auto"/>
        <w:rPr>
          <w:rFonts w:ascii="Arial" w:hAnsi="Arial" w:cs="Arial"/>
          <w:sz w:val="24"/>
          <w:szCs w:val="24"/>
        </w:rPr>
      </w:pPr>
    </w:p>
    <w:p w14:paraId="035BC71E"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rPr>
        <w:br w:type="page"/>
      </w:r>
    </w:p>
    <w:p w14:paraId="72F2756E" w14:textId="77777777" w:rsidR="007356E2" w:rsidRPr="007356E2" w:rsidRDefault="007356E2" w:rsidP="007356E2">
      <w:pPr>
        <w:spacing w:after="0" w:line="240" w:lineRule="auto"/>
        <w:rPr>
          <w:rFonts w:ascii="Arial" w:hAnsi="Arial" w:cs="Arial"/>
          <w:sz w:val="24"/>
          <w:szCs w:val="24"/>
        </w:rPr>
      </w:pPr>
    </w:p>
    <w:p w14:paraId="5A8FEB41" w14:textId="77777777" w:rsidR="007356E2" w:rsidRPr="007356E2" w:rsidRDefault="007356E2" w:rsidP="007356E2">
      <w:pPr>
        <w:spacing w:after="0" w:line="360" w:lineRule="auto"/>
        <w:jc w:val="center"/>
        <w:rPr>
          <w:rFonts w:ascii="Arial" w:hAnsi="Arial" w:cs="Arial"/>
          <w:b/>
          <w:bCs/>
          <w:sz w:val="40"/>
          <w:szCs w:val="40"/>
        </w:rPr>
      </w:pPr>
      <w:r w:rsidRPr="007356E2">
        <w:rPr>
          <w:rFonts w:ascii="Arial" w:hAnsi="Arial" w:cs="Arial"/>
          <w:b/>
          <w:bCs/>
          <w:sz w:val="40"/>
          <w:szCs w:val="40"/>
        </w:rPr>
        <w:t>Reference</w:t>
      </w:r>
    </w:p>
    <w:p w14:paraId="5E4104D6" w14:textId="77777777" w:rsidR="007356E2" w:rsidRPr="007356E2" w:rsidRDefault="007356E2" w:rsidP="007356E2">
      <w:pPr>
        <w:spacing w:after="0" w:line="360" w:lineRule="auto"/>
        <w:jc w:val="center"/>
        <w:rPr>
          <w:rFonts w:ascii="Arial" w:hAnsi="Arial" w:cs="Arial"/>
          <w:sz w:val="24"/>
          <w:szCs w:val="24"/>
        </w:rPr>
      </w:pPr>
    </w:p>
    <w:p w14:paraId="7F6378FA"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i/>
          <w:iCs/>
          <w:sz w:val="24"/>
          <w:szCs w:val="24"/>
        </w:rPr>
        <w:t xml:space="preserve">Children Act 2004 </w:t>
      </w:r>
      <w:r w:rsidRPr="007356E2">
        <w:rPr>
          <w:rFonts w:ascii="Arial" w:hAnsi="Arial" w:cs="Arial"/>
          <w:sz w:val="24"/>
          <w:szCs w:val="24"/>
        </w:rPr>
        <w:t>Available at:</w:t>
      </w:r>
    </w:p>
    <w:p w14:paraId="26251CF6" w14:textId="77777777" w:rsidR="007356E2" w:rsidRPr="007356E2" w:rsidRDefault="00A55A3B" w:rsidP="007356E2">
      <w:pPr>
        <w:spacing w:after="0" w:line="360" w:lineRule="auto"/>
        <w:rPr>
          <w:rFonts w:ascii="Arial" w:hAnsi="Arial" w:cs="Arial"/>
          <w:sz w:val="24"/>
          <w:szCs w:val="24"/>
        </w:rPr>
      </w:pPr>
      <w:hyperlink r:id="rId8" w:history="1">
        <w:r w:rsidR="007356E2" w:rsidRPr="007356E2">
          <w:rPr>
            <w:rFonts w:ascii="Arial" w:hAnsi="Arial" w:cs="Arial"/>
            <w:color w:val="0563C1" w:themeColor="hyperlink"/>
            <w:sz w:val="24"/>
            <w:szCs w:val="24"/>
            <w:u w:val="single"/>
          </w:rPr>
          <w:t>https://www.legislation.gov.uk/ukpga/2004/31/section/11</w:t>
        </w:r>
      </w:hyperlink>
      <w:r w:rsidR="007356E2" w:rsidRPr="007356E2">
        <w:rPr>
          <w:rFonts w:ascii="Arial" w:hAnsi="Arial" w:cs="Arial"/>
          <w:sz w:val="24"/>
          <w:szCs w:val="24"/>
        </w:rPr>
        <w:t xml:space="preserve"> (Accessed: 17 August 2021).</w:t>
      </w:r>
    </w:p>
    <w:p w14:paraId="78D4D2DE"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i/>
          <w:iCs/>
          <w:sz w:val="24"/>
          <w:szCs w:val="24"/>
        </w:rPr>
        <w:t xml:space="preserve">Children and Social Work Act 2017 </w:t>
      </w:r>
      <w:r w:rsidRPr="007356E2">
        <w:rPr>
          <w:rFonts w:ascii="Arial" w:hAnsi="Arial" w:cs="Arial"/>
          <w:sz w:val="24"/>
          <w:szCs w:val="24"/>
        </w:rPr>
        <w:t xml:space="preserve">Available at: </w:t>
      </w:r>
      <w:hyperlink r:id="rId9" w:history="1">
        <w:r w:rsidRPr="007356E2">
          <w:rPr>
            <w:rFonts w:ascii="Arial" w:hAnsi="Arial" w:cs="Arial"/>
            <w:color w:val="0563C1" w:themeColor="hyperlink"/>
            <w:sz w:val="24"/>
            <w:szCs w:val="24"/>
            <w:u w:val="single"/>
          </w:rPr>
          <w:t>https://www.legislation.gov.uk/ukpga/2017/16/section/8</w:t>
        </w:r>
      </w:hyperlink>
      <w:r w:rsidRPr="007356E2">
        <w:rPr>
          <w:rFonts w:ascii="Arial" w:hAnsi="Arial" w:cs="Arial"/>
          <w:sz w:val="24"/>
          <w:szCs w:val="24"/>
        </w:rPr>
        <w:t xml:space="preserve"> (Accessed: 20 August 2021).</w:t>
      </w:r>
    </w:p>
    <w:p w14:paraId="17AA961F"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rPr>
        <w:t xml:space="preserve">Citizens Advice (2021) </w:t>
      </w:r>
      <w:r w:rsidRPr="007356E2">
        <w:rPr>
          <w:rFonts w:ascii="Arial" w:hAnsi="Arial" w:cs="Arial"/>
          <w:i/>
          <w:iCs/>
          <w:sz w:val="24"/>
          <w:szCs w:val="24"/>
        </w:rPr>
        <w:t>Local authority services for children in need</w:t>
      </w:r>
      <w:r w:rsidRPr="007356E2">
        <w:rPr>
          <w:rFonts w:ascii="Arial" w:hAnsi="Arial" w:cs="Arial"/>
          <w:sz w:val="24"/>
          <w:szCs w:val="24"/>
        </w:rPr>
        <w:t xml:space="preserve">. Available at: </w:t>
      </w:r>
      <w:hyperlink r:id="rId10" w:anchor="h-duties-of-the-local-authority" w:history="1">
        <w:r w:rsidRPr="007356E2">
          <w:rPr>
            <w:rFonts w:ascii="Arial" w:hAnsi="Arial" w:cs="Arial"/>
            <w:color w:val="0563C1" w:themeColor="hyperlink"/>
            <w:sz w:val="24"/>
            <w:szCs w:val="24"/>
            <w:u w:val="single"/>
          </w:rPr>
          <w:t>https://www.citizensadvice.org.uk/family/looking-after-people/local-authority-services-for-children-in-need/#h-duties-of-the-local-authority</w:t>
        </w:r>
      </w:hyperlink>
      <w:r w:rsidRPr="007356E2">
        <w:rPr>
          <w:rFonts w:ascii="Arial" w:hAnsi="Arial" w:cs="Arial"/>
          <w:sz w:val="24"/>
          <w:szCs w:val="24"/>
        </w:rPr>
        <w:t xml:space="preserve"> (Accessed: 20 August 2021).</w:t>
      </w:r>
    </w:p>
    <w:p w14:paraId="064DE654"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rPr>
        <w:t xml:space="preserve">Crown (2018) </w:t>
      </w:r>
      <w:r w:rsidRPr="007356E2">
        <w:rPr>
          <w:rFonts w:ascii="Arial" w:hAnsi="Arial" w:cs="Arial"/>
          <w:i/>
          <w:iCs/>
          <w:sz w:val="24"/>
          <w:szCs w:val="24"/>
        </w:rPr>
        <w:t>Growing up neglected: a multi-agency response to older children</w:t>
      </w:r>
      <w:r w:rsidRPr="007356E2">
        <w:rPr>
          <w:rFonts w:ascii="Arial" w:hAnsi="Arial" w:cs="Arial"/>
          <w:sz w:val="24"/>
          <w:szCs w:val="24"/>
        </w:rPr>
        <w:t>. Available at:</w:t>
      </w:r>
    </w:p>
    <w:p w14:paraId="7589C76E" w14:textId="77777777" w:rsidR="007356E2" w:rsidRPr="007356E2" w:rsidRDefault="00A55A3B" w:rsidP="007356E2">
      <w:pPr>
        <w:spacing w:after="0" w:line="360" w:lineRule="auto"/>
        <w:rPr>
          <w:rFonts w:ascii="Arial" w:hAnsi="Arial" w:cs="Arial"/>
          <w:sz w:val="24"/>
          <w:szCs w:val="24"/>
        </w:rPr>
      </w:pPr>
      <w:hyperlink r:id="rId11" w:history="1">
        <w:r w:rsidR="007356E2" w:rsidRPr="007356E2">
          <w:rPr>
            <w:rFonts w:ascii="Arial" w:hAnsi="Arial" w:cs="Arial"/>
            <w:color w:val="0563C1" w:themeColor="hyperlink"/>
            <w:sz w:val="24"/>
            <w:szCs w:val="24"/>
            <w:u w:val="single"/>
          </w:rPr>
          <w:t>https://assets.publishing.service.gov.uk/government/uploads/system/uploads/attachment_data/file/722740/Older_children_neglect_FINAL_060718.pdf</w:t>
        </w:r>
      </w:hyperlink>
      <w:r w:rsidR="007356E2" w:rsidRPr="007356E2">
        <w:rPr>
          <w:rFonts w:ascii="Arial" w:hAnsi="Arial" w:cs="Arial"/>
          <w:sz w:val="24"/>
          <w:szCs w:val="24"/>
        </w:rPr>
        <w:t xml:space="preserve"> (Accessed: 21 August 2021).</w:t>
      </w:r>
    </w:p>
    <w:p w14:paraId="41B4B987"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rPr>
        <w:t xml:space="preserve">Department for Communities and Local Government (2012) </w:t>
      </w:r>
      <w:r w:rsidRPr="007356E2">
        <w:rPr>
          <w:rFonts w:ascii="Arial" w:hAnsi="Arial" w:cs="Arial"/>
          <w:i/>
          <w:sz w:val="24"/>
          <w:szCs w:val="24"/>
        </w:rPr>
        <w:t>Working with Troubled Families</w:t>
      </w:r>
      <w:r w:rsidRPr="007356E2">
        <w:rPr>
          <w:rFonts w:ascii="Arial" w:hAnsi="Arial" w:cs="Arial"/>
          <w:sz w:val="24"/>
          <w:szCs w:val="24"/>
        </w:rPr>
        <w:t>. Available at:</w:t>
      </w:r>
    </w:p>
    <w:p w14:paraId="4D3E3F8B" w14:textId="77777777" w:rsidR="007356E2" w:rsidRPr="007356E2" w:rsidRDefault="00A55A3B" w:rsidP="007356E2">
      <w:pPr>
        <w:spacing w:after="0" w:line="360" w:lineRule="auto"/>
        <w:rPr>
          <w:rFonts w:ascii="Arial" w:hAnsi="Arial" w:cs="Arial"/>
          <w:sz w:val="24"/>
          <w:szCs w:val="24"/>
        </w:rPr>
      </w:pPr>
      <w:hyperlink r:id="rId12" w:history="1">
        <w:r w:rsidR="007356E2" w:rsidRPr="007356E2">
          <w:rPr>
            <w:rFonts w:ascii="Arial" w:hAnsi="Arial" w:cs="Arial"/>
            <w:color w:val="0563C1" w:themeColor="hyperlink"/>
            <w:sz w:val="24"/>
            <w:szCs w:val="24"/>
            <w:u w:val="single"/>
          </w:rPr>
          <w:t>https://assets.publishing.service.gov.uk/government/uploads/system/uploads/attachment_data/file/66113/121214_Working_with_troubled_families_FINAL_v2.pdf</w:t>
        </w:r>
      </w:hyperlink>
      <w:r w:rsidR="007356E2" w:rsidRPr="007356E2">
        <w:rPr>
          <w:rFonts w:ascii="Arial" w:hAnsi="Arial" w:cs="Arial"/>
          <w:sz w:val="24"/>
          <w:szCs w:val="24"/>
        </w:rPr>
        <w:t xml:space="preserve"> (Accessed: 14 August 2021).</w:t>
      </w:r>
    </w:p>
    <w:p w14:paraId="6818869E"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rPr>
        <w:t xml:space="preserve">Department for Education (2016) </w:t>
      </w:r>
      <w:r w:rsidRPr="007356E2">
        <w:rPr>
          <w:rFonts w:ascii="Arial" w:hAnsi="Arial" w:cs="Arial"/>
          <w:i/>
          <w:sz w:val="24"/>
          <w:szCs w:val="24"/>
        </w:rPr>
        <w:t>Children missing education</w:t>
      </w:r>
      <w:r w:rsidRPr="007356E2">
        <w:rPr>
          <w:rFonts w:ascii="Arial" w:hAnsi="Arial" w:cs="Arial"/>
          <w:sz w:val="24"/>
          <w:szCs w:val="24"/>
        </w:rPr>
        <w:t>. Available at:</w:t>
      </w:r>
    </w:p>
    <w:p w14:paraId="0FF15469" w14:textId="77777777" w:rsidR="007356E2" w:rsidRPr="007356E2" w:rsidRDefault="00A55A3B" w:rsidP="007356E2">
      <w:pPr>
        <w:spacing w:after="0" w:line="360" w:lineRule="auto"/>
        <w:rPr>
          <w:rFonts w:ascii="Arial" w:hAnsi="Arial" w:cs="Arial"/>
          <w:sz w:val="24"/>
          <w:szCs w:val="24"/>
        </w:rPr>
      </w:pPr>
      <w:hyperlink r:id="rId13" w:history="1">
        <w:r w:rsidR="007356E2" w:rsidRPr="007356E2">
          <w:rPr>
            <w:rFonts w:ascii="Arial" w:hAnsi="Arial" w:cs="Arial"/>
            <w:color w:val="0563C1" w:themeColor="hyperlink"/>
            <w:sz w:val="24"/>
            <w:szCs w:val="24"/>
            <w:u w:val="single"/>
          </w:rPr>
          <w:t>https://assets.publishing.service.gov.uk/government/uploads/system/uploads/attachment_data/file/550416/Children_Missing_Education_-_statutory_guidance.pdf</w:t>
        </w:r>
      </w:hyperlink>
      <w:r w:rsidR="007356E2" w:rsidRPr="007356E2">
        <w:rPr>
          <w:rFonts w:ascii="Arial" w:hAnsi="Arial" w:cs="Arial"/>
          <w:sz w:val="24"/>
          <w:szCs w:val="24"/>
        </w:rPr>
        <w:t xml:space="preserve"> (Accessed: 8 August 2021).</w:t>
      </w:r>
    </w:p>
    <w:p w14:paraId="38400109"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rPr>
        <w:t xml:space="preserve">Department for Education (2021) </w:t>
      </w:r>
      <w:r w:rsidRPr="007356E2">
        <w:rPr>
          <w:rFonts w:ascii="Arial" w:hAnsi="Arial" w:cs="Arial"/>
          <w:i/>
          <w:iCs/>
          <w:sz w:val="24"/>
          <w:szCs w:val="24"/>
        </w:rPr>
        <w:t>Keeping children safe in education.</w:t>
      </w:r>
      <w:r w:rsidRPr="007356E2">
        <w:rPr>
          <w:rFonts w:ascii="Arial" w:hAnsi="Arial" w:cs="Arial"/>
          <w:sz w:val="24"/>
          <w:szCs w:val="24"/>
        </w:rPr>
        <w:t xml:space="preserve"> Available at: </w:t>
      </w:r>
      <w:hyperlink r:id="rId14" w:history="1">
        <w:r w:rsidRPr="007356E2">
          <w:rPr>
            <w:rFonts w:ascii="Arial" w:hAnsi="Arial" w:cs="Arial"/>
            <w:color w:val="0563C1" w:themeColor="hyperlink"/>
            <w:sz w:val="24"/>
            <w:szCs w:val="24"/>
            <w:u w:val="single"/>
          </w:rPr>
          <w:t>https://assets.publishing.service.gov.uk/government/uploads/system/uploads/attachment_data/file/954314/Keeping_children_safe_in_education_2020_-_Update_-_January_2021.pdf</w:t>
        </w:r>
      </w:hyperlink>
      <w:r w:rsidRPr="007356E2">
        <w:rPr>
          <w:rFonts w:ascii="Arial" w:hAnsi="Arial" w:cs="Arial"/>
          <w:sz w:val="24"/>
          <w:szCs w:val="24"/>
        </w:rPr>
        <w:t xml:space="preserve"> (Accessed: 20 August 2021).</w:t>
      </w:r>
    </w:p>
    <w:p w14:paraId="0A74754A"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i/>
          <w:iCs/>
          <w:sz w:val="24"/>
          <w:szCs w:val="24"/>
        </w:rPr>
        <w:t>Education Act 2002</w:t>
      </w:r>
      <w:r w:rsidRPr="007356E2">
        <w:rPr>
          <w:rFonts w:ascii="Arial" w:hAnsi="Arial" w:cs="Arial"/>
          <w:sz w:val="24"/>
          <w:szCs w:val="24"/>
        </w:rPr>
        <w:t xml:space="preserve"> Available at: </w:t>
      </w:r>
      <w:hyperlink r:id="rId15" w:history="1">
        <w:r w:rsidRPr="007356E2">
          <w:rPr>
            <w:rFonts w:ascii="Arial" w:hAnsi="Arial" w:cs="Arial"/>
            <w:color w:val="0563C1" w:themeColor="hyperlink"/>
            <w:sz w:val="24"/>
            <w:szCs w:val="24"/>
            <w:u w:val="single"/>
          </w:rPr>
          <w:t>https://www.legislation.gov.uk/ukpga/2010/15/contents</w:t>
        </w:r>
      </w:hyperlink>
      <w:r w:rsidRPr="007356E2">
        <w:rPr>
          <w:rFonts w:ascii="Arial" w:hAnsi="Arial" w:cs="Arial"/>
          <w:sz w:val="24"/>
          <w:szCs w:val="24"/>
        </w:rPr>
        <w:t xml:space="preserve"> (Accessed: 20 August 2021).</w:t>
      </w:r>
    </w:p>
    <w:p w14:paraId="30C44225"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i/>
          <w:iCs/>
          <w:sz w:val="24"/>
          <w:szCs w:val="24"/>
        </w:rPr>
        <w:t xml:space="preserve">Equality Act  2010 </w:t>
      </w:r>
      <w:r w:rsidRPr="007356E2">
        <w:rPr>
          <w:rFonts w:ascii="Arial" w:hAnsi="Arial" w:cs="Arial"/>
          <w:sz w:val="24"/>
          <w:szCs w:val="24"/>
        </w:rPr>
        <w:t xml:space="preserve">Available at: </w:t>
      </w:r>
      <w:hyperlink r:id="rId16" w:history="1">
        <w:r w:rsidRPr="007356E2">
          <w:rPr>
            <w:rFonts w:ascii="Arial" w:hAnsi="Arial" w:cs="Arial"/>
            <w:color w:val="0563C1" w:themeColor="hyperlink"/>
            <w:sz w:val="24"/>
            <w:szCs w:val="24"/>
            <w:u w:val="single"/>
          </w:rPr>
          <w:t>https://www.legislation.gov.uk/ukpga/2010/15/contents</w:t>
        </w:r>
      </w:hyperlink>
      <w:r w:rsidRPr="007356E2">
        <w:rPr>
          <w:rFonts w:ascii="Arial" w:hAnsi="Arial" w:cs="Arial"/>
          <w:sz w:val="24"/>
          <w:szCs w:val="24"/>
        </w:rPr>
        <w:t xml:space="preserve"> (Accessed: 20 August 2021).</w:t>
      </w:r>
    </w:p>
    <w:p w14:paraId="742A49FF" w14:textId="77777777" w:rsidR="007356E2" w:rsidRPr="007356E2" w:rsidRDefault="007356E2" w:rsidP="007356E2">
      <w:pPr>
        <w:spacing w:after="0" w:line="360" w:lineRule="auto"/>
        <w:rPr>
          <w:rFonts w:ascii="Arial" w:hAnsi="Arial" w:cs="Arial"/>
          <w:sz w:val="24"/>
          <w:szCs w:val="24"/>
        </w:rPr>
      </w:pPr>
    </w:p>
    <w:p w14:paraId="1565C38F" w14:textId="77777777" w:rsidR="007356E2" w:rsidRPr="007356E2" w:rsidRDefault="007356E2" w:rsidP="007356E2">
      <w:pPr>
        <w:spacing w:after="0" w:line="360" w:lineRule="auto"/>
        <w:rPr>
          <w:rFonts w:ascii="Arial" w:hAnsi="Arial" w:cs="Arial"/>
          <w:sz w:val="24"/>
          <w:szCs w:val="24"/>
        </w:rPr>
      </w:pPr>
    </w:p>
    <w:p w14:paraId="7C0C0B9A" w14:textId="77777777" w:rsidR="007356E2" w:rsidRPr="007356E2" w:rsidRDefault="007356E2" w:rsidP="007356E2">
      <w:pPr>
        <w:spacing w:after="0" w:line="360" w:lineRule="auto"/>
        <w:rPr>
          <w:rFonts w:ascii="Arial" w:hAnsi="Arial" w:cs="Arial"/>
          <w:sz w:val="24"/>
          <w:szCs w:val="24"/>
        </w:rPr>
      </w:pPr>
    </w:p>
    <w:p w14:paraId="75261E29" w14:textId="77777777" w:rsidR="007356E2" w:rsidRPr="007356E2" w:rsidRDefault="007356E2" w:rsidP="007356E2">
      <w:pPr>
        <w:spacing w:after="0" w:line="360" w:lineRule="auto"/>
        <w:rPr>
          <w:rFonts w:ascii="Arial" w:hAnsi="Arial" w:cs="Arial"/>
          <w:sz w:val="24"/>
          <w:szCs w:val="24"/>
        </w:rPr>
      </w:pPr>
    </w:p>
    <w:p w14:paraId="525FF79D"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rPr>
        <w:t xml:space="preserve">GOV.UK (2014) </w:t>
      </w:r>
      <w:r w:rsidRPr="007356E2">
        <w:rPr>
          <w:rFonts w:ascii="Arial" w:hAnsi="Arial" w:cs="Arial"/>
          <w:i/>
          <w:sz w:val="24"/>
          <w:szCs w:val="24"/>
        </w:rPr>
        <w:t>Troubled families: Stockport</w:t>
      </w:r>
      <w:r w:rsidRPr="007356E2">
        <w:rPr>
          <w:rFonts w:ascii="Arial" w:hAnsi="Arial" w:cs="Arial"/>
          <w:sz w:val="24"/>
          <w:szCs w:val="24"/>
        </w:rPr>
        <w:t xml:space="preserve">. Available at: </w:t>
      </w:r>
      <w:hyperlink r:id="rId17" w:history="1">
        <w:r w:rsidRPr="007356E2">
          <w:rPr>
            <w:rFonts w:ascii="Arial" w:hAnsi="Arial" w:cs="Arial"/>
            <w:color w:val="0563C1" w:themeColor="hyperlink"/>
            <w:sz w:val="24"/>
            <w:szCs w:val="24"/>
            <w:u w:val="single"/>
          </w:rPr>
          <w:t>https://www.gov.uk/government/case-studies/troubled-families-stockport</w:t>
        </w:r>
      </w:hyperlink>
      <w:r w:rsidRPr="007356E2">
        <w:rPr>
          <w:rFonts w:ascii="Arial" w:hAnsi="Arial" w:cs="Arial"/>
          <w:sz w:val="24"/>
          <w:szCs w:val="24"/>
        </w:rPr>
        <w:t xml:space="preserve"> (Accessed: 5 August 2021).</w:t>
      </w:r>
    </w:p>
    <w:p w14:paraId="46AB3174"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rPr>
        <w:t xml:space="preserve">Lindon, J. and Webb, J. (2016) </w:t>
      </w:r>
      <w:r w:rsidRPr="007356E2">
        <w:rPr>
          <w:rFonts w:ascii="Arial" w:hAnsi="Arial" w:cs="Arial"/>
          <w:i/>
          <w:iCs/>
          <w:sz w:val="24"/>
          <w:szCs w:val="24"/>
        </w:rPr>
        <w:t>Safeguarding and Child Protection</w:t>
      </w:r>
      <w:r w:rsidRPr="007356E2">
        <w:rPr>
          <w:rFonts w:ascii="Arial" w:hAnsi="Arial" w:cs="Arial"/>
          <w:sz w:val="24"/>
          <w:szCs w:val="24"/>
        </w:rPr>
        <w:t>. 5</w:t>
      </w:r>
      <w:r w:rsidRPr="007356E2">
        <w:rPr>
          <w:rFonts w:ascii="Arial" w:hAnsi="Arial" w:cs="Arial"/>
          <w:sz w:val="24"/>
          <w:szCs w:val="24"/>
          <w:vertAlign w:val="superscript"/>
        </w:rPr>
        <w:t>th</w:t>
      </w:r>
      <w:r w:rsidRPr="007356E2">
        <w:rPr>
          <w:rFonts w:ascii="Arial" w:hAnsi="Arial" w:cs="Arial"/>
          <w:sz w:val="24"/>
          <w:szCs w:val="24"/>
        </w:rPr>
        <w:t xml:space="preserve"> edn. London: Hodder Education.</w:t>
      </w:r>
    </w:p>
    <w:p w14:paraId="30950CCD"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rPr>
        <w:t xml:space="preserve">Local Government Association (2017) </w:t>
      </w:r>
      <w:r w:rsidRPr="007356E2">
        <w:rPr>
          <w:rFonts w:ascii="Arial" w:hAnsi="Arial" w:cs="Arial"/>
          <w:i/>
          <w:iCs/>
          <w:sz w:val="24"/>
          <w:szCs w:val="24"/>
        </w:rPr>
        <w:t>Get in on the Act: Children and Social Work Act 2017</w:t>
      </w:r>
      <w:r w:rsidRPr="007356E2">
        <w:rPr>
          <w:rFonts w:ascii="Arial" w:hAnsi="Arial" w:cs="Arial"/>
          <w:sz w:val="24"/>
          <w:szCs w:val="24"/>
        </w:rPr>
        <w:t xml:space="preserve">. Available at: </w:t>
      </w:r>
      <w:hyperlink r:id="rId18" w:history="1">
        <w:r w:rsidRPr="007356E2">
          <w:rPr>
            <w:rFonts w:ascii="Arial" w:hAnsi="Arial" w:cs="Arial"/>
            <w:color w:val="0563C1" w:themeColor="hyperlink"/>
            <w:sz w:val="24"/>
            <w:szCs w:val="24"/>
            <w:u w:val="single"/>
          </w:rPr>
          <w:t>https://www.basw.co.uk/system/files/resources/basw_55051-7_0.pdf</w:t>
        </w:r>
      </w:hyperlink>
      <w:r w:rsidRPr="007356E2">
        <w:rPr>
          <w:rFonts w:ascii="Arial" w:hAnsi="Arial" w:cs="Arial"/>
          <w:sz w:val="24"/>
          <w:szCs w:val="24"/>
        </w:rPr>
        <w:t xml:space="preserve"> (Accessed: 20 August 2021).</w:t>
      </w:r>
    </w:p>
    <w:p w14:paraId="6118F042"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rPr>
        <w:t xml:space="preserve">HM Government (2018) </w:t>
      </w:r>
      <w:r w:rsidRPr="007356E2">
        <w:rPr>
          <w:rFonts w:ascii="Arial" w:hAnsi="Arial" w:cs="Arial"/>
          <w:i/>
          <w:sz w:val="24"/>
          <w:szCs w:val="24"/>
        </w:rPr>
        <w:t>Working together to safeguard children</w:t>
      </w:r>
      <w:r w:rsidRPr="007356E2">
        <w:rPr>
          <w:rFonts w:ascii="Arial" w:hAnsi="Arial" w:cs="Arial"/>
          <w:sz w:val="24"/>
          <w:szCs w:val="24"/>
        </w:rPr>
        <w:t xml:space="preserve">. Available at: </w:t>
      </w:r>
      <w:hyperlink r:id="rId19" w:history="1">
        <w:r w:rsidRPr="007356E2">
          <w:rPr>
            <w:rFonts w:ascii="Arial" w:hAnsi="Arial" w:cs="Arial"/>
            <w:color w:val="0563C1" w:themeColor="hyperlink"/>
            <w:sz w:val="24"/>
            <w:szCs w:val="24"/>
            <w:u w:val="single"/>
          </w:rPr>
          <w:t>https://assets.publishing.service.gov.uk/government/uploads/system/uploads/attachment_data/file/942454/Working_together_to_safeguard_children_inter_agency_guidance.pdf</w:t>
        </w:r>
      </w:hyperlink>
      <w:r w:rsidRPr="007356E2">
        <w:rPr>
          <w:rFonts w:ascii="Arial" w:hAnsi="Arial" w:cs="Arial"/>
          <w:sz w:val="24"/>
          <w:szCs w:val="24"/>
        </w:rPr>
        <w:t xml:space="preserve"> ( Accessed: 8 August 2021). </w:t>
      </w:r>
    </w:p>
    <w:p w14:paraId="14C60160"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rPr>
        <w:t xml:space="preserve">HMIC (2015) </w:t>
      </w:r>
      <w:r w:rsidRPr="007356E2">
        <w:rPr>
          <w:rFonts w:ascii="Arial" w:hAnsi="Arial" w:cs="Arial"/>
          <w:i/>
          <w:iCs/>
          <w:sz w:val="24"/>
          <w:szCs w:val="24"/>
        </w:rPr>
        <w:t>In harm’s way: The role of the police in keeping children safe.</w:t>
      </w:r>
      <w:r w:rsidRPr="007356E2">
        <w:rPr>
          <w:rFonts w:ascii="Arial" w:hAnsi="Arial" w:cs="Arial"/>
          <w:sz w:val="24"/>
          <w:szCs w:val="24"/>
        </w:rPr>
        <w:t xml:space="preserve"> Available at: </w:t>
      </w:r>
      <w:hyperlink r:id="rId20" w:history="1">
        <w:r w:rsidRPr="007356E2">
          <w:rPr>
            <w:rFonts w:ascii="Arial" w:hAnsi="Arial" w:cs="Arial"/>
            <w:color w:val="0563C1" w:themeColor="hyperlink"/>
            <w:sz w:val="24"/>
            <w:szCs w:val="24"/>
            <w:u w:val="single"/>
          </w:rPr>
          <w:t>https://www.justiceinspectorates.gov.uk/hmicfrs/wp-content/uploads/in-harms-way.pdf</w:t>
        </w:r>
      </w:hyperlink>
      <w:r w:rsidRPr="007356E2">
        <w:rPr>
          <w:rFonts w:ascii="Arial" w:hAnsi="Arial" w:cs="Arial"/>
          <w:sz w:val="24"/>
          <w:szCs w:val="24"/>
        </w:rPr>
        <w:t xml:space="preserve"> (Accessed: 20 August 2021).</w:t>
      </w:r>
    </w:p>
    <w:p w14:paraId="0B2F7AD9"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rPr>
        <w:t xml:space="preserve">Ministry of Housing, Communities &amp; Local Government (2020) </w:t>
      </w:r>
      <w:r w:rsidRPr="007356E2">
        <w:rPr>
          <w:rFonts w:ascii="Arial" w:hAnsi="Arial" w:cs="Arial"/>
          <w:i/>
          <w:iCs/>
          <w:sz w:val="24"/>
          <w:szCs w:val="24"/>
        </w:rPr>
        <w:t xml:space="preserve">Early Help System Guide. </w:t>
      </w:r>
      <w:r w:rsidRPr="007356E2">
        <w:rPr>
          <w:rFonts w:ascii="Arial" w:hAnsi="Arial" w:cs="Arial"/>
          <w:sz w:val="24"/>
          <w:szCs w:val="24"/>
        </w:rPr>
        <w:t xml:space="preserve">Available at: </w:t>
      </w:r>
      <w:hyperlink r:id="rId21" w:history="1">
        <w:r w:rsidRPr="007356E2">
          <w:rPr>
            <w:rFonts w:ascii="Arial" w:hAnsi="Arial" w:cs="Arial"/>
            <w:color w:val="0563C1" w:themeColor="hyperlink"/>
            <w:sz w:val="24"/>
            <w:szCs w:val="24"/>
            <w:u w:val="single"/>
          </w:rPr>
          <w:t>https://assets.publishing.service.gov.uk/government/uploads/system/uploads/attachment_data/file/878994/TF_Early_Help_System_April_2020.pdf</w:t>
        </w:r>
      </w:hyperlink>
      <w:r w:rsidRPr="007356E2">
        <w:rPr>
          <w:rFonts w:ascii="Arial" w:hAnsi="Arial" w:cs="Arial"/>
          <w:sz w:val="24"/>
          <w:szCs w:val="24"/>
        </w:rPr>
        <w:t xml:space="preserve"> (Accessed: 20 August 2021).</w:t>
      </w:r>
    </w:p>
    <w:p w14:paraId="3788886F"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rPr>
        <w:t xml:space="preserve">NHS (2021) </w:t>
      </w:r>
      <w:r w:rsidRPr="007356E2">
        <w:rPr>
          <w:rFonts w:ascii="Arial" w:hAnsi="Arial" w:cs="Arial"/>
          <w:i/>
          <w:iCs/>
          <w:sz w:val="24"/>
          <w:szCs w:val="24"/>
        </w:rPr>
        <w:t>Being a young carer: your rights</w:t>
      </w:r>
      <w:r w:rsidRPr="007356E2">
        <w:rPr>
          <w:rFonts w:ascii="Arial" w:hAnsi="Arial" w:cs="Arial"/>
          <w:sz w:val="24"/>
          <w:szCs w:val="24"/>
        </w:rPr>
        <w:t xml:space="preserve">. Available at: </w:t>
      </w:r>
      <w:hyperlink r:id="rId22" w:history="1">
        <w:r w:rsidRPr="007356E2">
          <w:rPr>
            <w:rFonts w:ascii="Arial" w:hAnsi="Arial" w:cs="Arial"/>
            <w:color w:val="0563C1" w:themeColor="hyperlink"/>
            <w:sz w:val="24"/>
            <w:szCs w:val="24"/>
            <w:u w:val="single"/>
          </w:rPr>
          <w:t>https://www.nhs.uk/conditions/social-care-and-support-guide/support-and-benefits-for-carers/being-a-young-carer-your-rights/</w:t>
        </w:r>
      </w:hyperlink>
      <w:r w:rsidRPr="007356E2">
        <w:rPr>
          <w:rFonts w:ascii="Arial" w:hAnsi="Arial" w:cs="Arial"/>
          <w:sz w:val="24"/>
          <w:szCs w:val="24"/>
        </w:rPr>
        <w:t xml:space="preserve"> (Accessed: 20 August 2021).</w:t>
      </w:r>
    </w:p>
    <w:p w14:paraId="0BE6ED9C"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rPr>
        <w:t xml:space="preserve">NSPCC (2020) </w:t>
      </w:r>
      <w:r w:rsidRPr="007356E2">
        <w:rPr>
          <w:rFonts w:ascii="Arial" w:hAnsi="Arial" w:cs="Arial"/>
          <w:i/>
          <w:sz w:val="24"/>
          <w:szCs w:val="24"/>
        </w:rPr>
        <w:t>Statistics briefing: child deaths due to abuse or neglect</w:t>
      </w:r>
      <w:r w:rsidRPr="007356E2">
        <w:rPr>
          <w:rFonts w:ascii="Arial" w:hAnsi="Arial" w:cs="Arial"/>
          <w:sz w:val="24"/>
          <w:szCs w:val="24"/>
        </w:rPr>
        <w:t xml:space="preserve">. Available at: </w:t>
      </w:r>
      <w:hyperlink r:id="rId23" w:history="1">
        <w:r w:rsidRPr="007356E2">
          <w:rPr>
            <w:rFonts w:ascii="Arial" w:hAnsi="Arial" w:cs="Arial"/>
            <w:color w:val="0563C1" w:themeColor="hyperlink"/>
            <w:sz w:val="24"/>
            <w:szCs w:val="24"/>
            <w:u w:val="single"/>
          </w:rPr>
          <w:t>https://moodle.uwtsd.ac.uk/pluginfile.php/508201/mod_resource/content/1/statistics-briefing-child-deaths-abuse-neglect.pdf?redirect=1</w:t>
        </w:r>
      </w:hyperlink>
      <w:r w:rsidRPr="007356E2">
        <w:rPr>
          <w:rFonts w:ascii="Arial" w:hAnsi="Arial" w:cs="Arial"/>
          <w:sz w:val="24"/>
          <w:szCs w:val="24"/>
        </w:rPr>
        <w:t xml:space="preserve"> (Accessed: 5 August 2021).</w:t>
      </w:r>
    </w:p>
    <w:p w14:paraId="353620A3"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rPr>
        <w:t xml:space="preserve">NSPCC (2021) </w:t>
      </w:r>
      <w:r w:rsidRPr="007356E2">
        <w:rPr>
          <w:rFonts w:ascii="Arial" w:hAnsi="Arial" w:cs="Arial"/>
          <w:i/>
          <w:sz w:val="24"/>
          <w:szCs w:val="24"/>
        </w:rPr>
        <w:t>Parental substance misuse</w:t>
      </w:r>
      <w:r w:rsidRPr="007356E2">
        <w:rPr>
          <w:rFonts w:ascii="Arial" w:hAnsi="Arial" w:cs="Arial"/>
          <w:sz w:val="24"/>
          <w:szCs w:val="24"/>
        </w:rPr>
        <w:t xml:space="preserve">. Available at: </w:t>
      </w:r>
      <w:hyperlink r:id="rId24" w:history="1">
        <w:r w:rsidRPr="007356E2">
          <w:rPr>
            <w:rFonts w:ascii="Arial" w:hAnsi="Arial" w:cs="Arial"/>
            <w:color w:val="0563C1" w:themeColor="hyperlink"/>
            <w:sz w:val="24"/>
            <w:szCs w:val="24"/>
            <w:u w:val="single"/>
          </w:rPr>
          <w:t>https://learning.nspcc.org.uk/children-and-families-at-risk/parental-substance-misuse</w:t>
        </w:r>
      </w:hyperlink>
      <w:r w:rsidRPr="007356E2">
        <w:rPr>
          <w:rFonts w:ascii="Arial" w:hAnsi="Arial" w:cs="Arial"/>
          <w:sz w:val="24"/>
          <w:szCs w:val="24"/>
        </w:rPr>
        <w:t xml:space="preserve">  (Accessed: 6 August).</w:t>
      </w:r>
    </w:p>
    <w:p w14:paraId="788ED212" w14:textId="77777777" w:rsidR="007356E2" w:rsidRPr="007356E2" w:rsidRDefault="007356E2" w:rsidP="007356E2">
      <w:pPr>
        <w:spacing w:after="0" w:line="360" w:lineRule="auto"/>
        <w:rPr>
          <w:rFonts w:ascii="Arial" w:hAnsi="Arial" w:cs="Arial"/>
          <w:sz w:val="24"/>
          <w:szCs w:val="24"/>
        </w:rPr>
      </w:pPr>
    </w:p>
    <w:p w14:paraId="1A1DF9F9" w14:textId="77777777" w:rsidR="007356E2" w:rsidRPr="007356E2" w:rsidRDefault="007356E2" w:rsidP="007356E2">
      <w:pPr>
        <w:spacing w:after="0" w:line="360" w:lineRule="auto"/>
        <w:rPr>
          <w:rFonts w:ascii="Arial" w:hAnsi="Arial" w:cs="Arial"/>
          <w:sz w:val="24"/>
          <w:szCs w:val="24"/>
        </w:rPr>
      </w:pPr>
    </w:p>
    <w:p w14:paraId="0B0B7BA2"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rPr>
        <w:t xml:space="preserve">Public Health England (2018) </w:t>
      </w:r>
      <w:r w:rsidRPr="007356E2">
        <w:rPr>
          <w:rFonts w:ascii="Arial" w:hAnsi="Arial" w:cs="Arial"/>
          <w:i/>
          <w:sz w:val="24"/>
          <w:szCs w:val="24"/>
        </w:rPr>
        <w:t>Safeguarding and promoting the welfare of children affected by parental alcohol and drugs use: a guide for local authorities</w:t>
      </w:r>
      <w:r w:rsidRPr="007356E2">
        <w:rPr>
          <w:rFonts w:ascii="Arial" w:hAnsi="Arial" w:cs="Arial"/>
          <w:sz w:val="24"/>
          <w:szCs w:val="24"/>
        </w:rPr>
        <w:t>. Available at:</w:t>
      </w:r>
    </w:p>
    <w:p w14:paraId="5292B5D7"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rPr>
        <w:t xml:space="preserve"> </w:t>
      </w:r>
      <w:hyperlink r:id="rId25" w:history="1">
        <w:r w:rsidRPr="007356E2">
          <w:rPr>
            <w:rFonts w:ascii="Arial" w:hAnsi="Arial" w:cs="Arial"/>
            <w:color w:val="0563C1" w:themeColor="hyperlink"/>
            <w:sz w:val="24"/>
            <w:szCs w:val="24"/>
            <w:u w:val="single"/>
          </w:rPr>
          <w:t>https://www.gov.uk/government/publications/safeguarding-children-affected-by-parental-alcohol-and-drug-use/safeguarding-and-promoting-the-welfare-of-children-affected-by-parental-alcohol-and-drug-use-a-guide-for-local-authorities</w:t>
        </w:r>
      </w:hyperlink>
      <w:r w:rsidRPr="007356E2">
        <w:rPr>
          <w:rFonts w:ascii="Arial" w:hAnsi="Arial" w:cs="Arial"/>
          <w:sz w:val="24"/>
          <w:szCs w:val="24"/>
        </w:rPr>
        <w:t xml:space="preserve"> (Accessed: 15 August 2021). </w:t>
      </w:r>
    </w:p>
    <w:p w14:paraId="6156D797"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rPr>
        <w:t>Safeguarding Children in Stockport (2019) available at:</w:t>
      </w:r>
    </w:p>
    <w:p w14:paraId="5B999791" w14:textId="77777777" w:rsidR="007356E2" w:rsidRPr="007356E2" w:rsidRDefault="00A55A3B" w:rsidP="007356E2">
      <w:pPr>
        <w:spacing w:after="0" w:line="360" w:lineRule="auto"/>
        <w:rPr>
          <w:rFonts w:ascii="Arial" w:hAnsi="Arial" w:cs="Arial"/>
          <w:sz w:val="24"/>
          <w:szCs w:val="24"/>
        </w:rPr>
      </w:pPr>
      <w:hyperlink r:id="rId26" w:history="1">
        <w:r w:rsidR="007356E2" w:rsidRPr="007356E2">
          <w:rPr>
            <w:rFonts w:ascii="Arial" w:hAnsi="Arial" w:cs="Arial"/>
            <w:color w:val="0563C1" w:themeColor="hyperlink"/>
            <w:sz w:val="24"/>
            <w:szCs w:val="24"/>
            <w:u w:val="single"/>
          </w:rPr>
          <w:t>http://www.safeguardingchildreninstockport.org.uk/about-us/</w:t>
        </w:r>
      </w:hyperlink>
      <w:r w:rsidR="007356E2" w:rsidRPr="007356E2">
        <w:rPr>
          <w:rFonts w:ascii="Arial" w:hAnsi="Arial" w:cs="Arial"/>
          <w:sz w:val="24"/>
          <w:szCs w:val="24"/>
        </w:rPr>
        <w:t xml:space="preserve"> (Accessed: 20 August 2021).</w:t>
      </w:r>
    </w:p>
    <w:p w14:paraId="2E587C1B"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rPr>
        <w:t xml:space="preserve">UNICEF (2010) </w:t>
      </w:r>
      <w:r w:rsidRPr="007356E2">
        <w:rPr>
          <w:rFonts w:ascii="Arial" w:hAnsi="Arial" w:cs="Arial"/>
          <w:i/>
          <w:sz w:val="24"/>
          <w:szCs w:val="24"/>
        </w:rPr>
        <w:t>The United National Convention on the Rights of the Children</w:t>
      </w:r>
      <w:r w:rsidRPr="007356E2">
        <w:rPr>
          <w:rFonts w:ascii="Arial" w:hAnsi="Arial" w:cs="Arial"/>
          <w:sz w:val="24"/>
          <w:szCs w:val="24"/>
        </w:rPr>
        <w:t xml:space="preserve">. Available at: </w:t>
      </w:r>
      <w:hyperlink r:id="rId27" w:history="1">
        <w:r w:rsidRPr="007356E2">
          <w:rPr>
            <w:rFonts w:ascii="Arial" w:hAnsi="Arial" w:cs="Arial"/>
            <w:color w:val="0563C1" w:themeColor="hyperlink"/>
            <w:sz w:val="24"/>
            <w:szCs w:val="24"/>
            <w:u w:val="single"/>
          </w:rPr>
          <w:t>https://downloads.unicef.org.uk/wp-content/uploads/2010/05/UNCRC_PRESS200910web.pdf?_adal_sd=www.unicef.org.uk</w:t>
        </w:r>
      </w:hyperlink>
      <w:r w:rsidRPr="007356E2">
        <w:rPr>
          <w:rFonts w:ascii="Arial" w:hAnsi="Arial" w:cs="Arial"/>
          <w:sz w:val="24"/>
          <w:szCs w:val="24"/>
        </w:rPr>
        <w:t xml:space="preserve"> (Accessed: 20 August 2021). </w:t>
      </w:r>
    </w:p>
    <w:p w14:paraId="139DD6E7" w14:textId="77777777" w:rsidR="007356E2" w:rsidRPr="007356E2" w:rsidRDefault="007356E2" w:rsidP="007356E2">
      <w:pPr>
        <w:spacing w:after="0" w:line="360" w:lineRule="auto"/>
        <w:rPr>
          <w:rFonts w:ascii="Arial" w:hAnsi="Arial" w:cs="Arial"/>
          <w:sz w:val="24"/>
          <w:szCs w:val="24"/>
        </w:rPr>
      </w:pPr>
      <w:r w:rsidRPr="007356E2">
        <w:rPr>
          <w:rFonts w:ascii="Arial" w:hAnsi="Arial" w:cs="Arial"/>
          <w:sz w:val="24"/>
          <w:szCs w:val="24"/>
        </w:rPr>
        <w:t xml:space="preserve">UNICEF (2021) </w:t>
      </w:r>
      <w:r w:rsidRPr="007356E2">
        <w:rPr>
          <w:rFonts w:ascii="Arial" w:hAnsi="Arial" w:cs="Arial"/>
          <w:i/>
          <w:sz w:val="24"/>
          <w:szCs w:val="24"/>
        </w:rPr>
        <w:t>How We Protect Children’s Rights</w:t>
      </w:r>
      <w:r w:rsidRPr="007356E2">
        <w:rPr>
          <w:rFonts w:ascii="Arial" w:hAnsi="Arial" w:cs="Arial"/>
          <w:sz w:val="24"/>
          <w:szCs w:val="24"/>
        </w:rPr>
        <w:t>. Available at:</w:t>
      </w:r>
      <w:hyperlink r:id="rId28" w:history="1">
        <w:r w:rsidRPr="007356E2">
          <w:rPr>
            <w:rFonts w:ascii="Arial" w:hAnsi="Arial" w:cs="Arial"/>
            <w:color w:val="0563C1" w:themeColor="hyperlink"/>
            <w:sz w:val="24"/>
            <w:szCs w:val="24"/>
            <w:u w:val="single"/>
          </w:rPr>
          <w:t>https://www.unicef.org.uk/what-we-do/un-convention-child-rights/</w:t>
        </w:r>
      </w:hyperlink>
      <w:r w:rsidRPr="007356E2">
        <w:rPr>
          <w:rFonts w:ascii="Arial" w:hAnsi="Arial" w:cs="Arial"/>
          <w:sz w:val="24"/>
          <w:szCs w:val="24"/>
        </w:rPr>
        <w:t xml:space="preserve"> (Accessed: 16 August 2021).</w:t>
      </w:r>
    </w:p>
    <w:p w14:paraId="294A0D26" w14:textId="77777777" w:rsidR="007356E2" w:rsidRPr="007356E2" w:rsidRDefault="007356E2" w:rsidP="007356E2">
      <w:pPr>
        <w:spacing w:after="0" w:line="360" w:lineRule="auto"/>
        <w:rPr>
          <w:rFonts w:ascii="Arial" w:hAnsi="Arial" w:cs="Arial"/>
          <w:sz w:val="24"/>
          <w:szCs w:val="24"/>
        </w:rPr>
      </w:pPr>
    </w:p>
    <w:p w14:paraId="18E72B3F" w14:textId="77777777" w:rsidR="007356E2" w:rsidRPr="007356E2" w:rsidRDefault="007356E2" w:rsidP="007356E2">
      <w:pPr>
        <w:spacing w:after="0" w:line="360" w:lineRule="auto"/>
        <w:rPr>
          <w:rFonts w:ascii="Arial" w:hAnsi="Arial" w:cs="Arial"/>
          <w:sz w:val="24"/>
          <w:szCs w:val="24"/>
        </w:rPr>
      </w:pPr>
    </w:p>
    <w:p w14:paraId="736DF200" w14:textId="77777777" w:rsidR="00BC2BEF" w:rsidRPr="007356E2" w:rsidRDefault="00BC2BEF" w:rsidP="00BC2BEF">
      <w:pPr>
        <w:spacing w:after="0" w:line="240" w:lineRule="auto"/>
        <w:jc w:val="center"/>
        <w:rPr>
          <w:rFonts w:ascii="Arial" w:hAnsi="Arial" w:cs="Arial"/>
          <w:b/>
          <w:sz w:val="24"/>
          <w:szCs w:val="24"/>
        </w:rPr>
      </w:pPr>
    </w:p>
    <w:sectPr w:rsidR="00BC2BEF" w:rsidRPr="007356E2" w:rsidSect="00BC2BEF">
      <w:footerReference w:type="default" r:id="rId29"/>
      <w:pgSz w:w="11906" w:h="16838"/>
      <w:pgMar w:top="1440" w:right="1440" w:bottom="1440" w:left="1440" w:header="708" w:footer="708" w:gutter="0"/>
      <w:pgBorders w:display="firstPage" w:offsetFrom="page">
        <w:top w:val="dashSmallGap" w:sz="4" w:space="24" w:color="auto"/>
        <w:left w:val="dashSmallGap" w:sz="4" w:space="24" w:color="auto"/>
        <w:bottom w:val="dashSmallGap" w:sz="4" w:space="24" w:color="auto"/>
        <w:right w:val="dashSmallGap"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C1CF6" w14:textId="77777777" w:rsidR="00133E73" w:rsidRDefault="00133E73" w:rsidP="004F3FDE">
      <w:pPr>
        <w:spacing w:after="0" w:line="240" w:lineRule="auto"/>
      </w:pPr>
      <w:r>
        <w:separator/>
      </w:r>
    </w:p>
  </w:endnote>
  <w:endnote w:type="continuationSeparator" w:id="0">
    <w:p w14:paraId="2F094540" w14:textId="77777777" w:rsidR="00133E73" w:rsidRDefault="00133E73" w:rsidP="004F3FDE">
      <w:pPr>
        <w:spacing w:after="0" w:line="240" w:lineRule="auto"/>
      </w:pPr>
      <w:r>
        <w:continuationSeparator/>
      </w:r>
    </w:p>
  </w:endnote>
  <w:endnote w:type="continuationNotice" w:id="1">
    <w:p w14:paraId="2A778CB0" w14:textId="77777777" w:rsidR="00D6405E" w:rsidRDefault="00D640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8261622"/>
      <w:docPartObj>
        <w:docPartGallery w:val="Page Numbers (Bottom of Page)"/>
        <w:docPartUnique/>
      </w:docPartObj>
    </w:sdtPr>
    <w:sdtEndPr>
      <w:rPr>
        <w:noProof/>
      </w:rPr>
    </w:sdtEndPr>
    <w:sdtContent>
      <w:p w14:paraId="4BF6D5A6" w14:textId="18644D99" w:rsidR="004F3FDE" w:rsidRDefault="004F3FDE">
        <w:pPr>
          <w:pStyle w:val="Footer"/>
          <w:jc w:val="center"/>
        </w:pPr>
        <w:r>
          <w:fldChar w:fldCharType="begin"/>
        </w:r>
        <w:r>
          <w:instrText xml:space="preserve"> PAGE   \* MERGEFORMAT </w:instrText>
        </w:r>
        <w:r>
          <w:fldChar w:fldCharType="separate"/>
        </w:r>
        <w:r w:rsidR="00C8764B">
          <w:rPr>
            <w:noProof/>
          </w:rPr>
          <w:t>1</w:t>
        </w:r>
        <w:r>
          <w:rPr>
            <w:noProof/>
          </w:rPr>
          <w:fldChar w:fldCharType="end"/>
        </w:r>
      </w:p>
    </w:sdtContent>
  </w:sdt>
  <w:p w14:paraId="79621993" w14:textId="77777777" w:rsidR="004F3FDE" w:rsidRDefault="004F3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EB509" w14:textId="77777777" w:rsidR="00133E73" w:rsidRDefault="00133E73" w:rsidP="004F3FDE">
      <w:pPr>
        <w:spacing w:after="0" w:line="240" w:lineRule="auto"/>
      </w:pPr>
      <w:r>
        <w:separator/>
      </w:r>
    </w:p>
  </w:footnote>
  <w:footnote w:type="continuationSeparator" w:id="0">
    <w:p w14:paraId="69A3EB43" w14:textId="77777777" w:rsidR="00133E73" w:rsidRDefault="00133E73" w:rsidP="004F3FDE">
      <w:pPr>
        <w:spacing w:after="0" w:line="240" w:lineRule="auto"/>
      </w:pPr>
      <w:r>
        <w:continuationSeparator/>
      </w:r>
    </w:p>
  </w:footnote>
  <w:footnote w:type="continuationNotice" w:id="1">
    <w:p w14:paraId="32C5DF9C" w14:textId="77777777" w:rsidR="00D6405E" w:rsidRDefault="00D6405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0301F"/>
    <w:multiLevelType w:val="hybridMultilevel"/>
    <w:tmpl w:val="C83057B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6AF29C1"/>
    <w:multiLevelType w:val="hybridMultilevel"/>
    <w:tmpl w:val="F954B0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FDD6968"/>
    <w:multiLevelType w:val="hybridMultilevel"/>
    <w:tmpl w:val="110C7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C503CF"/>
    <w:multiLevelType w:val="hybridMultilevel"/>
    <w:tmpl w:val="95F68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525B9E"/>
    <w:multiLevelType w:val="hybridMultilevel"/>
    <w:tmpl w:val="FA3C62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9DE18CB"/>
    <w:multiLevelType w:val="hybridMultilevel"/>
    <w:tmpl w:val="D486B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68748E"/>
    <w:multiLevelType w:val="hybridMultilevel"/>
    <w:tmpl w:val="5EC04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BF0CCF"/>
    <w:multiLevelType w:val="hybridMultilevel"/>
    <w:tmpl w:val="20B8AD2C"/>
    <w:lvl w:ilvl="0" w:tplc="8D94FC70">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32693F"/>
    <w:multiLevelType w:val="hybridMultilevel"/>
    <w:tmpl w:val="C8225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847BC0"/>
    <w:multiLevelType w:val="hybridMultilevel"/>
    <w:tmpl w:val="B47C7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8968A0"/>
    <w:multiLevelType w:val="hybridMultilevel"/>
    <w:tmpl w:val="DF06A328"/>
    <w:lvl w:ilvl="0" w:tplc="08090001">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AB121B"/>
    <w:multiLevelType w:val="hybridMultilevel"/>
    <w:tmpl w:val="939A19A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1"/>
  </w:num>
  <w:num w:numId="4">
    <w:abstractNumId w:val="6"/>
  </w:num>
  <w:num w:numId="5">
    <w:abstractNumId w:val="0"/>
  </w:num>
  <w:num w:numId="6">
    <w:abstractNumId w:val="5"/>
  </w:num>
  <w:num w:numId="7">
    <w:abstractNumId w:val="9"/>
  </w:num>
  <w:num w:numId="8">
    <w:abstractNumId w:val="4"/>
  </w:num>
  <w:num w:numId="9">
    <w:abstractNumId w:val="1"/>
  </w:num>
  <w:num w:numId="10">
    <w:abstractNumId w:val="10"/>
  </w:num>
  <w:num w:numId="11">
    <w:abstractNumId w:val="8"/>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BEF"/>
    <w:rsid w:val="00024243"/>
    <w:rsid w:val="000851A9"/>
    <w:rsid w:val="000B0DE8"/>
    <w:rsid w:val="000B26AC"/>
    <w:rsid w:val="00133E73"/>
    <w:rsid w:val="0014665F"/>
    <w:rsid w:val="001975E6"/>
    <w:rsid w:val="0025607B"/>
    <w:rsid w:val="00312203"/>
    <w:rsid w:val="00345261"/>
    <w:rsid w:val="003538B6"/>
    <w:rsid w:val="003E1647"/>
    <w:rsid w:val="004B6251"/>
    <w:rsid w:val="004F3FDE"/>
    <w:rsid w:val="0050663E"/>
    <w:rsid w:val="0053128A"/>
    <w:rsid w:val="005711F1"/>
    <w:rsid w:val="005E5CFD"/>
    <w:rsid w:val="007356E2"/>
    <w:rsid w:val="00772174"/>
    <w:rsid w:val="00842C61"/>
    <w:rsid w:val="009156CD"/>
    <w:rsid w:val="00974FFE"/>
    <w:rsid w:val="009B5390"/>
    <w:rsid w:val="009F6EAA"/>
    <w:rsid w:val="00A55A3B"/>
    <w:rsid w:val="00AD3BA4"/>
    <w:rsid w:val="00BC2BEF"/>
    <w:rsid w:val="00C8764B"/>
    <w:rsid w:val="00D544A5"/>
    <w:rsid w:val="00D6405E"/>
    <w:rsid w:val="00E409C8"/>
    <w:rsid w:val="00E570B5"/>
    <w:rsid w:val="00F1652C"/>
    <w:rsid w:val="00F76727"/>
    <w:rsid w:val="00F80D4D"/>
    <w:rsid w:val="00FD5B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DE831"/>
  <w15:chartTrackingRefBased/>
  <w15:docId w15:val="{DA4AB487-D019-1048-96C7-BEE79C114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2BEF"/>
    <w:rPr>
      <w:color w:val="0563C1" w:themeColor="hyperlink"/>
      <w:u w:val="single"/>
    </w:rPr>
  </w:style>
  <w:style w:type="character" w:customStyle="1" w:styleId="UnresolvedMention1">
    <w:name w:val="Unresolved Mention1"/>
    <w:basedOn w:val="DefaultParagraphFont"/>
    <w:uiPriority w:val="99"/>
    <w:semiHidden/>
    <w:unhideWhenUsed/>
    <w:rsid w:val="00BC2BEF"/>
    <w:rPr>
      <w:color w:val="605E5C"/>
      <w:shd w:val="clear" w:color="auto" w:fill="E1DFDD"/>
    </w:rPr>
  </w:style>
  <w:style w:type="table" w:styleId="TableGrid">
    <w:name w:val="Table Grid"/>
    <w:basedOn w:val="TableNormal"/>
    <w:rsid w:val="00BC2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F3F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3FDE"/>
  </w:style>
  <w:style w:type="paragraph" w:styleId="Footer">
    <w:name w:val="footer"/>
    <w:basedOn w:val="Normal"/>
    <w:link w:val="FooterChar"/>
    <w:uiPriority w:val="99"/>
    <w:unhideWhenUsed/>
    <w:rsid w:val="004F3F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3FDE"/>
  </w:style>
  <w:style w:type="paragraph" w:styleId="NoSpacing">
    <w:name w:val="No Spacing"/>
    <w:link w:val="NoSpacingChar"/>
    <w:uiPriority w:val="1"/>
    <w:qFormat/>
    <w:rsid w:val="000B0DE8"/>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0B0DE8"/>
    <w:rPr>
      <w:rFonts w:eastAsiaTheme="minorEastAsia"/>
      <w:lang w:val="en-US" w:eastAsia="zh-CN"/>
    </w:rPr>
  </w:style>
  <w:style w:type="character" w:styleId="UnresolvedMention">
    <w:name w:val="Unresolved Mention"/>
    <w:basedOn w:val="DefaultParagraphFont"/>
    <w:uiPriority w:val="99"/>
    <w:semiHidden/>
    <w:unhideWhenUsed/>
    <w:rsid w:val="000B0DE8"/>
    <w:rPr>
      <w:color w:val="605E5C"/>
      <w:shd w:val="clear" w:color="auto" w:fill="E1DFDD"/>
    </w:rPr>
  </w:style>
  <w:style w:type="paragraph" w:styleId="ListParagraph">
    <w:name w:val="List Paragraph"/>
    <w:basedOn w:val="Normal"/>
    <w:uiPriority w:val="34"/>
    <w:qFormat/>
    <w:rsid w:val="000B0DE8"/>
    <w:pPr>
      <w:spacing w:after="0" w:line="240" w:lineRule="auto"/>
      <w:ind w:left="720"/>
      <w:contextualSpacing/>
    </w:pPr>
    <w:rPr>
      <w:sz w:val="24"/>
      <w:szCs w:val="24"/>
    </w:rPr>
  </w:style>
  <w:style w:type="character" w:styleId="FollowedHyperlink">
    <w:name w:val="FollowedHyperlink"/>
    <w:basedOn w:val="DefaultParagraphFont"/>
    <w:uiPriority w:val="99"/>
    <w:semiHidden/>
    <w:unhideWhenUsed/>
    <w:rsid w:val="000B0DE8"/>
    <w:rPr>
      <w:color w:val="954F72" w:themeColor="followedHyperlink"/>
      <w:u w:val="single"/>
    </w:rPr>
  </w:style>
  <w:style w:type="paragraph" w:styleId="BalloonText">
    <w:name w:val="Balloon Text"/>
    <w:basedOn w:val="Normal"/>
    <w:link w:val="BalloonTextChar"/>
    <w:uiPriority w:val="99"/>
    <w:semiHidden/>
    <w:unhideWhenUsed/>
    <w:rsid w:val="000B0DE8"/>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B0DE8"/>
    <w:rPr>
      <w:rFonts w:ascii="Times New Roman" w:hAnsi="Times New Roman" w:cs="Times New Roman"/>
      <w:sz w:val="18"/>
      <w:szCs w:val="18"/>
    </w:rPr>
  </w:style>
  <w:style w:type="paragraph" w:styleId="EndnoteText">
    <w:name w:val="endnote text"/>
    <w:basedOn w:val="Normal"/>
    <w:link w:val="EndnoteTextChar"/>
    <w:uiPriority w:val="99"/>
    <w:semiHidden/>
    <w:unhideWhenUsed/>
    <w:rsid w:val="000B0DE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B0DE8"/>
    <w:rPr>
      <w:sz w:val="20"/>
      <w:szCs w:val="20"/>
    </w:rPr>
  </w:style>
  <w:style w:type="character" w:styleId="EndnoteReference">
    <w:name w:val="endnote reference"/>
    <w:basedOn w:val="DefaultParagraphFont"/>
    <w:uiPriority w:val="99"/>
    <w:semiHidden/>
    <w:unhideWhenUsed/>
    <w:rsid w:val="000B0DE8"/>
    <w:rPr>
      <w:vertAlign w:val="superscript"/>
    </w:rPr>
  </w:style>
  <w:style w:type="paragraph" w:styleId="FootnoteText">
    <w:name w:val="footnote text"/>
    <w:basedOn w:val="Normal"/>
    <w:link w:val="FootnoteTextChar"/>
    <w:uiPriority w:val="99"/>
    <w:semiHidden/>
    <w:unhideWhenUsed/>
    <w:rsid w:val="000B0DE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0DE8"/>
    <w:rPr>
      <w:sz w:val="20"/>
      <w:szCs w:val="20"/>
    </w:rPr>
  </w:style>
  <w:style w:type="character" w:styleId="FootnoteReference">
    <w:name w:val="footnote reference"/>
    <w:basedOn w:val="DefaultParagraphFont"/>
    <w:uiPriority w:val="99"/>
    <w:semiHidden/>
    <w:unhideWhenUsed/>
    <w:rsid w:val="000B0DE8"/>
    <w:rPr>
      <w:vertAlign w:val="superscript"/>
    </w:rPr>
  </w:style>
  <w:style w:type="character" w:styleId="PageNumber">
    <w:name w:val="page number"/>
    <w:basedOn w:val="DefaultParagraphFont"/>
    <w:uiPriority w:val="99"/>
    <w:semiHidden/>
    <w:unhideWhenUsed/>
    <w:rsid w:val="000B0D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451597">
      <w:bodyDiv w:val="1"/>
      <w:marLeft w:val="0"/>
      <w:marRight w:val="0"/>
      <w:marTop w:val="0"/>
      <w:marBottom w:val="0"/>
      <w:divBdr>
        <w:top w:val="none" w:sz="0" w:space="0" w:color="auto"/>
        <w:left w:val="none" w:sz="0" w:space="0" w:color="auto"/>
        <w:bottom w:val="none" w:sz="0" w:space="0" w:color="auto"/>
        <w:right w:val="none" w:sz="0" w:space="0" w:color="auto"/>
      </w:divBdr>
      <w:divsChild>
        <w:div w:id="1795171342">
          <w:marLeft w:val="0"/>
          <w:marRight w:val="0"/>
          <w:marTop w:val="0"/>
          <w:marBottom w:val="0"/>
          <w:divBdr>
            <w:top w:val="none" w:sz="0" w:space="0" w:color="auto"/>
            <w:left w:val="none" w:sz="0" w:space="0" w:color="auto"/>
            <w:bottom w:val="none" w:sz="0" w:space="0" w:color="auto"/>
            <w:right w:val="none" w:sz="0" w:space="0" w:color="auto"/>
          </w:divBdr>
          <w:divsChild>
            <w:div w:id="54371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819438">
      <w:bodyDiv w:val="1"/>
      <w:marLeft w:val="0"/>
      <w:marRight w:val="0"/>
      <w:marTop w:val="0"/>
      <w:marBottom w:val="0"/>
      <w:divBdr>
        <w:top w:val="none" w:sz="0" w:space="0" w:color="auto"/>
        <w:left w:val="none" w:sz="0" w:space="0" w:color="auto"/>
        <w:bottom w:val="none" w:sz="0" w:space="0" w:color="auto"/>
        <w:right w:val="none" w:sz="0" w:space="0" w:color="auto"/>
      </w:divBdr>
      <w:divsChild>
        <w:div w:id="1082872515">
          <w:marLeft w:val="0"/>
          <w:marRight w:val="0"/>
          <w:marTop w:val="0"/>
          <w:marBottom w:val="0"/>
          <w:divBdr>
            <w:top w:val="none" w:sz="0" w:space="0" w:color="auto"/>
            <w:left w:val="none" w:sz="0" w:space="0" w:color="auto"/>
            <w:bottom w:val="none" w:sz="0" w:space="0" w:color="auto"/>
            <w:right w:val="none" w:sz="0" w:space="0" w:color="auto"/>
          </w:divBdr>
          <w:divsChild>
            <w:div w:id="157897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04/31/section/11" TargetMode="External"/><Relationship Id="rId13" Type="http://schemas.openxmlformats.org/officeDocument/2006/relationships/hyperlink" Target="https://assets.publishing.service.gov.uk/government/uploads/system/uploads/attachment_data/file/550416/Children_Missing_Education_-_statutory_guidance.pdf" TargetMode="External"/><Relationship Id="rId18" Type="http://schemas.openxmlformats.org/officeDocument/2006/relationships/hyperlink" Target="https://www.basw.co.uk/system/files/resources/basw_55051-7_0.pdf" TargetMode="External"/><Relationship Id="rId26" Type="http://schemas.openxmlformats.org/officeDocument/2006/relationships/hyperlink" Target="http://www.safeguardingchildreninstockport.org.uk/about-us/" TargetMode="External"/><Relationship Id="rId3" Type="http://schemas.openxmlformats.org/officeDocument/2006/relationships/settings" Target="settings.xml"/><Relationship Id="rId21" Type="http://schemas.openxmlformats.org/officeDocument/2006/relationships/hyperlink" Target="https://assets.publishing.service.gov.uk/government/uploads/system/uploads/attachment_data/file/878994/TF_Early_Help_System_April_2020.pdf" TargetMode="External"/><Relationship Id="rId7" Type="http://schemas.openxmlformats.org/officeDocument/2006/relationships/image" Target="media/image1.png"/><Relationship Id="rId12" Type="http://schemas.openxmlformats.org/officeDocument/2006/relationships/hyperlink" Target="https://assets.publishing.service.gov.uk/government/uploads/system/uploads/attachment_data/file/66113/121214_Working_with_troubled_families_FINAL_v2.pdf" TargetMode="External"/><Relationship Id="rId17" Type="http://schemas.openxmlformats.org/officeDocument/2006/relationships/hyperlink" Target="https://www.gov.uk/government/case-studies/troubled-families-stockport" TargetMode="External"/><Relationship Id="rId25" Type="http://schemas.openxmlformats.org/officeDocument/2006/relationships/hyperlink" Target="https://www.gov.uk/government/publications/safeguarding-children-affected-by-parental-alcohol-and-drug-use/safeguarding-and-promoting-the-welfare-of-children-affected-by-parental-alcohol-and-drug-use-a-guide-for-local-authorities" TargetMode="External"/><Relationship Id="rId2" Type="http://schemas.openxmlformats.org/officeDocument/2006/relationships/styles" Target="styles.xml"/><Relationship Id="rId16" Type="http://schemas.openxmlformats.org/officeDocument/2006/relationships/hyperlink" Target="https://www.legislation.gov.uk/ukpga/2010/15/contents" TargetMode="External"/><Relationship Id="rId20" Type="http://schemas.openxmlformats.org/officeDocument/2006/relationships/hyperlink" Target="https://www.justiceinspectorates.gov.uk/hmicfrs/wp-content/uploads/in-harms-way.pdf"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722740/Older_children_neglect_FINAL_060718.pdf" TargetMode="External"/><Relationship Id="rId24" Type="http://schemas.openxmlformats.org/officeDocument/2006/relationships/hyperlink" Target="https://learning.nspcc.org.uk/children-and-families-at-risk/parental-substance-misuse" TargetMode="External"/><Relationship Id="rId5" Type="http://schemas.openxmlformats.org/officeDocument/2006/relationships/footnotes" Target="footnotes.xml"/><Relationship Id="rId15" Type="http://schemas.openxmlformats.org/officeDocument/2006/relationships/hyperlink" Target="https://www.legislation.gov.uk/ukpga/2010/15/contents" TargetMode="External"/><Relationship Id="rId23" Type="http://schemas.openxmlformats.org/officeDocument/2006/relationships/hyperlink" Target="https://moodle.uwtsd.ac.uk/pluginfile.php/508201/mod_resource/content/1/statistics-briefing-child-deaths-abuse-neglect.pdf?redirect=1" TargetMode="External"/><Relationship Id="rId28" Type="http://schemas.openxmlformats.org/officeDocument/2006/relationships/hyperlink" Target="https://www.unicef.org.uk/what-we-do/un-convention-child-rights/" TargetMode="External"/><Relationship Id="rId10" Type="http://schemas.openxmlformats.org/officeDocument/2006/relationships/hyperlink" Target="https://www.citizensadvice.org.uk/family/looking-after-people/local-authority-services-for-children-in-need/" TargetMode="External"/><Relationship Id="rId19" Type="http://schemas.openxmlformats.org/officeDocument/2006/relationships/hyperlink" Target="https://assets.publishing.service.gov.uk/government/uploads/system/uploads/attachment_data/file/942454/Working_together_to_safeguard_children_inter_agency_guidance.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legislation.gov.uk/ukpga/2017/16/section/8" TargetMode="External"/><Relationship Id="rId14" Type="http://schemas.openxmlformats.org/officeDocument/2006/relationships/hyperlink" Target="https://assets.publishing.service.gov.uk/government/uploads/system/uploads/attachment_data/file/954314/Keeping_children_safe_in_education_2020_-_Update_-_January_2021.pdf" TargetMode="External"/><Relationship Id="rId22" Type="http://schemas.openxmlformats.org/officeDocument/2006/relationships/hyperlink" Target="https://www.nhs.uk/conditions/social-care-and-support-guide/support-and-benefits-for-carers/being-a-young-carer-your-rights/" TargetMode="External"/><Relationship Id="rId27" Type="http://schemas.openxmlformats.org/officeDocument/2006/relationships/hyperlink" Target="https://downloads.unicef.org.uk/wp-content/uploads/2010/05/UNCRC_PRESS200910web.pdf?_adal_sd=www.unicef.org.u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3419</Words>
  <Characters>19492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Maryam Malik (1919971)</cp:lastModifiedBy>
  <cp:revision>2</cp:revision>
  <dcterms:created xsi:type="dcterms:W3CDTF">2021-08-25T22:33:00Z</dcterms:created>
  <dcterms:modified xsi:type="dcterms:W3CDTF">2021-08-25T22:33:00Z</dcterms:modified>
</cp:coreProperties>
</file>