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D8DCC9" w14:textId="091F7FD8" w:rsidR="005D16BC" w:rsidRPr="005D16BC" w:rsidRDefault="009E41D5" w:rsidP="005D16BC">
      <w:pPr>
        <w:spacing w:before="2400"/>
        <w:rPr>
          <w:b/>
          <w:bCs/>
          <w:sz w:val="36"/>
          <w:szCs w:val="36"/>
        </w:rPr>
      </w:pPr>
      <w:r>
        <w:rPr>
          <w:b/>
          <w:bCs/>
          <w:sz w:val="36"/>
          <w:szCs w:val="36"/>
        </w:rPr>
        <w:t xml:space="preserve">           </w:t>
      </w:r>
      <w:r>
        <w:rPr>
          <w:rFonts w:asciiTheme="minorBidi" w:hAnsiTheme="minorBidi"/>
          <w:noProof/>
          <w:sz w:val="24"/>
          <w:szCs w:val="24"/>
        </w:rPr>
        <w:drawing>
          <wp:inline distT="0" distB="0" distL="0" distR="0" wp14:anchorId="0968CDE9" wp14:editId="06C18866">
            <wp:extent cx="4476750" cy="1536700"/>
            <wp:effectExtent l="0" t="0" r="0" b="6350"/>
            <wp:docPr id="527614896" name="Picture 527614896"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76750" cy="1536700"/>
                    </a:xfrm>
                    <a:prstGeom prst="rect">
                      <a:avLst/>
                    </a:prstGeom>
                  </pic:spPr>
                </pic:pic>
              </a:graphicData>
            </a:graphic>
          </wp:inline>
        </w:drawing>
      </w:r>
    </w:p>
    <w:p w14:paraId="5D6124D8" w14:textId="4CA5CB3D" w:rsidR="00E171F1" w:rsidRDefault="000E4F86">
      <w:pPr>
        <w:spacing w:before="200"/>
        <w:jc w:val="center"/>
      </w:pPr>
      <w:r>
        <w:rPr>
          <w:rFonts w:ascii="Times New Roman" w:eastAsia="Times New Roman" w:hAnsi="Times New Roman" w:cs="Times New Roman"/>
          <w:sz w:val="28"/>
          <w:szCs w:val="28"/>
        </w:rPr>
        <w:t xml:space="preserve">Assessment Component 1: Portfolio </w:t>
      </w:r>
    </w:p>
    <w:p w14:paraId="72CF4A5B" w14:textId="77777777" w:rsidR="00E171F1" w:rsidRDefault="000E4F86" w:rsidP="00CB21F0">
      <w:pPr>
        <w:pStyle w:val="Title"/>
      </w:pPr>
      <w:r>
        <w:rPr>
          <w:rFonts w:eastAsia="Times New Roman"/>
        </w:rPr>
        <w:t>Stakeholder Management Plan for a Proposed New Public Park</w:t>
      </w:r>
    </w:p>
    <w:p w14:paraId="156487BD" w14:textId="77777777" w:rsidR="00E171F1" w:rsidRDefault="000E4F86">
      <w:pPr>
        <w:spacing w:before="200"/>
        <w:jc w:val="center"/>
        <w:rPr>
          <w:i/>
          <w:iCs/>
          <w:sz w:val="28"/>
          <w:szCs w:val="28"/>
        </w:rPr>
      </w:pPr>
      <w:r>
        <w:rPr>
          <w:rFonts w:ascii="Times New Roman" w:eastAsia="Times New Roman" w:hAnsi="Times New Roman" w:cs="Times New Roman"/>
          <w:i/>
          <w:iCs/>
          <w:sz w:val="28"/>
          <w:szCs w:val="28"/>
        </w:rPr>
        <w:t>Greenway Park, London Borough of Croydon</w:t>
      </w:r>
    </w:p>
    <w:p w14:paraId="235F8DAF" w14:textId="77777777" w:rsidR="008A5119" w:rsidRDefault="008A5119">
      <w:pPr>
        <w:spacing w:before="200"/>
        <w:jc w:val="center"/>
        <w:rPr>
          <w:i/>
          <w:iCs/>
          <w:sz w:val="28"/>
          <w:szCs w:val="28"/>
        </w:rPr>
      </w:pPr>
    </w:p>
    <w:p w14:paraId="5A046AD5" w14:textId="77777777" w:rsidR="008A5119" w:rsidRPr="00A11A39" w:rsidRDefault="008A5119" w:rsidP="008A5119">
      <w:pPr>
        <w:pStyle w:val="NoSpacing"/>
        <w:rPr>
          <w:rFonts w:ascii="Times New Roman" w:hAnsi="Times New Roman" w:cs="Times New Roman"/>
          <w:sz w:val="28"/>
          <w:szCs w:val="28"/>
        </w:rPr>
      </w:pPr>
      <w:r w:rsidRPr="00A11A39">
        <w:rPr>
          <w:rFonts w:ascii="Times New Roman" w:hAnsi="Times New Roman" w:cs="Times New Roman"/>
          <w:sz w:val="28"/>
          <w:szCs w:val="28"/>
        </w:rPr>
        <w:t xml:space="preserve">Name: Florian </w:t>
      </w:r>
      <w:proofErr w:type="spellStart"/>
      <w:r w:rsidRPr="00A11A39">
        <w:rPr>
          <w:rFonts w:ascii="Times New Roman" w:hAnsi="Times New Roman" w:cs="Times New Roman"/>
          <w:sz w:val="28"/>
          <w:szCs w:val="28"/>
        </w:rPr>
        <w:t>Tudic</w:t>
      </w:r>
      <w:proofErr w:type="spellEnd"/>
    </w:p>
    <w:p w14:paraId="768351EE" w14:textId="4AB88C04" w:rsidR="008A5119" w:rsidRPr="00A11A39" w:rsidRDefault="008A5119" w:rsidP="008A5119">
      <w:pPr>
        <w:pStyle w:val="NoSpacing"/>
        <w:rPr>
          <w:rFonts w:ascii="Times New Roman" w:hAnsi="Times New Roman" w:cs="Times New Roman"/>
          <w:sz w:val="28"/>
          <w:szCs w:val="28"/>
        </w:rPr>
      </w:pPr>
      <w:r w:rsidRPr="00A11A39">
        <w:rPr>
          <w:rFonts w:ascii="Times New Roman" w:hAnsi="Times New Roman" w:cs="Times New Roman"/>
          <w:sz w:val="28"/>
          <w:szCs w:val="28"/>
        </w:rPr>
        <w:t xml:space="preserve">Student ID: </w:t>
      </w:r>
      <w:r w:rsidR="00B50067">
        <w:rPr>
          <w:rFonts w:ascii="Times New Roman" w:hAnsi="Times New Roman" w:cs="Times New Roman"/>
          <w:sz w:val="28"/>
          <w:szCs w:val="28"/>
        </w:rPr>
        <w:t>2513665</w:t>
      </w:r>
    </w:p>
    <w:p w14:paraId="26EB0E86" w14:textId="383ED7F8" w:rsidR="008A5119" w:rsidRPr="00A11A39" w:rsidRDefault="008A5119" w:rsidP="008A5119">
      <w:pPr>
        <w:pStyle w:val="NoSpacing"/>
        <w:rPr>
          <w:rFonts w:ascii="Times New Roman" w:hAnsi="Times New Roman" w:cs="Times New Roman"/>
          <w:sz w:val="28"/>
          <w:szCs w:val="28"/>
        </w:rPr>
      </w:pPr>
      <w:r w:rsidRPr="00A11A39">
        <w:rPr>
          <w:rFonts w:ascii="Times New Roman" w:hAnsi="Times New Roman" w:cs="Times New Roman"/>
          <w:sz w:val="28"/>
          <w:szCs w:val="28"/>
        </w:rPr>
        <w:t>Module Code: LCBB</w:t>
      </w:r>
      <w:r w:rsidR="00B50067">
        <w:rPr>
          <w:rFonts w:ascii="Times New Roman" w:hAnsi="Times New Roman" w:cs="Times New Roman"/>
          <w:sz w:val="28"/>
          <w:szCs w:val="28"/>
        </w:rPr>
        <w:t xml:space="preserve"> 4013</w:t>
      </w:r>
    </w:p>
    <w:p w14:paraId="2298F649" w14:textId="16E15938" w:rsidR="008A5119" w:rsidRPr="00A11A39" w:rsidRDefault="008A5119" w:rsidP="008A5119">
      <w:pPr>
        <w:pStyle w:val="NoSpacing"/>
        <w:rPr>
          <w:rFonts w:ascii="Times New Roman" w:hAnsi="Times New Roman" w:cs="Times New Roman"/>
          <w:sz w:val="28"/>
          <w:szCs w:val="28"/>
        </w:rPr>
      </w:pPr>
      <w:r w:rsidRPr="00A11A39">
        <w:rPr>
          <w:rFonts w:ascii="Times New Roman" w:hAnsi="Times New Roman" w:cs="Times New Roman"/>
          <w:sz w:val="28"/>
          <w:szCs w:val="28"/>
        </w:rPr>
        <w:t>Module name</w:t>
      </w:r>
      <w:r w:rsidRPr="0095386D">
        <w:rPr>
          <w:rFonts w:ascii="Times New Roman" w:hAnsi="Times New Roman" w:cs="Times New Roman"/>
          <w:sz w:val="28"/>
          <w:szCs w:val="28"/>
        </w:rPr>
        <w:t xml:space="preserve">: </w:t>
      </w:r>
      <w:r w:rsidR="0095386D" w:rsidRPr="0095386D">
        <w:rPr>
          <w:rFonts w:ascii="Times New Roman" w:eastAsia="Times New Roman" w:hAnsi="Times New Roman" w:cs="Times New Roman"/>
          <w:sz w:val="28"/>
          <w:szCs w:val="28"/>
        </w:rPr>
        <w:t>Stakeholder Engagement</w:t>
      </w:r>
    </w:p>
    <w:p w14:paraId="612D0C8F" w14:textId="7E9F805F" w:rsidR="008A5119" w:rsidRPr="00A11A39" w:rsidRDefault="008A5119" w:rsidP="008A5119">
      <w:pPr>
        <w:pStyle w:val="NoSpacing"/>
        <w:rPr>
          <w:rFonts w:ascii="Times New Roman" w:hAnsi="Times New Roman" w:cs="Times New Roman"/>
          <w:sz w:val="28"/>
          <w:szCs w:val="28"/>
        </w:rPr>
      </w:pPr>
      <w:r w:rsidRPr="00A11A39">
        <w:rPr>
          <w:rFonts w:ascii="Times New Roman" w:hAnsi="Times New Roman" w:cs="Times New Roman"/>
          <w:sz w:val="28"/>
          <w:szCs w:val="28"/>
        </w:rPr>
        <w:t xml:space="preserve">Lecturer: </w:t>
      </w:r>
      <w:r w:rsidR="00A368D1" w:rsidRPr="00A368D1">
        <w:rPr>
          <w:rFonts w:ascii="Times New Roman" w:hAnsi="Times New Roman" w:cs="Times New Roman"/>
          <w:bCs/>
          <w:sz w:val="28"/>
          <w:szCs w:val="28"/>
        </w:rPr>
        <w:t xml:space="preserve">Zainab </w:t>
      </w:r>
      <w:r w:rsidR="00A368D1" w:rsidRPr="00A368D1">
        <w:rPr>
          <w:rFonts w:ascii="Times New Roman" w:hAnsi="Times New Roman" w:cs="Times New Roman"/>
          <w:bCs/>
          <w:spacing w:val="-4"/>
          <w:sz w:val="28"/>
          <w:szCs w:val="28"/>
        </w:rPr>
        <w:t>Atta</w:t>
      </w:r>
    </w:p>
    <w:p w14:paraId="1847B314" w14:textId="38C05AF9" w:rsidR="008A5119" w:rsidRPr="00A11A39" w:rsidRDefault="008A5119" w:rsidP="008A5119">
      <w:pPr>
        <w:pStyle w:val="NoSpacing"/>
        <w:rPr>
          <w:rFonts w:ascii="Times New Roman" w:hAnsi="Times New Roman" w:cs="Times New Roman"/>
          <w:sz w:val="28"/>
          <w:szCs w:val="28"/>
        </w:rPr>
      </w:pPr>
      <w:r>
        <w:rPr>
          <w:rFonts w:ascii="Times New Roman" w:hAnsi="Times New Roman" w:cs="Times New Roman"/>
          <w:sz w:val="28"/>
          <w:szCs w:val="28"/>
        </w:rPr>
        <w:t>Word Caunt</w:t>
      </w:r>
      <w:r w:rsidRPr="00A11A39">
        <w:rPr>
          <w:rFonts w:ascii="Times New Roman" w:hAnsi="Times New Roman" w:cs="Times New Roman"/>
          <w:sz w:val="28"/>
          <w:szCs w:val="28"/>
        </w:rPr>
        <w:t xml:space="preserve">: </w:t>
      </w:r>
      <w:r w:rsidR="00A368D1">
        <w:rPr>
          <w:rFonts w:ascii="Times New Roman" w:hAnsi="Times New Roman" w:cs="Times New Roman"/>
          <w:sz w:val="28"/>
          <w:szCs w:val="28"/>
        </w:rPr>
        <w:t>3508</w:t>
      </w:r>
    </w:p>
    <w:p w14:paraId="11ADB3AD" w14:textId="77777777" w:rsidR="008A5119" w:rsidRDefault="008A5119" w:rsidP="008A5119"/>
    <w:p w14:paraId="6AF1ED35" w14:textId="77777777" w:rsidR="008A5119" w:rsidRDefault="008A5119">
      <w:pPr>
        <w:spacing w:before="200"/>
        <w:jc w:val="center"/>
      </w:pPr>
    </w:p>
    <w:p w14:paraId="43DB9DE5" w14:textId="77777777" w:rsidR="005D16BC" w:rsidRDefault="005D16BC">
      <w:pPr>
        <w:spacing w:before="200"/>
        <w:jc w:val="center"/>
      </w:pPr>
    </w:p>
    <w:p w14:paraId="0AFDB0A8" w14:textId="77777777" w:rsidR="005D16BC" w:rsidRDefault="005D16BC">
      <w:pPr>
        <w:spacing w:before="200"/>
        <w:jc w:val="center"/>
      </w:pPr>
    </w:p>
    <w:p w14:paraId="53EB7544" w14:textId="77777777" w:rsidR="005D16BC" w:rsidRDefault="005D16BC">
      <w:pPr>
        <w:spacing w:before="200"/>
        <w:jc w:val="center"/>
      </w:pPr>
    </w:p>
    <w:p w14:paraId="65F95A1A" w14:textId="77777777" w:rsidR="005D16BC" w:rsidRDefault="005D16BC">
      <w:pPr>
        <w:spacing w:before="200"/>
        <w:jc w:val="center"/>
      </w:pPr>
    </w:p>
    <w:p w14:paraId="4F129E80" w14:textId="3FCA1557" w:rsidR="00E171F1" w:rsidRDefault="00E171F1"/>
    <w:sdt>
      <w:sdtPr>
        <w:id w:val="1887212763"/>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1E3A9C10" w14:textId="767316CB" w:rsidR="00CB21F0" w:rsidRDefault="00CB21F0">
          <w:pPr>
            <w:pStyle w:val="TOCHeading"/>
          </w:pPr>
          <w:r>
            <w:t>Contents</w:t>
          </w:r>
        </w:p>
        <w:p w14:paraId="395376C8" w14:textId="3BFFE0D6" w:rsidR="00CB21F0" w:rsidRDefault="00CB21F0">
          <w:pPr>
            <w:pStyle w:val="TOC1"/>
            <w:tabs>
              <w:tab w:val="right" w:leader="dot" w:pos="9016"/>
            </w:tabs>
            <w:rPr>
              <w:noProof/>
              <w:kern w:val="2"/>
              <w14:ligatures w14:val="standardContextual"/>
            </w:rPr>
          </w:pPr>
          <w:r>
            <w:fldChar w:fldCharType="begin"/>
          </w:r>
          <w:r>
            <w:instrText xml:space="preserve"> TOC \o "1-3" \h \z \u </w:instrText>
          </w:r>
          <w:r>
            <w:fldChar w:fldCharType="separate"/>
          </w:r>
          <w:hyperlink w:anchor="_Toc237559299" w:history="1">
            <w:r w:rsidRPr="00D22EC4">
              <w:rPr>
                <w:rStyle w:val="Hyperlink"/>
                <w:b/>
                <w:bCs/>
                <w:noProof/>
              </w:rPr>
              <w:t>Element 1: Introduction</w:t>
            </w:r>
            <w:r>
              <w:rPr>
                <w:noProof/>
                <w:webHidden/>
              </w:rPr>
              <w:tab/>
            </w:r>
            <w:r>
              <w:rPr>
                <w:noProof/>
                <w:webHidden/>
              </w:rPr>
              <w:fldChar w:fldCharType="begin"/>
            </w:r>
            <w:r>
              <w:rPr>
                <w:noProof/>
                <w:webHidden/>
              </w:rPr>
              <w:instrText xml:space="preserve"> PAGEREF _Toc237559299 \h </w:instrText>
            </w:r>
            <w:r>
              <w:rPr>
                <w:noProof/>
                <w:webHidden/>
              </w:rPr>
            </w:r>
            <w:r>
              <w:rPr>
                <w:noProof/>
                <w:webHidden/>
              </w:rPr>
              <w:fldChar w:fldCharType="separate"/>
            </w:r>
            <w:r w:rsidR="005D16BC">
              <w:rPr>
                <w:noProof/>
                <w:webHidden/>
              </w:rPr>
              <w:t>3</w:t>
            </w:r>
            <w:r>
              <w:rPr>
                <w:noProof/>
                <w:webHidden/>
              </w:rPr>
              <w:fldChar w:fldCharType="end"/>
            </w:r>
          </w:hyperlink>
        </w:p>
        <w:p w14:paraId="5200ACF9" w14:textId="49FC4088" w:rsidR="00CB21F0" w:rsidRDefault="00CB21F0">
          <w:pPr>
            <w:pStyle w:val="TOC1"/>
            <w:tabs>
              <w:tab w:val="right" w:leader="dot" w:pos="9016"/>
            </w:tabs>
            <w:rPr>
              <w:noProof/>
              <w:kern w:val="2"/>
              <w14:ligatures w14:val="standardContextual"/>
            </w:rPr>
          </w:pPr>
          <w:hyperlink w:anchor="_Toc237559300" w:history="1">
            <w:r w:rsidRPr="00D22EC4">
              <w:rPr>
                <w:rStyle w:val="Hyperlink"/>
                <w:b/>
                <w:bCs/>
                <w:noProof/>
              </w:rPr>
              <w:t>Element 2: Application – Stakeholder Engagement Strategies</w:t>
            </w:r>
            <w:r>
              <w:rPr>
                <w:noProof/>
                <w:webHidden/>
              </w:rPr>
              <w:tab/>
            </w:r>
            <w:r>
              <w:rPr>
                <w:noProof/>
                <w:webHidden/>
              </w:rPr>
              <w:fldChar w:fldCharType="begin"/>
            </w:r>
            <w:r>
              <w:rPr>
                <w:noProof/>
                <w:webHidden/>
              </w:rPr>
              <w:instrText xml:space="preserve"> PAGEREF _Toc237559300 \h </w:instrText>
            </w:r>
            <w:r>
              <w:rPr>
                <w:noProof/>
                <w:webHidden/>
              </w:rPr>
            </w:r>
            <w:r>
              <w:rPr>
                <w:noProof/>
                <w:webHidden/>
              </w:rPr>
              <w:fldChar w:fldCharType="separate"/>
            </w:r>
            <w:r w:rsidR="005D16BC">
              <w:rPr>
                <w:noProof/>
                <w:webHidden/>
              </w:rPr>
              <w:t>5</w:t>
            </w:r>
            <w:r>
              <w:rPr>
                <w:noProof/>
                <w:webHidden/>
              </w:rPr>
              <w:fldChar w:fldCharType="end"/>
            </w:r>
          </w:hyperlink>
        </w:p>
        <w:p w14:paraId="7EF8AFE2" w14:textId="79C57433" w:rsidR="00CB21F0" w:rsidRDefault="00CB21F0">
          <w:pPr>
            <w:pStyle w:val="TOC2"/>
            <w:tabs>
              <w:tab w:val="right" w:leader="dot" w:pos="9016"/>
            </w:tabs>
            <w:rPr>
              <w:noProof/>
              <w:kern w:val="2"/>
              <w14:ligatures w14:val="standardContextual"/>
            </w:rPr>
          </w:pPr>
          <w:hyperlink w:anchor="_Toc237559301" w:history="1">
            <w:r w:rsidRPr="00D22EC4">
              <w:rPr>
                <w:rStyle w:val="Hyperlink"/>
                <w:b/>
                <w:bCs/>
                <w:noProof/>
              </w:rPr>
              <w:t>2.1 Power, Influence and Interest Table</w:t>
            </w:r>
            <w:r>
              <w:rPr>
                <w:noProof/>
                <w:webHidden/>
              </w:rPr>
              <w:tab/>
            </w:r>
            <w:r>
              <w:rPr>
                <w:noProof/>
                <w:webHidden/>
              </w:rPr>
              <w:fldChar w:fldCharType="begin"/>
            </w:r>
            <w:r>
              <w:rPr>
                <w:noProof/>
                <w:webHidden/>
              </w:rPr>
              <w:instrText xml:space="preserve"> PAGEREF _Toc237559301 \h </w:instrText>
            </w:r>
            <w:r>
              <w:rPr>
                <w:noProof/>
                <w:webHidden/>
              </w:rPr>
            </w:r>
            <w:r>
              <w:rPr>
                <w:noProof/>
                <w:webHidden/>
              </w:rPr>
              <w:fldChar w:fldCharType="separate"/>
            </w:r>
            <w:r w:rsidR="005D16BC">
              <w:rPr>
                <w:noProof/>
                <w:webHidden/>
              </w:rPr>
              <w:t>5</w:t>
            </w:r>
            <w:r>
              <w:rPr>
                <w:noProof/>
                <w:webHidden/>
              </w:rPr>
              <w:fldChar w:fldCharType="end"/>
            </w:r>
          </w:hyperlink>
        </w:p>
        <w:p w14:paraId="258072BB" w14:textId="6E67D9CD" w:rsidR="00CB21F0" w:rsidRDefault="00CB21F0">
          <w:pPr>
            <w:pStyle w:val="TOC2"/>
            <w:tabs>
              <w:tab w:val="right" w:leader="dot" w:pos="9016"/>
            </w:tabs>
            <w:rPr>
              <w:noProof/>
              <w:kern w:val="2"/>
              <w14:ligatures w14:val="standardContextual"/>
            </w:rPr>
          </w:pPr>
          <w:hyperlink w:anchor="_Toc237559302" w:history="1">
            <w:r w:rsidRPr="00D22EC4">
              <w:rPr>
                <w:rStyle w:val="Hyperlink"/>
                <w:b/>
                <w:bCs/>
                <w:noProof/>
              </w:rPr>
              <w:t>2.2 Stakeholder Map and Justification</w:t>
            </w:r>
            <w:r>
              <w:rPr>
                <w:noProof/>
                <w:webHidden/>
              </w:rPr>
              <w:tab/>
            </w:r>
            <w:r>
              <w:rPr>
                <w:noProof/>
                <w:webHidden/>
              </w:rPr>
              <w:fldChar w:fldCharType="begin"/>
            </w:r>
            <w:r>
              <w:rPr>
                <w:noProof/>
                <w:webHidden/>
              </w:rPr>
              <w:instrText xml:space="preserve"> PAGEREF _Toc237559302 \h </w:instrText>
            </w:r>
            <w:r>
              <w:rPr>
                <w:noProof/>
                <w:webHidden/>
              </w:rPr>
            </w:r>
            <w:r>
              <w:rPr>
                <w:noProof/>
                <w:webHidden/>
              </w:rPr>
              <w:fldChar w:fldCharType="separate"/>
            </w:r>
            <w:r w:rsidR="005D16BC">
              <w:rPr>
                <w:noProof/>
                <w:webHidden/>
              </w:rPr>
              <w:t>6</w:t>
            </w:r>
            <w:r>
              <w:rPr>
                <w:noProof/>
                <w:webHidden/>
              </w:rPr>
              <w:fldChar w:fldCharType="end"/>
            </w:r>
          </w:hyperlink>
        </w:p>
        <w:p w14:paraId="4BBE2CB3" w14:textId="3856602F" w:rsidR="00CB21F0" w:rsidRDefault="00CB21F0">
          <w:pPr>
            <w:pStyle w:val="TOC2"/>
            <w:tabs>
              <w:tab w:val="right" w:leader="dot" w:pos="9016"/>
            </w:tabs>
            <w:rPr>
              <w:noProof/>
              <w:kern w:val="2"/>
              <w14:ligatures w14:val="standardContextual"/>
            </w:rPr>
          </w:pPr>
          <w:hyperlink w:anchor="_Toc237559303" w:history="1">
            <w:r w:rsidRPr="00D22EC4">
              <w:rPr>
                <w:rStyle w:val="Hyperlink"/>
                <w:b/>
                <w:bCs/>
                <w:noProof/>
              </w:rPr>
              <w:t>2.3 Communication and Consultation Plan</w:t>
            </w:r>
            <w:r>
              <w:rPr>
                <w:noProof/>
                <w:webHidden/>
              </w:rPr>
              <w:tab/>
            </w:r>
            <w:r>
              <w:rPr>
                <w:noProof/>
                <w:webHidden/>
              </w:rPr>
              <w:fldChar w:fldCharType="begin"/>
            </w:r>
            <w:r>
              <w:rPr>
                <w:noProof/>
                <w:webHidden/>
              </w:rPr>
              <w:instrText xml:space="preserve"> PAGEREF _Toc237559303 \h </w:instrText>
            </w:r>
            <w:r>
              <w:rPr>
                <w:noProof/>
                <w:webHidden/>
              </w:rPr>
            </w:r>
            <w:r>
              <w:rPr>
                <w:noProof/>
                <w:webHidden/>
              </w:rPr>
              <w:fldChar w:fldCharType="separate"/>
            </w:r>
            <w:r w:rsidR="005D16BC">
              <w:rPr>
                <w:noProof/>
                <w:webHidden/>
              </w:rPr>
              <w:t>7</w:t>
            </w:r>
            <w:r>
              <w:rPr>
                <w:noProof/>
                <w:webHidden/>
              </w:rPr>
              <w:fldChar w:fldCharType="end"/>
            </w:r>
          </w:hyperlink>
        </w:p>
        <w:p w14:paraId="59C5B4C7" w14:textId="07042A66" w:rsidR="00CB21F0" w:rsidRDefault="00CB21F0">
          <w:pPr>
            <w:pStyle w:val="TOC1"/>
            <w:tabs>
              <w:tab w:val="right" w:leader="dot" w:pos="9016"/>
            </w:tabs>
            <w:rPr>
              <w:noProof/>
              <w:kern w:val="2"/>
              <w14:ligatures w14:val="standardContextual"/>
            </w:rPr>
          </w:pPr>
          <w:hyperlink w:anchor="_Toc237559304" w:history="1">
            <w:r w:rsidRPr="00D22EC4">
              <w:rPr>
                <w:rStyle w:val="Hyperlink"/>
                <w:b/>
                <w:bCs/>
                <w:noProof/>
              </w:rPr>
              <w:t>Element 3: Ethical Considerations in Consultation, Participation and Feedback</w:t>
            </w:r>
            <w:r>
              <w:rPr>
                <w:noProof/>
                <w:webHidden/>
              </w:rPr>
              <w:tab/>
            </w:r>
            <w:r>
              <w:rPr>
                <w:noProof/>
                <w:webHidden/>
              </w:rPr>
              <w:fldChar w:fldCharType="begin"/>
            </w:r>
            <w:r>
              <w:rPr>
                <w:noProof/>
                <w:webHidden/>
              </w:rPr>
              <w:instrText xml:space="preserve"> PAGEREF _Toc237559304 \h </w:instrText>
            </w:r>
            <w:r>
              <w:rPr>
                <w:noProof/>
                <w:webHidden/>
              </w:rPr>
            </w:r>
            <w:r>
              <w:rPr>
                <w:noProof/>
                <w:webHidden/>
              </w:rPr>
              <w:fldChar w:fldCharType="separate"/>
            </w:r>
            <w:r w:rsidR="005D16BC">
              <w:rPr>
                <w:noProof/>
                <w:webHidden/>
              </w:rPr>
              <w:t>10</w:t>
            </w:r>
            <w:r>
              <w:rPr>
                <w:noProof/>
                <w:webHidden/>
              </w:rPr>
              <w:fldChar w:fldCharType="end"/>
            </w:r>
          </w:hyperlink>
        </w:p>
        <w:p w14:paraId="10B529C3" w14:textId="05BBA770" w:rsidR="00CB21F0" w:rsidRDefault="00CB21F0">
          <w:pPr>
            <w:pStyle w:val="TOC1"/>
            <w:tabs>
              <w:tab w:val="right" w:leader="dot" w:pos="9016"/>
            </w:tabs>
            <w:rPr>
              <w:noProof/>
              <w:kern w:val="2"/>
              <w14:ligatures w14:val="standardContextual"/>
            </w:rPr>
          </w:pPr>
          <w:hyperlink w:anchor="_Toc237559305" w:history="1">
            <w:r w:rsidRPr="00D22EC4">
              <w:rPr>
                <w:rStyle w:val="Hyperlink"/>
                <w:b/>
                <w:bCs/>
                <w:noProof/>
              </w:rPr>
              <w:t>Element 4: Conclusion and Reflection</w:t>
            </w:r>
            <w:r>
              <w:rPr>
                <w:noProof/>
                <w:webHidden/>
              </w:rPr>
              <w:tab/>
            </w:r>
            <w:r>
              <w:rPr>
                <w:noProof/>
                <w:webHidden/>
              </w:rPr>
              <w:fldChar w:fldCharType="begin"/>
            </w:r>
            <w:r>
              <w:rPr>
                <w:noProof/>
                <w:webHidden/>
              </w:rPr>
              <w:instrText xml:space="preserve"> PAGEREF _Toc237559305 \h </w:instrText>
            </w:r>
            <w:r>
              <w:rPr>
                <w:noProof/>
                <w:webHidden/>
              </w:rPr>
            </w:r>
            <w:r>
              <w:rPr>
                <w:noProof/>
                <w:webHidden/>
              </w:rPr>
              <w:fldChar w:fldCharType="separate"/>
            </w:r>
            <w:r w:rsidR="005D16BC">
              <w:rPr>
                <w:noProof/>
                <w:webHidden/>
              </w:rPr>
              <w:t>12</w:t>
            </w:r>
            <w:r>
              <w:rPr>
                <w:noProof/>
                <w:webHidden/>
              </w:rPr>
              <w:fldChar w:fldCharType="end"/>
            </w:r>
          </w:hyperlink>
        </w:p>
        <w:p w14:paraId="110FCDCC" w14:textId="7850EDBF" w:rsidR="00CB21F0" w:rsidRDefault="00CB21F0">
          <w:pPr>
            <w:pStyle w:val="TOC2"/>
            <w:tabs>
              <w:tab w:val="right" w:leader="dot" w:pos="9016"/>
            </w:tabs>
            <w:rPr>
              <w:noProof/>
              <w:kern w:val="2"/>
              <w14:ligatures w14:val="standardContextual"/>
            </w:rPr>
          </w:pPr>
          <w:hyperlink w:anchor="_Toc237559306" w:history="1">
            <w:r w:rsidRPr="00D22EC4">
              <w:rPr>
                <w:rStyle w:val="Hyperlink"/>
                <w:b/>
                <w:bCs/>
                <w:noProof/>
              </w:rPr>
              <w:t>4.1 Conclusion</w:t>
            </w:r>
            <w:r>
              <w:rPr>
                <w:noProof/>
                <w:webHidden/>
              </w:rPr>
              <w:tab/>
            </w:r>
            <w:r>
              <w:rPr>
                <w:noProof/>
                <w:webHidden/>
              </w:rPr>
              <w:fldChar w:fldCharType="begin"/>
            </w:r>
            <w:r>
              <w:rPr>
                <w:noProof/>
                <w:webHidden/>
              </w:rPr>
              <w:instrText xml:space="preserve"> PAGEREF _Toc237559306 \h </w:instrText>
            </w:r>
            <w:r>
              <w:rPr>
                <w:noProof/>
                <w:webHidden/>
              </w:rPr>
            </w:r>
            <w:r>
              <w:rPr>
                <w:noProof/>
                <w:webHidden/>
              </w:rPr>
              <w:fldChar w:fldCharType="separate"/>
            </w:r>
            <w:r w:rsidR="005D16BC">
              <w:rPr>
                <w:noProof/>
                <w:webHidden/>
              </w:rPr>
              <w:t>12</w:t>
            </w:r>
            <w:r>
              <w:rPr>
                <w:noProof/>
                <w:webHidden/>
              </w:rPr>
              <w:fldChar w:fldCharType="end"/>
            </w:r>
          </w:hyperlink>
        </w:p>
        <w:p w14:paraId="2656C82E" w14:textId="2F59B64C" w:rsidR="00CB21F0" w:rsidRDefault="00CB21F0">
          <w:pPr>
            <w:pStyle w:val="TOC2"/>
            <w:tabs>
              <w:tab w:val="right" w:leader="dot" w:pos="9016"/>
            </w:tabs>
            <w:rPr>
              <w:noProof/>
              <w:kern w:val="2"/>
              <w14:ligatures w14:val="standardContextual"/>
            </w:rPr>
          </w:pPr>
          <w:hyperlink w:anchor="_Toc237559307" w:history="1">
            <w:r w:rsidRPr="00D22EC4">
              <w:rPr>
                <w:rStyle w:val="Hyperlink"/>
                <w:b/>
                <w:bCs/>
                <w:noProof/>
              </w:rPr>
              <w:t>4.2 Reflection</w:t>
            </w:r>
            <w:r>
              <w:rPr>
                <w:noProof/>
                <w:webHidden/>
              </w:rPr>
              <w:tab/>
            </w:r>
            <w:r>
              <w:rPr>
                <w:noProof/>
                <w:webHidden/>
              </w:rPr>
              <w:fldChar w:fldCharType="begin"/>
            </w:r>
            <w:r>
              <w:rPr>
                <w:noProof/>
                <w:webHidden/>
              </w:rPr>
              <w:instrText xml:space="preserve"> PAGEREF _Toc237559307 \h </w:instrText>
            </w:r>
            <w:r>
              <w:rPr>
                <w:noProof/>
                <w:webHidden/>
              </w:rPr>
            </w:r>
            <w:r>
              <w:rPr>
                <w:noProof/>
                <w:webHidden/>
              </w:rPr>
              <w:fldChar w:fldCharType="separate"/>
            </w:r>
            <w:r w:rsidR="005D16BC">
              <w:rPr>
                <w:noProof/>
                <w:webHidden/>
              </w:rPr>
              <w:t>12</w:t>
            </w:r>
            <w:r>
              <w:rPr>
                <w:noProof/>
                <w:webHidden/>
              </w:rPr>
              <w:fldChar w:fldCharType="end"/>
            </w:r>
          </w:hyperlink>
        </w:p>
        <w:p w14:paraId="6A4A419C" w14:textId="3D6C4C19" w:rsidR="00CB21F0" w:rsidRDefault="00CB21F0">
          <w:pPr>
            <w:pStyle w:val="TOC1"/>
            <w:tabs>
              <w:tab w:val="right" w:leader="dot" w:pos="9016"/>
            </w:tabs>
            <w:rPr>
              <w:noProof/>
              <w:kern w:val="2"/>
              <w14:ligatures w14:val="standardContextual"/>
            </w:rPr>
          </w:pPr>
          <w:hyperlink w:anchor="_Toc237559308" w:history="1">
            <w:r w:rsidRPr="00D22EC4">
              <w:rPr>
                <w:rStyle w:val="Hyperlink"/>
                <w:b/>
                <w:bCs/>
                <w:noProof/>
              </w:rPr>
              <w:t>References</w:t>
            </w:r>
            <w:r>
              <w:rPr>
                <w:noProof/>
                <w:webHidden/>
              </w:rPr>
              <w:tab/>
            </w:r>
            <w:r>
              <w:rPr>
                <w:noProof/>
                <w:webHidden/>
              </w:rPr>
              <w:fldChar w:fldCharType="begin"/>
            </w:r>
            <w:r>
              <w:rPr>
                <w:noProof/>
                <w:webHidden/>
              </w:rPr>
              <w:instrText xml:space="preserve"> PAGEREF _Toc237559308 \h </w:instrText>
            </w:r>
            <w:r>
              <w:rPr>
                <w:noProof/>
                <w:webHidden/>
              </w:rPr>
            </w:r>
            <w:r>
              <w:rPr>
                <w:noProof/>
                <w:webHidden/>
              </w:rPr>
              <w:fldChar w:fldCharType="separate"/>
            </w:r>
            <w:r w:rsidR="005D16BC">
              <w:rPr>
                <w:noProof/>
                <w:webHidden/>
              </w:rPr>
              <w:t>14</w:t>
            </w:r>
            <w:r>
              <w:rPr>
                <w:noProof/>
                <w:webHidden/>
              </w:rPr>
              <w:fldChar w:fldCharType="end"/>
            </w:r>
          </w:hyperlink>
        </w:p>
        <w:p w14:paraId="4981C690" w14:textId="4396421C" w:rsidR="00CB21F0" w:rsidRDefault="00CB21F0">
          <w:r>
            <w:rPr>
              <w:b/>
              <w:bCs/>
              <w:noProof/>
            </w:rPr>
            <w:fldChar w:fldCharType="end"/>
          </w:r>
        </w:p>
      </w:sdtContent>
    </w:sdt>
    <w:p w14:paraId="3F99219C" w14:textId="77777777" w:rsidR="00CB21F0" w:rsidRDefault="00CB21F0"/>
    <w:p w14:paraId="18576CEB" w14:textId="77777777" w:rsidR="00E171F1" w:rsidRDefault="000E4F86">
      <w:pPr>
        <w:pStyle w:val="Heading1"/>
        <w:pageBreakBefore/>
        <w:spacing w:after="160" w:line="360" w:lineRule="auto"/>
      </w:pPr>
      <w:bookmarkStart w:id="0" w:name="_Toc237514478"/>
      <w:bookmarkStart w:id="1" w:name="_Toc237559299"/>
      <w:r>
        <w:rPr>
          <w:rFonts w:ascii="Times New Roman" w:eastAsia="Times New Roman" w:hAnsi="Times New Roman" w:cs="Times New Roman"/>
          <w:b/>
          <w:bCs/>
        </w:rPr>
        <w:lastRenderedPageBreak/>
        <w:t>Element 1: Introduction</w:t>
      </w:r>
      <w:bookmarkEnd w:id="0"/>
      <w:bookmarkEnd w:id="1"/>
    </w:p>
    <w:p w14:paraId="58108B79" w14:textId="3CF3B45F" w:rsidR="00024E17" w:rsidRDefault="00024E17" w:rsidP="00024E17">
      <w:pPr>
        <w:spacing w:after="120" w:line="360" w:lineRule="auto"/>
        <w:jc w:val="both"/>
      </w:pPr>
      <w:r>
        <w:t xml:space="preserve">The case study project selected as part of the portfolio is a new public park on a five hectare brownfield site in the London Borough of </w:t>
      </w:r>
      <w:proofErr w:type="spellStart"/>
      <w:r>
        <w:t>Croydon</w:t>
      </w:r>
      <w:r>
        <w:rPr>
          <w:rFonts w:ascii="MS Gothic" w:eastAsia="MS Gothic" w:hAnsi="MS Gothic" w:cs="MS Gothic" w:hint="eastAsia"/>
        </w:rPr>
        <w:t>․</w:t>
      </w:r>
      <w:r>
        <w:t>The</w:t>
      </w:r>
      <w:proofErr w:type="spellEnd"/>
      <w:r>
        <w:t xml:space="preserve"> working title of this project site is Greenway Park and consists of the transformation of a derelict brownfield site into a multi-use park including walking routes‚ play spaces‚ community allotments‚ wildflower meadow and small events pavilion</w:t>
      </w:r>
      <w:r>
        <w:rPr>
          <w:rFonts w:ascii="MS Gothic" w:eastAsia="MS Gothic" w:hAnsi="MS Gothic" w:cs="MS Gothic" w:hint="eastAsia"/>
        </w:rPr>
        <w:t>․</w:t>
      </w:r>
      <w:r>
        <w:t xml:space="preserve"> According to the borough's Open Space Strategy (Croydon Council</w:t>
      </w:r>
      <w:r>
        <w:rPr>
          <w:rFonts w:ascii="Aptos" w:hAnsi="Aptos" w:cs="Aptos"/>
        </w:rPr>
        <w:t>‚</w:t>
      </w:r>
      <w:r>
        <w:t xml:space="preserve"> 2022)</w:t>
      </w:r>
      <w:r>
        <w:rPr>
          <w:rFonts w:ascii="Aptos" w:hAnsi="Aptos" w:cs="Aptos"/>
        </w:rPr>
        <w:t>‚</w:t>
      </w:r>
      <w:r>
        <w:t xml:space="preserve"> the people living in this ward enjoy some of the lowest levels of accessible green space per head in the borough</w:t>
      </w:r>
      <w:r>
        <w:rPr>
          <w:rFonts w:ascii="Aptos" w:hAnsi="Aptos" w:cs="Aptos"/>
        </w:rPr>
        <w:t>‚</w:t>
      </w:r>
      <w:r>
        <w:t xml:space="preserve"> although the site sits within walking distance of two primary schools and a housing estate constructed over the last ten years</w:t>
      </w:r>
      <w:r>
        <w:rPr>
          <w:rFonts w:ascii="MS Gothic" w:eastAsia="MS Gothic" w:hAnsi="MS Gothic" w:cs="MS Gothic" w:hint="eastAsia"/>
        </w:rPr>
        <w:t>․</w:t>
      </w:r>
    </w:p>
    <w:p w14:paraId="0DC3854A" w14:textId="77777777" w:rsidR="00024E17" w:rsidRDefault="00024E17" w:rsidP="00024E17">
      <w:pPr>
        <w:spacing w:after="120" w:line="360" w:lineRule="auto"/>
        <w:jc w:val="both"/>
      </w:pPr>
      <w:r>
        <w:t xml:space="preserve">The project is part of a broader policy goal to build liveable‚ resilient‚ climate adapted </w:t>
      </w:r>
      <w:proofErr w:type="spellStart"/>
      <w:r>
        <w:t>neighborhoods</w:t>
      </w:r>
      <w:proofErr w:type="spellEnd"/>
      <w:r>
        <w:rPr>
          <w:rFonts w:ascii="MS Gothic" w:eastAsia="MS Gothic" w:hAnsi="MS Gothic" w:cs="MS Gothic" w:hint="eastAsia"/>
        </w:rPr>
        <w:t>․</w:t>
      </w:r>
      <w:r>
        <w:t xml:space="preserve"> Public parks support physical and mental health as well as social connections (</w:t>
      </w:r>
      <w:proofErr w:type="spellStart"/>
      <w:r>
        <w:t>Wolch</w:t>
      </w:r>
      <w:proofErr w:type="spellEnd"/>
      <w:r>
        <w:rPr>
          <w:rFonts w:ascii="Aptos" w:hAnsi="Aptos" w:cs="Aptos"/>
        </w:rPr>
        <w:t>‚</w:t>
      </w:r>
      <w:r>
        <w:t xml:space="preserve"> Byrne and Newell</w:t>
      </w:r>
      <w:r>
        <w:rPr>
          <w:rFonts w:ascii="Aptos" w:hAnsi="Aptos" w:cs="Aptos"/>
        </w:rPr>
        <w:t>‚</w:t>
      </w:r>
      <w:r>
        <w:t xml:space="preserve"> 2014)</w:t>
      </w:r>
      <w:r>
        <w:rPr>
          <w:rFonts w:ascii="MS Gothic" w:eastAsia="MS Gothic" w:hAnsi="MS Gothic" w:cs="MS Gothic" w:hint="eastAsia"/>
        </w:rPr>
        <w:t>․</w:t>
      </w:r>
      <w:r>
        <w:t xml:space="preserve"> And recent lessons from public health have reinforced how important local green space can be for residents who are unable to travel beyond their </w:t>
      </w:r>
      <w:proofErr w:type="spellStart"/>
      <w:r>
        <w:t>neighborhood</w:t>
      </w:r>
      <w:proofErr w:type="spellEnd"/>
      <w:r>
        <w:rPr>
          <w:rFonts w:ascii="MS Gothic" w:eastAsia="MS Gothic" w:hAnsi="MS Gothic" w:cs="MS Gothic" w:hint="eastAsia"/>
        </w:rPr>
        <w:t>․</w:t>
      </w:r>
      <w:r>
        <w:t xml:space="preserve"> From a planning perspective</w:t>
      </w:r>
      <w:r>
        <w:rPr>
          <w:rFonts w:ascii="Aptos" w:hAnsi="Aptos" w:cs="Aptos"/>
        </w:rPr>
        <w:t>‚</w:t>
      </w:r>
      <w:r>
        <w:t xml:space="preserve"> this also converges with the National Planning Policy Framework's goals of healthy communities and biodiversity net gain (MHCLG‚ 2023)</w:t>
      </w:r>
      <w:r>
        <w:rPr>
          <w:rFonts w:ascii="MS Gothic" w:eastAsia="MS Gothic" w:hAnsi="MS Gothic" w:cs="MS Gothic" w:hint="eastAsia"/>
        </w:rPr>
        <w:t>․</w:t>
      </w:r>
    </w:p>
    <w:p w14:paraId="20DD23AE" w14:textId="77777777" w:rsidR="00024E17" w:rsidRDefault="00024E17" w:rsidP="00024E17">
      <w:pPr>
        <w:spacing w:after="120" w:line="360" w:lineRule="auto"/>
        <w:jc w:val="both"/>
      </w:pPr>
      <w:r>
        <w:t>The following six groups have been identified as key beneficiaries:</w:t>
      </w:r>
    </w:p>
    <w:p w14:paraId="5EAE7BBD" w14:textId="77777777" w:rsidR="00024E17" w:rsidRDefault="00024E17" w:rsidP="00024E17">
      <w:pPr>
        <w:spacing w:after="120" w:line="360" w:lineRule="auto"/>
        <w:jc w:val="both"/>
      </w:pPr>
      <w:r>
        <w:t>1</w:t>
      </w:r>
      <w:r>
        <w:rPr>
          <w:rFonts w:ascii="MS Gothic" w:eastAsia="MS Gothic" w:hAnsi="MS Gothic" w:cs="MS Gothic" w:hint="eastAsia"/>
        </w:rPr>
        <w:t>․</w:t>
      </w:r>
      <w:r>
        <w:t xml:space="preserve"> Following completion of the scheme</w:t>
      </w:r>
      <w:r>
        <w:rPr>
          <w:rFonts w:ascii="Aptos" w:hAnsi="Aptos" w:cs="Aptos"/>
        </w:rPr>
        <w:t>‚</w:t>
      </w:r>
      <w:r>
        <w:t xml:space="preserve"> </w:t>
      </w:r>
      <w:proofErr w:type="gramStart"/>
      <w:r>
        <w:t>local residents</w:t>
      </w:r>
      <w:proofErr w:type="gramEnd"/>
      <w:r>
        <w:t xml:space="preserve"> from the surrounding neighbourhoods will have access to an improved safe and accessible outdoor space which may have an impact on wellbeing and physical activity</w:t>
      </w:r>
      <w:r>
        <w:rPr>
          <w:rFonts w:ascii="MS Gothic" w:eastAsia="MS Gothic" w:hAnsi="MS Gothic" w:cs="MS Gothic" w:hint="eastAsia"/>
        </w:rPr>
        <w:t>․</w:t>
      </w:r>
    </w:p>
    <w:p w14:paraId="66CDDDF8" w14:textId="77777777" w:rsidR="00024E17" w:rsidRDefault="00024E17" w:rsidP="00024E17">
      <w:pPr>
        <w:spacing w:after="120" w:line="360" w:lineRule="auto"/>
        <w:jc w:val="both"/>
      </w:pPr>
      <w:r>
        <w:t>2</w:t>
      </w:r>
      <w:r>
        <w:rPr>
          <w:rFonts w:ascii="MS Gothic" w:eastAsia="MS Gothic" w:hAnsi="MS Gothic" w:cs="MS Gothic" w:hint="eastAsia"/>
        </w:rPr>
        <w:t>․</w:t>
      </w:r>
      <w:r>
        <w:t xml:space="preserve"> Croydon Council (the local authority) whose reputational position</w:t>
      </w:r>
      <w:r>
        <w:rPr>
          <w:rFonts w:ascii="Aptos" w:hAnsi="Aptos" w:cs="Aptos"/>
        </w:rPr>
        <w:t>‚</w:t>
      </w:r>
      <w:r>
        <w:t xml:space="preserve"> along with financial position</w:t>
      </w:r>
      <w:r>
        <w:rPr>
          <w:rFonts w:ascii="Aptos" w:hAnsi="Aptos" w:cs="Aptos"/>
        </w:rPr>
        <w:t>‚</w:t>
      </w:r>
      <w:r>
        <w:t xml:space="preserve"> will benefit from implementing wider planned objectives</w:t>
      </w:r>
      <w:r>
        <w:rPr>
          <w:rFonts w:ascii="Aptos" w:hAnsi="Aptos" w:cs="Aptos"/>
        </w:rPr>
        <w:t>‚</w:t>
      </w:r>
      <w:r>
        <w:t xml:space="preserve"> and potentially a council tax uplift from the surrounding properties</w:t>
      </w:r>
      <w:r>
        <w:rPr>
          <w:rFonts w:ascii="MS Gothic" w:eastAsia="MS Gothic" w:hAnsi="MS Gothic" w:cs="MS Gothic" w:hint="eastAsia"/>
        </w:rPr>
        <w:t>․</w:t>
      </w:r>
    </w:p>
    <w:p w14:paraId="02C96AE8" w14:textId="77777777" w:rsidR="00024E17" w:rsidRDefault="00024E17" w:rsidP="00024E17">
      <w:pPr>
        <w:spacing w:after="120" w:line="360" w:lineRule="auto"/>
        <w:jc w:val="both"/>
      </w:pPr>
      <w:r>
        <w:t>3</w:t>
      </w:r>
      <w:r>
        <w:rPr>
          <w:rFonts w:ascii="MS Gothic" w:eastAsia="MS Gothic" w:hAnsi="MS Gothic" w:cs="MS Gothic" w:hint="eastAsia"/>
        </w:rPr>
        <w:t>․</w:t>
      </w:r>
      <w:r>
        <w:t xml:space="preserve"> Local schools and youth groups who will gain a local facility for outdoor learning</w:t>
      </w:r>
      <w:r>
        <w:rPr>
          <w:rFonts w:ascii="Aptos" w:hAnsi="Aptos" w:cs="Aptos"/>
        </w:rPr>
        <w:t>‚</w:t>
      </w:r>
      <w:r>
        <w:t xml:space="preserve"> physical education and after-school activity</w:t>
      </w:r>
      <w:r>
        <w:rPr>
          <w:rFonts w:ascii="MS Gothic" w:eastAsia="MS Gothic" w:hAnsi="MS Gothic" w:cs="MS Gothic" w:hint="eastAsia"/>
        </w:rPr>
        <w:t>․</w:t>
      </w:r>
    </w:p>
    <w:p w14:paraId="04170AC5" w14:textId="6C5B80DE" w:rsidR="00024E17" w:rsidRDefault="00024E17" w:rsidP="00024E17">
      <w:pPr>
        <w:spacing w:after="120" w:line="360" w:lineRule="auto"/>
        <w:jc w:val="both"/>
      </w:pPr>
      <w:r>
        <w:t>4</w:t>
      </w:r>
      <w:r>
        <w:rPr>
          <w:rFonts w:ascii="MS Gothic" w:eastAsia="MS Gothic" w:hAnsi="MS Gothic" w:cs="MS Gothic" w:hint="eastAsia"/>
        </w:rPr>
        <w:t>․</w:t>
      </w:r>
      <w:r>
        <w:t xml:space="preserve"> Environmental organisations including the London Wildlife Trust</w:t>
      </w:r>
      <w:r>
        <w:rPr>
          <w:rFonts w:ascii="Aptos" w:hAnsi="Aptos" w:cs="Aptos"/>
        </w:rPr>
        <w:t>‚</w:t>
      </w:r>
      <w:r>
        <w:t xml:space="preserve"> whose interests are served by the provision of a wildflower </w:t>
      </w:r>
      <w:proofErr w:type="spellStart"/>
      <w:r>
        <w:t>meadow</w:t>
      </w:r>
      <w:r>
        <w:rPr>
          <w:rFonts w:ascii="Aptos" w:hAnsi="Aptos" w:cs="Aptos"/>
        </w:rPr>
        <w:t>‚</w:t>
      </w:r>
      <w:r>
        <w:t>tree</w:t>
      </w:r>
      <w:proofErr w:type="spellEnd"/>
      <w:r>
        <w:t xml:space="preserve"> planting and habitat corridors</w:t>
      </w:r>
      <w:r>
        <w:rPr>
          <w:rFonts w:ascii="MS Gothic" w:eastAsia="MS Gothic" w:hAnsi="MS Gothic" w:cs="MS Gothic" w:hint="eastAsia"/>
        </w:rPr>
        <w:t>․</w:t>
      </w:r>
    </w:p>
    <w:p w14:paraId="0304DBCC" w14:textId="77777777" w:rsidR="00024E17" w:rsidRDefault="00024E17" w:rsidP="00024E17">
      <w:pPr>
        <w:spacing w:after="120" w:line="360" w:lineRule="auto"/>
        <w:jc w:val="both"/>
      </w:pPr>
      <w:r>
        <w:t>5</w:t>
      </w:r>
      <w:r>
        <w:rPr>
          <w:rFonts w:ascii="MS Gothic" w:eastAsia="MS Gothic" w:hAnsi="MS Gothic" w:cs="MS Gothic" w:hint="eastAsia"/>
        </w:rPr>
        <w:t>․</w:t>
      </w:r>
      <w:r>
        <w:t xml:space="preserve"> Local independent businesses such as caf</w:t>
      </w:r>
      <w:r>
        <w:rPr>
          <w:rFonts w:ascii="Aptos" w:hAnsi="Aptos" w:cs="Aptos"/>
        </w:rPr>
        <w:t>é</w:t>
      </w:r>
      <w:r>
        <w:t>s and convenience shops</w:t>
      </w:r>
      <w:r>
        <w:rPr>
          <w:rFonts w:ascii="Aptos" w:hAnsi="Aptos" w:cs="Aptos"/>
        </w:rPr>
        <w:t>‚</w:t>
      </w:r>
      <w:r>
        <w:t xml:space="preserve"> who are likely to benefit from increased footfall and passing trade from park users at weekends and after school</w:t>
      </w:r>
      <w:r>
        <w:rPr>
          <w:rFonts w:ascii="MS Gothic" w:eastAsia="MS Gothic" w:hAnsi="MS Gothic" w:cs="MS Gothic" w:hint="eastAsia"/>
        </w:rPr>
        <w:t>․</w:t>
      </w:r>
    </w:p>
    <w:p w14:paraId="6C70DC5E" w14:textId="77777777" w:rsidR="00024E17" w:rsidRDefault="00024E17" w:rsidP="00024E17">
      <w:pPr>
        <w:spacing w:after="120" w:line="360" w:lineRule="auto"/>
        <w:jc w:val="both"/>
      </w:pPr>
      <w:r>
        <w:t>6</w:t>
      </w:r>
      <w:r>
        <w:rPr>
          <w:rFonts w:ascii="MS Gothic" w:eastAsia="MS Gothic" w:hAnsi="MS Gothic" w:cs="MS Gothic" w:hint="eastAsia"/>
        </w:rPr>
        <w:t>․</w:t>
      </w:r>
      <w:r>
        <w:t xml:space="preserve"> Construction contractors and landscape suppliers</w:t>
      </w:r>
      <w:r>
        <w:rPr>
          <w:rFonts w:ascii="Aptos" w:hAnsi="Aptos" w:cs="Aptos"/>
        </w:rPr>
        <w:t>‚</w:t>
      </w:r>
      <w:r>
        <w:t xml:space="preserve"> who are likely to benefit through work to supply planting stock and long-term maintenance contracts</w:t>
      </w:r>
      <w:r>
        <w:rPr>
          <w:rFonts w:ascii="MS Gothic" w:eastAsia="MS Gothic" w:hAnsi="MS Gothic" w:cs="MS Gothic" w:hint="eastAsia"/>
        </w:rPr>
        <w:t>․</w:t>
      </w:r>
    </w:p>
    <w:p w14:paraId="3833E040" w14:textId="0D6BB51F" w:rsidR="00E171F1" w:rsidRDefault="00024E17" w:rsidP="00024E17">
      <w:pPr>
        <w:spacing w:after="120" w:line="360" w:lineRule="auto"/>
        <w:jc w:val="both"/>
      </w:pPr>
      <w:r>
        <w:lastRenderedPageBreak/>
        <w:t>The reason for having a structured approach to stakeholder management is that each of these groups has differing expectations‚ power‚ and levels of interest</w:t>
      </w:r>
      <w:r>
        <w:rPr>
          <w:rFonts w:ascii="MS Gothic" w:eastAsia="MS Gothic" w:hAnsi="MS Gothic" w:cs="MS Gothic" w:hint="eastAsia"/>
        </w:rPr>
        <w:t>․</w:t>
      </w:r>
      <w:r>
        <w:t xml:space="preserve"> Freeman's (1984) oft-quoted definition of a stakeholder as any group or individual who can affect</w:t>
      </w:r>
      <w:r>
        <w:rPr>
          <w:rFonts w:ascii="Aptos" w:hAnsi="Aptos" w:cs="Aptos"/>
        </w:rPr>
        <w:t>‚</w:t>
      </w:r>
      <w:r>
        <w:t xml:space="preserve"> or is affected by</w:t>
      </w:r>
      <w:r>
        <w:rPr>
          <w:rFonts w:ascii="Aptos" w:hAnsi="Aptos" w:cs="Aptos"/>
        </w:rPr>
        <w:t>‚</w:t>
      </w:r>
      <w:r>
        <w:t xml:space="preserve"> the achievement of an organisation's objectives is still </w:t>
      </w:r>
      <w:proofErr w:type="spellStart"/>
      <w:r>
        <w:t>useful</w:t>
      </w:r>
      <w:r>
        <w:rPr>
          <w:rFonts w:ascii="Aptos" w:hAnsi="Aptos" w:cs="Aptos"/>
        </w:rPr>
        <w:t>‚</w:t>
      </w:r>
      <w:r>
        <w:t>as</w:t>
      </w:r>
      <w:proofErr w:type="spellEnd"/>
      <w:r>
        <w:t xml:space="preserve"> it forces the practitioner to consider the whole web of interests surrounding the project‚ not just the client</w:t>
      </w:r>
      <w:r>
        <w:rPr>
          <w:rFonts w:ascii="MS Gothic" w:eastAsia="MS Gothic" w:hAnsi="MS Gothic" w:cs="MS Gothic" w:hint="eastAsia"/>
        </w:rPr>
        <w:t>․</w:t>
      </w:r>
      <w:r>
        <w:t xml:space="preserve"> This portfolio applies this thinking in the context of Greenway Park and draws on the reflections of a Junior Stakeholder Manager working under the brief of the council's project team</w:t>
      </w:r>
      <w:r>
        <w:rPr>
          <w:rFonts w:ascii="MS Gothic" w:eastAsia="MS Gothic" w:hAnsi="MS Gothic" w:cs="MS Gothic" w:hint="eastAsia"/>
        </w:rPr>
        <w:t>․</w:t>
      </w:r>
    </w:p>
    <w:p w14:paraId="392ECD7E" w14:textId="77777777" w:rsidR="00E171F1" w:rsidRDefault="000E4F86">
      <w:pPr>
        <w:pStyle w:val="Heading1"/>
        <w:pageBreakBefore/>
        <w:spacing w:after="160" w:line="360" w:lineRule="auto"/>
      </w:pPr>
      <w:bookmarkStart w:id="2" w:name="_Toc237514479"/>
      <w:bookmarkStart w:id="3" w:name="_Toc237559300"/>
      <w:r>
        <w:rPr>
          <w:rFonts w:ascii="Times New Roman" w:eastAsia="Times New Roman" w:hAnsi="Times New Roman" w:cs="Times New Roman"/>
          <w:b/>
          <w:bCs/>
        </w:rPr>
        <w:lastRenderedPageBreak/>
        <w:t>Element 2: Application – Stakeholder Engagement Strategies</w:t>
      </w:r>
      <w:bookmarkEnd w:id="2"/>
      <w:bookmarkEnd w:id="3"/>
    </w:p>
    <w:p w14:paraId="538E373C" w14:textId="77777777" w:rsidR="00E171F1" w:rsidRDefault="000E4F86">
      <w:pPr>
        <w:pStyle w:val="Heading2"/>
        <w:spacing w:before="200" w:after="120" w:line="360" w:lineRule="auto"/>
      </w:pPr>
      <w:bookmarkStart w:id="4" w:name="_Toc237514480"/>
      <w:bookmarkStart w:id="5" w:name="_Toc237559301"/>
      <w:r>
        <w:rPr>
          <w:rFonts w:ascii="Times New Roman" w:eastAsia="Times New Roman" w:hAnsi="Times New Roman" w:cs="Times New Roman"/>
          <w:b/>
          <w:bCs/>
        </w:rPr>
        <w:t>2.1 Power, Influence and Interest Table</w:t>
      </w:r>
      <w:bookmarkEnd w:id="4"/>
      <w:bookmarkEnd w:id="5"/>
    </w:p>
    <w:p w14:paraId="11E9D82F" w14:textId="1C436C12" w:rsidR="00E171F1" w:rsidRDefault="002F72DD">
      <w:pPr>
        <w:spacing w:after="120" w:line="360" w:lineRule="auto"/>
        <w:jc w:val="both"/>
      </w:pPr>
      <w:r w:rsidRPr="002F72DD">
        <w:t>Next‚ using the stakeholder typology as described in Mendelow (</w:t>
      </w:r>
      <w:proofErr w:type="gramStart"/>
      <w:r w:rsidRPr="002F72DD">
        <w:t>1991)‚</w:t>
      </w:r>
      <w:proofErr w:type="gramEnd"/>
      <w:r w:rsidRPr="002F72DD">
        <w:t xml:space="preserve"> each of the six stakeholders in Element 1 was scored according to the three dimensions of power (influence decision making and allocation of </w:t>
      </w:r>
      <w:proofErr w:type="gramStart"/>
      <w:r w:rsidRPr="002F72DD">
        <w:t>resources)‚</w:t>
      </w:r>
      <w:proofErr w:type="gramEnd"/>
      <w:r w:rsidRPr="002F72DD">
        <w:t xml:space="preserve">influence (influence opinion of </w:t>
      </w:r>
      <w:proofErr w:type="gramStart"/>
      <w:r w:rsidRPr="002F72DD">
        <w:t>others)‚</w:t>
      </w:r>
      <w:proofErr w:type="gramEnd"/>
      <w:r w:rsidRPr="002F72DD">
        <w:t xml:space="preserve"> and interest (the extent to which they are affected by‚ or care about‚ the project) with high‚ medium‚ and low scores‚ alongside a rationale for the rank given to provide transparency around the judgment rather than make it intuitive</w:t>
      </w:r>
      <w:r w:rsidRPr="002F72DD">
        <w:rPr>
          <w:rFonts w:ascii="MS Gothic" w:eastAsia="MS Gothic" w:hAnsi="MS Gothic" w:cs="MS Gothic" w:hint="eastAsia"/>
        </w:rPr>
        <w:t>․</w:t>
      </w:r>
    </w:p>
    <w:tbl>
      <w:tblPr>
        <w:tblW w:w="7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0"/>
        <w:gridCol w:w="1400"/>
        <w:gridCol w:w="1400"/>
        <w:gridCol w:w="1400"/>
      </w:tblGrid>
      <w:tr w:rsidR="00E171F1" w14:paraId="24DD00FC" w14:textId="77777777">
        <w:tblPrEx>
          <w:tblCellMar>
            <w:top w:w="0" w:type="dxa"/>
            <w:bottom w:w="0" w:type="dxa"/>
          </w:tblCellMar>
        </w:tblPrEx>
        <w:trPr>
          <w:tblHeader/>
        </w:trPr>
        <w:tc>
          <w:tcPr>
            <w:tcW w:w="3000" w:type="dxa"/>
            <w:shd w:val="clear" w:color="auto" w:fill="D9D9D9"/>
          </w:tcPr>
          <w:p w14:paraId="53173F51" w14:textId="77777777" w:rsidR="00E171F1" w:rsidRDefault="000E4F86">
            <w:pPr>
              <w:spacing w:after="40" w:line="360" w:lineRule="auto"/>
            </w:pPr>
            <w:r>
              <w:rPr>
                <w:rFonts w:ascii="Times New Roman" w:eastAsia="Times New Roman" w:hAnsi="Times New Roman" w:cs="Times New Roman"/>
                <w:b/>
                <w:bCs/>
              </w:rPr>
              <w:t>Stakeholder</w:t>
            </w:r>
          </w:p>
        </w:tc>
        <w:tc>
          <w:tcPr>
            <w:tcW w:w="1400" w:type="dxa"/>
            <w:shd w:val="clear" w:color="auto" w:fill="D9D9D9"/>
          </w:tcPr>
          <w:p w14:paraId="3DE4E1C4" w14:textId="77777777" w:rsidR="00E171F1" w:rsidRDefault="000E4F86">
            <w:pPr>
              <w:spacing w:after="40" w:line="360" w:lineRule="auto"/>
              <w:jc w:val="center"/>
            </w:pPr>
            <w:r>
              <w:rPr>
                <w:rFonts w:ascii="Times New Roman" w:eastAsia="Times New Roman" w:hAnsi="Times New Roman" w:cs="Times New Roman"/>
                <w:b/>
                <w:bCs/>
              </w:rPr>
              <w:t>Power</w:t>
            </w:r>
          </w:p>
        </w:tc>
        <w:tc>
          <w:tcPr>
            <w:tcW w:w="1400" w:type="dxa"/>
            <w:shd w:val="clear" w:color="auto" w:fill="D9D9D9"/>
          </w:tcPr>
          <w:p w14:paraId="10B5DFCB" w14:textId="77777777" w:rsidR="00E171F1" w:rsidRDefault="000E4F86">
            <w:pPr>
              <w:spacing w:after="40" w:line="360" w:lineRule="auto"/>
              <w:jc w:val="center"/>
            </w:pPr>
            <w:r>
              <w:rPr>
                <w:rFonts w:ascii="Times New Roman" w:eastAsia="Times New Roman" w:hAnsi="Times New Roman" w:cs="Times New Roman"/>
                <w:b/>
                <w:bCs/>
              </w:rPr>
              <w:t>Influence</w:t>
            </w:r>
          </w:p>
        </w:tc>
        <w:tc>
          <w:tcPr>
            <w:tcW w:w="1400" w:type="dxa"/>
            <w:shd w:val="clear" w:color="auto" w:fill="D9D9D9"/>
          </w:tcPr>
          <w:p w14:paraId="2C571C14" w14:textId="77777777" w:rsidR="00E171F1" w:rsidRDefault="000E4F86">
            <w:pPr>
              <w:spacing w:after="40" w:line="360" w:lineRule="auto"/>
              <w:jc w:val="center"/>
            </w:pPr>
            <w:r>
              <w:rPr>
                <w:rFonts w:ascii="Times New Roman" w:eastAsia="Times New Roman" w:hAnsi="Times New Roman" w:cs="Times New Roman"/>
                <w:b/>
                <w:bCs/>
              </w:rPr>
              <w:t>Interest</w:t>
            </w:r>
          </w:p>
        </w:tc>
      </w:tr>
      <w:tr w:rsidR="00E171F1" w14:paraId="131B2326" w14:textId="77777777">
        <w:tblPrEx>
          <w:tblCellMar>
            <w:top w:w="0" w:type="dxa"/>
            <w:bottom w:w="0" w:type="dxa"/>
          </w:tblCellMar>
        </w:tblPrEx>
        <w:tc>
          <w:tcPr>
            <w:tcW w:w="3000" w:type="dxa"/>
          </w:tcPr>
          <w:p w14:paraId="4D7B9598" w14:textId="77777777" w:rsidR="00E171F1" w:rsidRDefault="000E4F86">
            <w:pPr>
              <w:spacing w:after="40" w:line="360" w:lineRule="auto"/>
            </w:pPr>
            <w:r>
              <w:rPr>
                <w:rFonts w:ascii="Times New Roman" w:eastAsia="Times New Roman" w:hAnsi="Times New Roman" w:cs="Times New Roman"/>
              </w:rPr>
              <w:t>Croydon Council (local authority)</w:t>
            </w:r>
          </w:p>
        </w:tc>
        <w:tc>
          <w:tcPr>
            <w:tcW w:w="1400" w:type="dxa"/>
          </w:tcPr>
          <w:p w14:paraId="1926BE17" w14:textId="77777777" w:rsidR="00E171F1" w:rsidRDefault="000E4F86">
            <w:pPr>
              <w:spacing w:after="40" w:line="360" w:lineRule="auto"/>
              <w:jc w:val="center"/>
            </w:pPr>
            <w:r>
              <w:rPr>
                <w:rFonts w:ascii="Times New Roman" w:eastAsia="Times New Roman" w:hAnsi="Times New Roman" w:cs="Times New Roman"/>
              </w:rPr>
              <w:t>High</w:t>
            </w:r>
          </w:p>
        </w:tc>
        <w:tc>
          <w:tcPr>
            <w:tcW w:w="1400" w:type="dxa"/>
          </w:tcPr>
          <w:p w14:paraId="7E5731F9" w14:textId="77777777" w:rsidR="00E171F1" w:rsidRDefault="000E4F86">
            <w:pPr>
              <w:spacing w:after="40" w:line="360" w:lineRule="auto"/>
              <w:jc w:val="center"/>
            </w:pPr>
            <w:r>
              <w:rPr>
                <w:rFonts w:ascii="Times New Roman" w:eastAsia="Times New Roman" w:hAnsi="Times New Roman" w:cs="Times New Roman"/>
              </w:rPr>
              <w:t>High</w:t>
            </w:r>
          </w:p>
        </w:tc>
        <w:tc>
          <w:tcPr>
            <w:tcW w:w="1400" w:type="dxa"/>
          </w:tcPr>
          <w:p w14:paraId="72251171" w14:textId="77777777" w:rsidR="00E171F1" w:rsidRDefault="000E4F86">
            <w:pPr>
              <w:spacing w:after="40" w:line="360" w:lineRule="auto"/>
              <w:jc w:val="center"/>
            </w:pPr>
            <w:r>
              <w:rPr>
                <w:rFonts w:ascii="Times New Roman" w:eastAsia="Times New Roman" w:hAnsi="Times New Roman" w:cs="Times New Roman"/>
              </w:rPr>
              <w:t>High</w:t>
            </w:r>
          </w:p>
        </w:tc>
      </w:tr>
      <w:tr w:rsidR="00E171F1" w14:paraId="36C3BBF1" w14:textId="77777777">
        <w:tblPrEx>
          <w:tblCellMar>
            <w:top w:w="0" w:type="dxa"/>
            <w:bottom w:w="0" w:type="dxa"/>
          </w:tblCellMar>
        </w:tblPrEx>
        <w:tc>
          <w:tcPr>
            <w:tcW w:w="3000" w:type="dxa"/>
          </w:tcPr>
          <w:p w14:paraId="13202F77" w14:textId="77777777" w:rsidR="00E171F1" w:rsidRDefault="000E4F86">
            <w:pPr>
              <w:spacing w:after="40" w:line="360" w:lineRule="auto"/>
            </w:pPr>
            <w:proofErr w:type="gramStart"/>
            <w:r>
              <w:rPr>
                <w:rFonts w:ascii="Times New Roman" w:eastAsia="Times New Roman" w:hAnsi="Times New Roman" w:cs="Times New Roman"/>
              </w:rPr>
              <w:t>Local residents</w:t>
            </w:r>
            <w:proofErr w:type="gramEnd"/>
          </w:p>
        </w:tc>
        <w:tc>
          <w:tcPr>
            <w:tcW w:w="1400" w:type="dxa"/>
          </w:tcPr>
          <w:p w14:paraId="54C9A6B8" w14:textId="77777777" w:rsidR="00E171F1" w:rsidRDefault="000E4F86">
            <w:pPr>
              <w:spacing w:after="40" w:line="360" w:lineRule="auto"/>
              <w:jc w:val="center"/>
            </w:pPr>
            <w:r>
              <w:rPr>
                <w:rFonts w:ascii="Times New Roman" w:eastAsia="Times New Roman" w:hAnsi="Times New Roman" w:cs="Times New Roman"/>
              </w:rPr>
              <w:t>Medium</w:t>
            </w:r>
          </w:p>
        </w:tc>
        <w:tc>
          <w:tcPr>
            <w:tcW w:w="1400" w:type="dxa"/>
          </w:tcPr>
          <w:p w14:paraId="570DCD6A" w14:textId="77777777" w:rsidR="00E171F1" w:rsidRDefault="000E4F86">
            <w:pPr>
              <w:spacing w:after="40" w:line="360" w:lineRule="auto"/>
              <w:jc w:val="center"/>
            </w:pPr>
            <w:r>
              <w:rPr>
                <w:rFonts w:ascii="Times New Roman" w:eastAsia="Times New Roman" w:hAnsi="Times New Roman" w:cs="Times New Roman"/>
              </w:rPr>
              <w:t>Medium</w:t>
            </w:r>
          </w:p>
        </w:tc>
        <w:tc>
          <w:tcPr>
            <w:tcW w:w="1400" w:type="dxa"/>
          </w:tcPr>
          <w:p w14:paraId="478E3CEA" w14:textId="77777777" w:rsidR="00E171F1" w:rsidRDefault="000E4F86">
            <w:pPr>
              <w:spacing w:after="40" w:line="360" w:lineRule="auto"/>
              <w:jc w:val="center"/>
            </w:pPr>
            <w:r>
              <w:rPr>
                <w:rFonts w:ascii="Times New Roman" w:eastAsia="Times New Roman" w:hAnsi="Times New Roman" w:cs="Times New Roman"/>
              </w:rPr>
              <w:t>High</w:t>
            </w:r>
          </w:p>
        </w:tc>
      </w:tr>
      <w:tr w:rsidR="00E171F1" w14:paraId="667B5D89" w14:textId="77777777">
        <w:tblPrEx>
          <w:tblCellMar>
            <w:top w:w="0" w:type="dxa"/>
            <w:bottom w:w="0" w:type="dxa"/>
          </w:tblCellMar>
        </w:tblPrEx>
        <w:tc>
          <w:tcPr>
            <w:tcW w:w="3000" w:type="dxa"/>
          </w:tcPr>
          <w:p w14:paraId="0E0DEBB7" w14:textId="77777777" w:rsidR="00E171F1" w:rsidRDefault="000E4F86">
            <w:pPr>
              <w:spacing w:after="40" w:line="360" w:lineRule="auto"/>
            </w:pPr>
            <w:r>
              <w:rPr>
                <w:rFonts w:ascii="Times New Roman" w:eastAsia="Times New Roman" w:hAnsi="Times New Roman" w:cs="Times New Roman"/>
              </w:rPr>
              <w:t>Local schools and youth groups</w:t>
            </w:r>
          </w:p>
        </w:tc>
        <w:tc>
          <w:tcPr>
            <w:tcW w:w="1400" w:type="dxa"/>
          </w:tcPr>
          <w:p w14:paraId="471872D1" w14:textId="77777777" w:rsidR="00E171F1" w:rsidRDefault="000E4F86">
            <w:pPr>
              <w:spacing w:after="40" w:line="360" w:lineRule="auto"/>
              <w:jc w:val="center"/>
            </w:pPr>
            <w:r>
              <w:rPr>
                <w:rFonts w:ascii="Times New Roman" w:eastAsia="Times New Roman" w:hAnsi="Times New Roman" w:cs="Times New Roman"/>
              </w:rPr>
              <w:t>Low</w:t>
            </w:r>
          </w:p>
        </w:tc>
        <w:tc>
          <w:tcPr>
            <w:tcW w:w="1400" w:type="dxa"/>
          </w:tcPr>
          <w:p w14:paraId="0FF9A3A1" w14:textId="77777777" w:rsidR="00E171F1" w:rsidRDefault="000E4F86">
            <w:pPr>
              <w:spacing w:after="40" w:line="360" w:lineRule="auto"/>
              <w:jc w:val="center"/>
            </w:pPr>
            <w:r>
              <w:rPr>
                <w:rFonts w:ascii="Times New Roman" w:eastAsia="Times New Roman" w:hAnsi="Times New Roman" w:cs="Times New Roman"/>
              </w:rPr>
              <w:t>Medium</w:t>
            </w:r>
          </w:p>
        </w:tc>
        <w:tc>
          <w:tcPr>
            <w:tcW w:w="1400" w:type="dxa"/>
          </w:tcPr>
          <w:p w14:paraId="770719F2" w14:textId="77777777" w:rsidR="00E171F1" w:rsidRDefault="000E4F86">
            <w:pPr>
              <w:spacing w:after="40" w:line="360" w:lineRule="auto"/>
              <w:jc w:val="center"/>
            </w:pPr>
            <w:r>
              <w:rPr>
                <w:rFonts w:ascii="Times New Roman" w:eastAsia="Times New Roman" w:hAnsi="Times New Roman" w:cs="Times New Roman"/>
              </w:rPr>
              <w:t>High</w:t>
            </w:r>
          </w:p>
        </w:tc>
      </w:tr>
      <w:tr w:rsidR="00E171F1" w14:paraId="403697FF" w14:textId="77777777">
        <w:tblPrEx>
          <w:tblCellMar>
            <w:top w:w="0" w:type="dxa"/>
            <w:bottom w:w="0" w:type="dxa"/>
          </w:tblCellMar>
        </w:tblPrEx>
        <w:tc>
          <w:tcPr>
            <w:tcW w:w="3000" w:type="dxa"/>
          </w:tcPr>
          <w:p w14:paraId="25C03E18" w14:textId="77777777" w:rsidR="00E171F1" w:rsidRDefault="000E4F86">
            <w:pPr>
              <w:spacing w:after="40" w:line="360" w:lineRule="auto"/>
            </w:pPr>
            <w:r>
              <w:rPr>
                <w:rFonts w:ascii="Times New Roman" w:eastAsia="Times New Roman" w:hAnsi="Times New Roman" w:cs="Times New Roman"/>
              </w:rPr>
              <w:t>Environmental organisations (e.g. London Wildlife Trust)</w:t>
            </w:r>
          </w:p>
        </w:tc>
        <w:tc>
          <w:tcPr>
            <w:tcW w:w="1400" w:type="dxa"/>
          </w:tcPr>
          <w:p w14:paraId="5B1AD2B8" w14:textId="77777777" w:rsidR="00E171F1" w:rsidRDefault="000E4F86">
            <w:pPr>
              <w:spacing w:after="40" w:line="360" w:lineRule="auto"/>
              <w:jc w:val="center"/>
            </w:pPr>
            <w:r>
              <w:rPr>
                <w:rFonts w:ascii="Times New Roman" w:eastAsia="Times New Roman" w:hAnsi="Times New Roman" w:cs="Times New Roman"/>
              </w:rPr>
              <w:t>Medium</w:t>
            </w:r>
          </w:p>
        </w:tc>
        <w:tc>
          <w:tcPr>
            <w:tcW w:w="1400" w:type="dxa"/>
          </w:tcPr>
          <w:p w14:paraId="2F12B8EF" w14:textId="77777777" w:rsidR="00E171F1" w:rsidRDefault="000E4F86">
            <w:pPr>
              <w:spacing w:after="40" w:line="360" w:lineRule="auto"/>
              <w:jc w:val="center"/>
            </w:pPr>
            <w:r>
              <w:rPr>
                <w:rFonts w:ascii="Times New Roman" w:eastAsia="Times New Roman" w:hAnsi="Times New Roman" w:cs="Times New Roman"/>
              </w:rPr>
              <w:t>High</w:t>
            </w:r>
          </w:p>
        </w:tc>
        <w:tc>
          <w:tcPr>
            <w:tcW w:w="1400" w:type="dxa"/>
          </w:tcPr>
          <w:p w14:paraId="7C4D655D" w14:textId="77777777" w:rsidR="00E171F1" w:rsidRDefault="000E4F86">
            <w:pPr>
              <w:spacing w:after="40" w:line="360" w:lineRule="auto"/>
              <w:jc w:val="center"/>
            </w:pPr>
            <w:r>
              <w:rPr>
                <w:rFonts w:ascii="Times New Roman" w:eastAsia="Times New Roman" w:hAnsi="Times New Roman" w:cs="Times New Roman"/>
              </w:rPr>
              <w:t>High</w:t>
            </w:r>
          </w:p>
        </w:tc>
      </w:tr>
      <w:tr w:rsidR="00E171F1" w14:paraId="2DD325B2" w14:textId="77777777">
        <w:tblPrEx>
          <w:tblCellMar>
            <w:top w:w="0" w:type="dxa"/>
            <w:bottom w:w="0" w:type="dxa"/>
          </w:tblCellMar>
        </w:tblPrEx>
        <w:tc>
          <w:tcPr>
            <w:tcW w:w="3000" w:type="dxa"/>
          </w:tcPr>
          <w:p w14:paraId="0971EB2E" w14:textId="77777777" w:rsidR="00E171F1" w:rsidRDefault="000E4F86">
            <w:pPr>
              <w:spacing w:after="40" w:line="360" w:lineRule="auto"/>
            </w:pPr>
            <w:r>
              <w:rPr>
                <w:rFonts w:ascii="Times New Roman" w:eastAsia="Times New Roman" w:hAnsi="Times New Roman" w:cs="Times New Roman"/>
              </w:rPr>
              <w:t>Local small businesses</w:t>
            </w:r>
          </w:p>
        </w:tc>
        <w:tc>
          <w:tcPr>
            <w:tcW w:w="1400" w:type="dxa"/>
          </w:tcPr>
          <w:p w14:paraId="7257F982" w14:textId="77777777" w:rsidR="00E171F1" w:rsidRDefault="000E4F86">
            <w:pPr>
              <w:spacing w:after="40" w:line="360" w:lineRule="auto"/>
              <w:jc w:val="center"/>
            </w:pPr>
            <w:r>
              <w:rPr>
                <w:rFonts w:ascii="Times New Roman" w:eastAsia="Times New Roman" w:hAnsi="Times New Roman" w:cs="Times New Roman"/>
              </w:rPr>
              <w:t>Low</w:t>
            </w:r>
          </w:p>
        </w:tc>
        <w:tc>
          <w:tcPr>
            <w:tcW w:w="1400" w:type="dxa"/>
          </w:tcPr>
          <w:p w14:paraId="340BDA1A" w14:textId="77777777" w:rsidR="00E171F1" w:rsidRDefault="000E4F86">
            <w:pPr>
              <w:spacing w:after="40" w:line="360" w:lineRule="auto"/>
              <w:jc w:val="center"/>
            </w:pPr>
            <w:r>
              <w:rPr>
                <w:rFonts w:ascii="Times New Roman" w:eastAsia="Times New Roman" w:hAnsi="Times New Roman" w:cs="Times New Roman"/>
              </w:rPr>
              <w:t>Medium</w:t>
            </w:r>
          </w:p>
        </w:tc>
        <w:tc>
          <w:tcPr>
            <w:tcW w:w="1400" w:type="dxa"/>
          </w:tcPr>
          <w:p w14:paraId="45BAE43F" w14:textId="77777777" w:rsidR="00E171F1" w:rsidRDefault="000E4F86">
            <w:pPr>
              <w:spacing w:after="40" w:line="360" w:lineRule="auto"/>
              <w:jc w:val="center"/>
            </w:pPr>
            <w:r>
              <w:rPr>
                <w:rFonts w:ascii="Times New Roman" w:eastAsia="Times New Roman" w:hAnsi="Times New Roman" w:cs="Times New Roman"/>
              </w:rPr>
              <w:t>Medium</w:t>
            </w:r>
          </w:p>
        </w:tc>
      </w:tr>
      <w:tr w:rsidR="00E171F1" w14:paraId="3DF24D80" w14:textId="77777777">
        <w:tblPrEx>
          <w:tblCellMar>
            <w:top w:w="0" w:type="dxa"/>
            <w:bottom w:w="0" w:type="dxa"/>
          </w:tblCellMar>
        </w:tblPrEx>
        <w:tc>
          <w:tcPr>
            <w:tcW w:w="3000" w:type="dxa"/>
          </w:tcPr>
          <w:p w14:paraId="1859EB38" w14:textId="77777777" w:rsidR="00E171F1" w:rsidRDefault="000E4F86">
            <w:pPr>
              <w:spacing w:after="40" w:line="360" w:lineRule="auto"/>
            </w:pPr>
            <w:r>
              <w:rPr>
                <w:rFonts w:ascii="Times New Roman" w:eastAsia="Times New Roman" w:hAnsi="Times New Roman" w:cs="Times New Roman"/>
              </w:rPr>
              <w:t>Construction contractors and suppliers</w:t>
            </w:r>
          </w:p>
        </w:tc>
        <w:tc>
          <w:tcPr>
            <w:tcW w:w="1400" w:type="dxa"/>
          </w:tcPr>
          <w:p w14:paraId="4CA176BE" w14:textId="77777777" w:rsidR="00E171F1" w:rsidRDefault="000E4F86">
            <w:pPr>
              <w:spacing w:after="40" w:line="360" w:lineRule="auto"/>
              <w:jc w:val="center"/>
            </w:pPr>
            <w:r>
              <w:rPr>
                <w:rFonts w:ascii="Times New Roman" w:eastAsia="Times New Roman" w:hAnsi="Times New Roman" w:cs="Times New Roman"/>
              </w:rPr>
              <w:t>Medium</w:t>
            </w:r>
          </w:p>
        </w:tc>
        <w:tc>
          <w:tcPr>
            <w:tcW w:w="1400" w:type="dxa"/>
          </w:tcPr>
          <w:p w14:paraId="69554817" w14:textId="77777777" w:rsidR="00E171F1" w:rsidRDefault="000E4F86">
            <w:pPr>
              <w:spacing w:after="40" w:line="360" w:lineRule="auto"/>
              <w:jc w:val="center"/>
            </w:pPr>
            <w:r>
              <w:rPr>
                <w:rFonts w:ascii="Times New Roman" w:eastAsia="Times New Roman" w:hAnsi="Times New Roman" w:cs="Times New Roman"/>
              </w:rPr>
              <w:t>Low</w:t>
            </w:r>
          </w:p>
        </w:tc>
        <w:tc>
          <w:tcPr>
            <w:tcW w:w="1400" w:type="dxa"/>
          </w:tcPr>
          <w:p w14:paraId="07BB77DF" w14:textId="77777777" w:rsidR="00E171F1" w:rsidRDefault="000E4F86">
            <w:pPr>
              <w:spacing w:after="40" w:line="360" w:lineRule="auto"/>
              <w:jc w:val="center"/>
            </w:pPr>
            <w:r>
              <w:rPr>
                <w:rFonts w:ascii="Times New Roman" w:eastAsia="Times New Roman" w:hAnsi="Times New Roman" w:cs="Times New Roman"/>
              </w:rPr>
              <w:t>Medium</w:t>
            </w:r>
          </w:p>
        </w:tc>
      </w:tr>
    </w:tbl>
    <w:p w14:paraId="2D2F9326" w14:textId="77777777" w:rsidR="00ED02EA" w:rsidRDefault="00ED02EA">
      <w:pPr>
        <w:spacing w:after="120" w:line="360" w:lineRule="auto"/>
        <w:jc w:val="both"/>
      </w:pPr>
    </w:p>
    <w:p w14:paraId="1393F6C7" w14:textId="73636F4A" w:rsidR="00E171F1" w:rsidRDefault="00ED02EA">
      <w:pPr>
        <w:spacing w:after="120" w:line="360" w:lineRule="auto"/>
        <w:jc w:val="both"/>
      </w:pPr>
      <w:r w:rsidRPr="00ED02EA">
        <w:t>Croydon Council sits at the top of every column because it is the decision maker and provider of money to enable anything else to happen</w:t>
      </w:r>
      <w:r w:rsidRPr="00ED02EA">
        <w:rPr>
          <w:rFonts w:ascii="MS Gothic" w:eastAsia="MS Gothic" w:hAnsi="MS Gothic" w:cs="MS Gothic" w:hint="eastAsia"/>
        </w:rPr>
        <w:t>․</w:t>
      </w:r>
      <w:r w:rsidRPr="00ED02EA">
        <w:t xml:space="preserve"> Environmental organizations score highly</w:t>
      </w:r>
      <w:r w:rsidRPr="00ED02EA">
        <w:rPr>
          <w:rFonts w:ascii="Aptos" w:hAnsi="Aptos" w:cs="Aptos"/>
        </w:rPr>
        <w:t>‚</w:t>
      </w:r>
      <w:r w:rsidRPr="00ED02EA">
        <w:t xml:space="preserve"> as their public campaigning and ability to feed into local and national news can materially affect planning decisions‚ even if their formal powers are weak</w:t>
      </w:r>
      <w:r w:rsidRPr="00ED02EA">
        <w:rPr>
          <w:rFonts w:ascii="MS Gothic" w:eastAsia="MS Gothic" w:hAnsi="MS Gothic" w:cs="MS Gothic" w:hint="eastAsia"/>
        </w:rPr>
        <w:t>․</w:t>
      </w:r>
      <w:r w:rsidRPr="00ED02EA">
        <w:t xml:space="preserve"> Residents overall are also highly affected</w:t>
      </w:r>
      <w:r w:rsidRPr="00ED02EA">
        <w:rPr>
          <w:rFonts w:ascii="Aptos" w:hAnsi="Aptos" w:cs="Aptos"/>
        </w:rPr>
        <w:t>‚</w:t>
      </w:r>
      <w:r w:rsidRPr="00ED02EA">
        <w:t xml:space="preserve"> as they will be living with the outcome every day</w:t>
      </w:r>
      <w:r w:rsidRPr="00ED02EA">
        <w:rPr>
          <w:rFonts w:ascii="MS Gothic" w:eastAsia="MS Gothic" w:hAnsi="MS Gothic" w:cs="MS Gothic" w:hint="eastAsia"/>
        </w:rPr>
        <w:t>․</w:t>
      </w:r>
      <w:r w:rsidRPr="00ED02EA">
        <w:t xml:space="preserve"> They have moderate individual power</w:t>
      </w:r>
      <w:r w:rsidRPr="00ED02EA">
        <w:rPr>
          <w:rFonts w:ascii="Aptos" w:hAnsi="Aptos" w:cs="Aptos"/>
        </w:rPr>
        <w:t>‚</w:t>
      </w:r>
      <w:r w:rsidRPr="00ED02EA">
        <w:t xml:space="preserve"> but this increases dramatically in a residents' association</w:t>
      </w:r>
      <w:r w:rsidRPr="00ED02EA">
        <w:rPr>
          <w:rFonts w:ascii="MS Gothic" w:eastAsia="MS Gothic" w:hAnsi="MS Gothic" w:cs="MS Gothic" w:hint="eastAsia"/>
        </w:rPr>
        <w:t>․</w:t>
      </w:r>
      <w:r w:rsidRPr="00ED02EA">
        <w:t xml:space="preserve"> Residents' associations are common where developments are large and prominent like </w:t>
      </w:r>
      <w:proofErr w:type="spellStart"/>
      <w:r w:rsidRPr="00ED02EA">
        <w:t>this</w:t>
      </w:r>
      <w:r w:rsidRPr="00ED02EA">
        <w:rPr>
          <w:rFonts w:ascii="MS Gothic" w:eastAsia="MS Gothic" w:hAnsi="MS Gothic" w:cs="MS Gothic" w:hint="eastAsia"/>
        </w:rPr>
        <w:t>․</w:t>
      </w:r>
      <w:r w:rsidRPr="00ED02EA">
        <w:t>Schools</w:t>
      </w:r>
      <w:proofErr w:type="spellEnd"/>
      <w:r w:rsidRPr="00ED02EA">
        <w:t xml:space="preserve"> and youth organizations have little formal channel for representation‚ but head teachers and governors are influential in their communities and their views are sought out and often quoted in local media</w:t>
      </w:r>
      <w:r w:rsidRPr="00ED02EA">
        <w:rPr>
          <w:rFonts w:ascii="MS Gothic" w:eastAsia="MS Gothic" w:hAnsi="MS Gothic" w:cs="MS Gothic" w:hint="eastAsia"/>
        </w:rPr>
        <w:t>․</w:t>
      </w:r>
      <w:r w:rsidRPr="00ED02EA">
        <w:t xml:space="preserve"> Small businesses and contractors are harder to place</w:t>
      </w:r>
      <w:r w:rsidRPr="00ED02EA">
        <w:rPr>
          <w:rFonts w:ascii="Aptos" w:hAnsi="Aptos" w:cs="Aptos"/>
        </w:rPr>
        <w:t>‚</w:t>
      </w:r>
      <w:r w:rsidRPr="00ED02EA">
        <w:t xml:space="preserve"> as project timetable influences their involvement: businesses do not engage until construction hoardings go up on the high street and contractors move from monitoring at concept design to actively participating in tender and </w:t>
      </w:r>
      <w:proofErr w:type="spellStart"/>
      <w:r w:rsidRPr="00ED02EA">
        <w:t>delivery</w:t>
      </w:r>
      <w:r w:rsidRPr="00ED02EA">
        <w:rPr>
          <w:rFonts w:ascii="MS Gothic" w:eastAsia="MS Gothic" w:hAnsi="MS Gothic" w:cs="MS Gothic" w:hint="eastAsia"/>
        </w:rPr>
        <w:t>․</w:t>
      </w:r>
      <w:r w:rsidRPr="00ED02EA">
        <w:t>As</w:t>
      </w:r>
      <w:proofErr w:type="spellEnd"/>
      <w:r w:rsidRPr="00ED02EA">
        <w:t xml:space="preserve"> such‚ the table is only an illustration and should be reviewed at each gateway in the project</w:t>
      </w:r>
      <w:r w:rsidRPr="00ED02EA">
        <w:rPr>
          <w:rFonts w:ascii="MS Gothic" w:eastAsia="MS Gothic" w:hAnsi="MS Gothic" w:cs="MS Gothic" w:hint="eastAsia"/>
        </w:rPr>
        <w:t>․</w:t>
      </w:r>
    </w:p>
    <w:p w14:paraId="2E6EEA83" w14:textId="77777777" w:rsidR="00E171F1" w:rsidRDefault="000E4F86">
      <w:pPr>
        <w:pStyle w:val="Heading2"/>
        <w:spacing w:before="200" w:after="120" w:line="360" w:lineRule="auto"/>
      </w:pPr>
      <w:bookmarkStart w:id="6" w:name="_Toc237514481"/>
      <w:bookmarkStart w:id="7" w:name="_Toc237559302"/>
      <w:r>
        <w:rPr>
          <w:rFonts w:ascii="Times New Roman" w:eastAsia="Times New Roman" w:hAnsi="Times New Roman" w:cs="Times New Roman"/>
          <w:b/>
          <w:bCs/>
        </w:rPr>
        <w:lastRenderedPageBreak/>
        <w:t>2.2 Stakeholder Map and Justification</w:t>
      </w:r>
      <w:bookmarkEnd w:id="6"/>
      <w:bookmarkEnd w:id="7"/>
    </w:p>
    <w:p w14:paraId="1A9666B5" w14:textId="7BC832E1" w:rsidR="00BC4B0A" w:rsidRDefault="00BC4B0A" w:rsidP="00BC4B0A">
      <w:pPr>
        <w:spacing w:after="120" w:line="360" w:lineRule="auto"/>
        <w:jc w:val="both"/>
      </w:pPr>
      <w:r>
        <w:t xml:space="preserve">The result of using the power/interest </w:t>
      </w:r>
      <w:proofErr w:type="spellStart"/>
      <w:r>
        <w:t>matrix‚also</w:t>
      </w:r>
      <w:proofErr w:type="spellEnd"/>
      <w:r>
        <w:t xml:space="preserve"> known as Mendelow's matrix‚ is four quadrants: manage closely‚ keep satisfied‚ keep informed and monitor (Johnson‚ Scholes and Whittington‚ </w:t>
      </w:r>
      <w:proofErr w:type="gramStart"/>
      <w:r>
        <w:t>2020)</w:t>
      </w:r>
      <w:r>
        <w:rPr>
          <w:rFonts w:ascii="MS Gothic" w:eastAsia="MS Gothic" w:hAnsi="MS Gothic" w:cs="MS Gothic" w:hint="eastAsia"/>
        </w:rPr>
        <w:t>․</w:t>
      </w:r>
      <w:proofErr w:type="gramEnd"/>
      <w:r>
        <w:t xml:space="preserve"> In this case</w:t>
      </w:r>
      <w:r>
        <w:rPr>
          <w:rFonts w:ascii="Aptos" w:hAnsi="Aptos" w:cs="Aptos"/>
        </w:rPr>
        <w:t>‚</w:t>
      </w:r>
      <w:r>
        <w:t xml:space="preserve"> the four quadrants are set out narratively rather than graphically so that the placement can be reasoned</w:t>
      </w:r>
      <w:r>
        <w:rPr>
          <w:rFonts w:ascii="MS Gothic" w:eastAsia="MS Gothic" w:hAnsi="MS Gothic" w:cs="MS Gothic" w:hint="eastAsia"/>
        </w:rPr>
        <w:t>․</w:t>
      </w:r>
    </w:p>
    <w:p w14:paraId="16EEF251" w14:textId="64F99660" w:rsidR="00BC4B0A" w:rsidRDefault="00BC4B0A" w:rsidP="007E650D">
      <w:pPr>
        <w:pStyle w:val="ListParagraph"/>
        <w:numPr>
          <w:ilvl w:val="0"/>
          <w:numId w:val="2"/>
        </w:numPr>
        <w:spacing w:after="120" w:line="360" w:lineRule="auto"/>
        <w:jc w:val="both"/>
      </w:pPr>
      <w:r>
        <w:t>Manage closely (high power‚ high interest): Croydon Council</w:t>
      </w:r>
      <w:r>
        <w:rPr>
          <w:rFonts w:ascii="MS Gothic" w:eastAsia="MS Gothic" w:hAnsi="MS Gothic" w:cs="MS Gothic" w:hint="eastAsia"/>
        </w:rPr>
        <w:t>․</w:t>
      </w:r>
      <w:r>
        <w:t xml:space="preserve"> A close management is needed to keep this group satisfied with steering group meetings</w:t>
      </w:r>
      <w:r>
        <w:rPr>
          <w:rFonts w:ascii="Aptos" w:hAnsi="Aptos" w:cs="Aptos"/>
        </w:rPr>
        <w:t>‚</w:t>
      </w:r>
      <w:r>
        <w:t xml:space="preserve"> cabinet reports</w:t>
      </w:r>
      <w:r>
        <w:rPr>
          <w:rFonts w:ascii="Aptos" w:hAnsi="Aptos" w:cs="Aptos"/>
        </w:rPr>
        <w:t>‚</w:t>
      </w:r>
      <w:r>
        <w:t xml:space="preserve"> and regular project updates</w:t>
      </w:r>
      <w:r>
        <w:rPr>
          <w:rFonts w:ascii="MS Gothic" w:eastAsia="MS Gothic" w:hAnsi="MS Gothic" w:cs="MS Gothic" w:hint="eastAsia"/>
        </w:rPr>
        <w:t>․</w:t>
      </w:r>
    </w:p>
    <w:p w14:paraId="67D2C89E" w14:textId="18011825" w:rsidR="00BC4B0A" w:rsidRDefault="00BC4B0A" w:rsidP="007E650D">
      <w:pPr>
        <w:pStyle w:val="ListParagraph"/>
        <w:numPr>
          <w:ilvl w:val="0"/>
          <w:numId w:val="2"/>
        </w:numPr>
        <w:spacing w:after="120" w:line="360" w:lineRule="auto"/>
        <w:jc w:val="both"/>
      </w:pPr>
      <w:r>
        <w:t>Keep satisfied (high power‚ lower interest): Environmental organisations‚ which typically have moderate formal power in the planning system‚ tend to fall into this quadrant</w:t>
      </w:r>
      <w:r>
        <w:rPr>
          <w:rFonts w:ascii="MS Gothic" w:eastAsia="MS Gothic" w:hAnsi="MS Gothic" w:cs="MS Gothic" w:hint="eastAsia"/>
        </w:rPr>
        <w:t>․</w:t>
      </w:r>
      <w:r>
        <w:t xml:space="preserve"> They can give prominence to concerns within the public </w:t>
      </w:r>
      <w:proofErr w:type="spellStart"/>
      <w:r>
        <w:t>forum</w:t>
      </w:r>
      <w:r>
        <w:rPr>
          <w:rFonts w:ascii="MS Gothic" w:eastAsia="MS Gothic" w:hAnsi="MS Gothic" w:cs="MS Gothic" w:hint="eastAsia"/>
        </w:rPr>
        <w:t>․</w:t>
      </w:r>
      <w:r>
        <w:t>They</w:t>
      </w:r>
      <w:proofErr w:type="spellEnd"/>
      <w:r>
        <w:t xml:space="preserve"> need to be kept satisfied with the direction of travel</w:t>
      </w:r>
      <w:r>
        <w:rPr>
          <w:rFonts w:ascii="MS Gothic" w:eastAsia="MS Gothic" w:hAnsi="MS Gothic" w:cs="MS Gothic" w:hint="eastAsia"/>
        </w:rPr>
        <w:t>․</w:t>
      </w:r>
    </w:p>
    <w:p w14:paraId="1C674246" w14:textId="38EF07CC" w:rsidR="00BC4B0A" w:rsidRDefault="00BC4B0A" w:rsidP="007E650D">
      <w:pPr>
        <w:pStyle w:val="ListParagraph"/>
        <w:numPr>
          <w:ilvl w:val="0"/>
          <w:numId w:val="2"/>
        </w:numPr>
        <w:spacing w:after="120" w:line="360" w:lineRule="auto"/>
        <w:jc w:val="both"/>
      </w:pPr>
      <w:r>
        <w:t xml:space="preserve">Keep informed (low power‚ high interest): </w:t>
      </w:r>
      <w:proofErr w:type="gramStart"/>
      <w:r>
        <w:t>Local residents</w:t>
      </w:r>
      <w:proofErr w:type="gramEnd"/>
      <w:r>
        <w:t xml:space="preserve"> and local schools</w:t>
      </w:r>
      <w:r>
        <w:rPr>
          <w:rFonts w:ascii="MS Gothic" w:eastAsia="MS Gothic" w:hAnsi="MS Gothic" w:cs="MS Gothic" w:hint="eastAsia"/>
        </w:rPr>
        <w:t>․</w:t>
      </w:r>
      <w:r>
        <w:t xml:space="preserve"> These people need to know what is going on and the project team should consult them</w:t>
      </w:r>
      <w:r>
        <w:rPr>
          <w:rFonts w:ascii="Aptos" w:hAnsi="Aptos" w:cs="Aptos"/>
        </w:rPr>
        <w:t>‚</w:t>
      </w:r>
      <w:r>
        <w:t xml:space="preserve"> but they have no real power over the project</w:t>
      </w:r>
      <w:r>
        <w:rPr>
          <w:rFonts w:ascii="MS Gothic" w:eastAsia="MS Gothic" w:hAnsi="MS Gothic" w:cs="MS Gothic" w:hint="eastAsia"/>
        </w:rPr>
        <w:t>․</w:t>
      </w:r>
      <w:r>
        <w:t xml:space="preserve"> Informed people are usually more supportive; they should be brought in early</w:t>
      </w:r>
      <w:r>
        <w:rPr>
          <w:rFonts w:ascii="MS Gothic" w:eastAsia="MS Gothic" w:hAnsi="MS Gothic" w:cs="MS Gothic" w:hint="eastAsia"/>
        </w:rPr>
        <w:t>․</w:t>
      </w:r>
    </w:p>
    <w:p w14:paraId="406627FC" w14:textId="6EA6FAA2" w:rsidR="00BC4B0A" w:rsidRDefault="00BC4B0A" w:rsidP="007E650D">
      <w:pPr>
        <w:pStyle w:val="ListParagraph"/>
        <w:numPr>
          <w:ilvl w:val="0"/>
          <w:numId w:val="2"/>
        </w:numPr>
        <w:spacing w:after="120" w:line="360" w:lineRule="auto"/>
        <w:jc w:val="both"/>
      </w:pPr>
      <w:r>
        <w:t>Monitor (low interest‚ low power): This mostly consists of small businesses and contractors‚ whose reaction to announcements of construction disruption has shown their interest levels increase considerably</w:t>
      </w:r>
      <w:r>
        <w:rPr>
          <w:rFonts w:ascii="MS Gothic" w:eastAsia="MS Gothic" w:hAnsi="MS Gothic" w:cs="MS Gothic" w:hint="eastAsia"/>
        </w:rPr>
        <w:t>․</w:t>
      </w:r>
      <w:r>
        <w:t xml:space="preserve"> Businesses will respond more once construction disruption is announced</w:t>
      </w:r>
      <w:r>
        <w:rPr>
          <w:rFonts w:ascii="Aptos" w:hAnsi="Aptos" w:cs="Aptos"/>
        </w:rPr>
        <w:t>‚</w:t>
      </w:r>
      <w:r>
        <w:t xml:space="preserve"> while contractors become more interested once procurement begins</w:t>
      </w:r>
      <w:r>
        <w:rPr>
          <w:rFonts w:ascii="Aptos" w:hAnsi="Aptos" w:cs="Aptos"/>
        </w:rPr>
        <w:t>‚</w:t>
      </w:r>
      <w:r>
        <w:t xml:space="preserve"> making this a fluid position</w:t>
      </w:r>
      <w:r>
        <w:rPr>
          <w:rFonts w:ascii="MS Gothic" w:eastAsia="MS Gothic" w:hAnsi="MS Gothic" w:cs="MS Gothic" w:hint="eastAsia"/>
        </w:rPr>
        <w:t>․</w:t>
      </w:r>
    </w:p>
    <w:p w14:paraId="67A8400D" w14:textId="7D08139C" w:rsidR="00E171F1" w:rsidRDefault="00BC4B0A" w:rsidP="00BC4B0A">
      <w:pPr>
        <w:spacing w:after="120" w:line="360" w:lineRule="auto"/>
        <w:jc w:val="both"/>
      </w:pPr>
      <w:r>
        <w:t>The value of the map is not from where you label‚ but that you are forced to pay attention to all your stakeholders at the right level</w:t>
      </w:r>
      <w:r>
        <w:rPr>
          <w:rFonts w:ascii="MS Gothic" w:eastAsia="MS Gothic" w:hAnsi="MS Gothic" w:cs="MS Gothic" w:hint="eastAsia"/>
        </w:rPr>
        <w:t>․</w:t>
      </w:r>
      <w:r>
        <w:t xml:space="preserve"> According to Bourne (2016) equal attention to all stakeholders almost always leads to under-serving those who matter most</w:t>
      </w:r>
      <w:r>
        <w:rPr>
          <w:rFonts w:ascii="Aptos" w:hAnsi="Aptos" w:cs="Aptos"/>
        </w:rPr>
        <w:t>‚</w:t>
      </w:r>
      <w:r>
        <w:t xml:space="preserve"> whilst smothering those who prefer a lighter touch</w:t>
      </w:r>
      <w:r>
        <w:rPr>
          <w:rFonts w:ascii="MS Gothic" w:eastAsia="MS Gothic" w:hAnsi="MS Gothic" w:cs="MS Gothic" w:hint="eastAsia"/>
        </w:rPr>
        <w:t>․</w:t>
      </w:r>
      <w:r>
        <w:t xml:space="preserve"> On Greenway Park</w:t>
      </w:r>
      <w:r>
        <w:rPr>
          <w:rFonts w:ascii="Aptos" w:hAnsi="Aptos" w:cs="Aptos"/>
        </w:rPr>
        <w:t>‚</w:t>
      </w:r>
      <w:r>
        <w:t xml:space="preserve"> that means council officers are the most frequently and intensively engaged stakeholders</w:t>
      </w:r>
      <w:r>
        <w:rPr>
          <w:rFonts w:ascii="Aptos" w:hAnsi="Aptos" w:cs="Aptos"/>
        </w:rPr>
        <w:t>‚</w:t>
      </w:r>
      <w:r>
        <w:t xml:space="preserve"> with residents receiving regular and well-designed communication</w:t>
      </w:r>
      <w:r>
        <w:rPr>
          <w:rFonts w:ascii="Aptos" w:hAnsi="Aptos" w:cs="Aptos"/>
        </w:rPr>
        <w:t>‚</w:t>
      </w:r>
      <w:r>
        <w:t xml:space="preserve"> environmental partners being consulted on technical detail at the moments where their input can shape decisions‚ and contractors being intensively engaged in the procurement stage rather than throughout the </w:t>
      </w:r>
      <w:proofErr w:type="spellStart"/>
      <w:r>
        <w:t>project</w:t>
      </w:r>
      <w:r>
        <w:rPr>
          <w:rFonts w:ascii="MS Gothic" w:eastAsia="MS Gothic" w:hAnsi="MS Gothic" w:cs="MS Gothic" w:hint="eastAsia"/>
        </w:rPr>
        <w:t>․</w:t>
      </w:r>
      <w:r>
        <w:t>Yang</w:t>
      </w:r>
      <w:proofErr w:type="spellEnd"/>
      <w:r>
        <w:t xml:space="preserve"> (2014) makes a similar point in the context of urban development: the most common cause of stakeholder-related delay is not too little engagement but engagement that is uniformly shallow across the whole stakeholder set</w:t>
      </w:r>
      <w:r>
        <w:rPr>
          <w:rFonts w:ascii="MS Gothic" w:eastAsia="MS Gothic" w:hAnsi="MS Gothic" w:cs="MS Gothic" w:hint="eastAsia"/>
        </w:rPr>
        <w:lastRenderedPageBreak/>
        <w:t>․</w:t>
      </w:r>
      <w:r>
        <w:t xml:space="preserve"> The matrix is used frequently in order to prevent the impression and the reality that project team engagement is a paperwork exercise</w:t>
      </w:r>
      <w:r>
        <w:rPr>
          <w:rFonts w:ascii="MS Gothic" w:eastAsia="MS Gothic" w:hAnsi="MS Gothic" w:cs="MS Gothic" w:hint="eastAsia"/>
        </w:rPr>
        <w:t>․</w:t>
      </w:r>
    </w:p>
    <w:p w14:paraId="3CAE163B" w14:textId="77777777" w:rsidR="00E171F1" w:rsidRDefault="000E4F86">
      <w:pPr>
        <w:pStyle w:val="Heading2"/>
        <w:spacing w:before="200" w:after="120" w:line="360" w:lineRule="auto"/>
      </w:pPr>
      <w:bookmarkStart w:id="8" w:name="_Toc237514482"/>
      <w:bookmarkStart w:id="9" w:name="_Toc237559303"/>
      <w:r>
        <w:rPr>
          <w:rFonts w:ascii="Times New Roman" w:eastAsia="Times New Roman" w:hAnsi="Times New Roman" w:cs="Times New Roman"/>
          <w:b/>
          <w:bCs/>
        </w:rPr>
        <w:t>2.3 Communication and Consultation Plan</w:t>
      </w:r>
      <w:bookmarkEnd w:id="8"/>
      <w:bookmarkEnd w:id="9"/>
    </w:p>
    <w:p w14:paraId="7D979FAF" w14:textId="553C66B0" w:rsidR="00E171F1" w:rsidRDefault="00A65A55">
      <w:pPr>
        <w:spacing w:after="120" w:line="360" w:lineRule="auto"/>
        <w:jc w:val="both"/>
      </w:pPr>
      <w:r w:rsidRPr="00A65A55">
        <w:t xml:space="preserve">A communications plan does not have any value unless it considers the audience's needs in terms of identifying who the audience </w:t>
      </w:r>
      <w:proofErr w:type="spellStart"/>
      <w:r w:rsidRPr="00A65A55">
        <w:t>is‚what</w:t>
      </w:r>
      <w:proofErr w:type="spellEnd"/>
      <w:r w:rsidRPr="00A65A55">
        <w:t xml:space="preserve"> they need to know‚ when they need it‚ and how it should be delivered (APM‚ </w:t>
      </w:r>
      <w:proofErr w:type="gramStart"/>
      <w:r w:rsidRPr="00A65A55">
        <w:t>2019)</w:t>
      </w:r>
      <w:r w:rsidRPr="00A65A55">
        <w:rPr>
          <w:rFonts w:ascii="MS Gothic" w:eastAsia="MS Gothic" w:hAnsi="MS Gothic" w:cs="MS Gothic" w:hint="eastAsia"/>
        </w:rPr>
        <w:t>․</w:t>
      </w:r>
      <w:proofErr w:type="gramEnd"/>
      <w:r w:rsidRPr="00A65A55">
        <w:t xml:space="preserve"> The communications plan for Greenway Park is outlined in the table below</w:t>
      </w:r>
      <w:r w:rsidRPr="00A65A55">
        <w:rPr>
          <w:rFonts w:ascii="MS Gothic" w:eastAsia="MS Gothic" w:hAnsi="MS Gothic" w:cs="MS Gothic" w:hint="eastAsia"/>
        </w:rPr>
        <w:t>․</w:t>
      </w:r>
      <w:r w:rsidRPr="00A65A55">
        <w:t xml:space="preserve"> It is further considered in greater detail</w:t>
      </w:r>
      <w:r w:rsidRPr="00A65A55">
        <w:rPr>
          <w:rFonts w:ascii="MS Gothic" w:eastAsia="MS Gothic" w:hAnsi="MS Gothic" w:cs="MS Gothic" w:hint="eastAsia"/>
        </w:rPr>
        <w:t>․</w:t>
      </w:r>
    </w:p>
    <w:tbl>
      <w:tblPr>
        <w:tblW w:w="8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900"/>
        <w:gridCol w:w="2400"/>
        <w:gridCol w:w="1800"/>
        <w:gridCol w:w="2100"/>
      </w:tblGrid>
      <w:tr w:rsidR="00E171F1" w14:paraId="229CA46B" w14:textId="77777777">
        <w:tblPrEx>
          <w:tblCellMar>
            <w:top w:w="0" w:type="dxa"/>
            <w:bottom w:w="0" w:type="dxa"/>
          </w:tblCellMar>
        </w:tblPrEx>
        <w:trPr>
          <w:tblHeader/>
        </w:trPr>
        <w:tc>
          <w:tcPr>
            <w:tcW w:w="1900" w:type="dxa"/>
            <w:shd w:val="clear" w:color="auto" w:fill="D9D9D9"/>
          </w:tcPr>
          <w:p w14:paraId="3CD5FD00" w14:textId="77777777" w:rsidR="00E171F1" w:rsidRDefault="000E4F86">
            <w:pPr>
              <w:spacing w:after="40" w:line="360" w:lineRule="auto"/>
            </w:pPr>
            <w:r>
              <w:rPr>
                <w:rFonts w:ascii="Times New Roman" w:eastAsia="Times New Roman" w:hAnsi="Times New Roman" w:cs="Times New Roman"/>
                <w:b/>
                <w:bCs/>
              </w:rPr>
              <w:t>Stakeholder</w:t>
            </w:r>
          </w:p>
        </w:tc>
        <w:tc>
          <w:tcPr>
            <w:tcW w:w="2400" w:type="dxa"/>
            <w:shd w:val="clear" w:color="auto" w:fill="D9D9D9"/>
          </w:tcPr>
          <w:p w14:paraId="7857CFB9" w14:textId="77777777" w:rsidR="00E171F1" w:rsidRDefault="000E4F86">
            <w:pPr>
              <w:spacing w:after="40" w:line="360" w:lineRule="auto"/>
            </w:pPr>
            <w:r>
              <w:rPr>
                <w:rFonts w:ascii="Times New Roman" w:eastAsia="Times New Roman" w:hAnsi="Times New Roman" w:cs="Times New Roman"/>
                <w:b/>
                <w:bCs/>
              </w:rPr>
              <w:t>Information to share</w:t>
            </w:r>
          </w:p>
        </w:tc>
        <w:tc>
          <w:tcPr>
            <w:tcW w:w="1800" w:type="dxa"/>
            <w:shd w:val="clear" w:color="auto" w:fill="D9D9D9"/>
          </w:tcPr>
          <w:p w14:paraId="5BC8ED88" w14:textId="77777777" w:rsidR="00E171F1" w:rsidRDefault="000E4F86">
            <w:pPr>
              <w:spacing w:after="40" w:line="360" w:lineRule="auto"/>
            </w:pPr>
            <w:r>
              <w:rPr>
                <w:rFonts w:ascii="Times New Roman" w:eastAsia="Times New Roman" w:hAnsi="Times New Roman" w:cs="Times New Roman"/>
                <w:b/>
                <w:bCs/>
              </w:rPr>
              <w:t>When / frequency</w:t>
            </w:r>
          </w:p>
        </w:tc>
        <w:tc>
          <w:tcPr>
            <w:tcW w:w="2100" w:type="dxa"/>
            <w:shd w:val="clear" w:color="auto" w:fill="D9D9D9"/>
          </w:tcPr>
          <w:p w14:paraId="464D6807" w14:textId="77777777" w:rsidR="00E171F1" w:rsidRDefault="000E4F86">
            <w:pPr>
              <w:spacing w:after="40" w:line="360" w:lineRule="auto"/>
            </w:pPr>
            <w:r>
              <w:rPr>
                <w:rFonts w:ascii="Times New Roman" w:eastAsia="Times New Roman" w:hAnsi="Times New Roman" w:cs="Times New Roman"/>
                <w:b/>
                <w:bCs/>
              </w:rPr>
              <w:t>Medium</w:t>
            </w:r>
          </w:p>
        </w:tc>
      </w:tr>
      <w:tr w:rsidR="00E171F1" w14:paraId="43F49B2D" w14:textId="77777777">
        <w:tblPrEx>
          <w:tblCellMar>
            <w:top w:w="0" w:type="dxa"/>
            <w:bottom w:w="0" w:type="dxa"/>
          </w:tblCellMar>
        </w:tblPrEx>
        <w:tc>
          <w:tcPr>
            <w:tcW w:w="1900" w:type="dxa"/>
          </w:tcPr>
          <w:p w14:paraId="6E5C6879" w14:textId="77777777" w:rsidR="00E171F1" w:rsidRDefault="000E4F86">
            <w:pPr>
              <w:spacing w:after="40" w:line="360" w:lineRule="auto"/>
            </w:pPr>
            <w:r>
              <w:rPr>
                <w:rFonts w:ascii="Times New Roman" w:eastAsia="Times New Roman" w:hAnsi="Times New Roman" w:cs="Times New Roman"/>
              </w:rPr>
              <w:t>Croydon Council (cabinet, officers)</w:t>
            </w:r>
          </w:p>
        </w:tc>
        <w:tc>
          <w:tcPr>
            <w:tcW w:w="2400" w:type="dxa"/>
          </w:tcPr>
          <w:p w14:paraId="6A20CE5C" w14:textId="77777777" w:rsidR="00E171F1" w:rsidRDefault="000E4F86">
            <w:pPr>
              <w:spacing w:after="40" w:line="360" w:lineRule="auto"/>
            </w:pPr>
            <w:r>
              <w:rPr>
                <w:rFonts w:ascii="Times New Roman" w:eastAsia="Times New Roman" w:hAnsi="Times New Roman" w:cs="Times New Roman"/>
              </w:rPr>
              <w:t>Progress reports, risk logs, budget updates, decisions requiring approval.</w:t>
            </w:r>
          </w:p>
        </w:tc>
        <w:tc>
          <w:tcPr>
            <w:tcW w:w="1800" w:type="dxa"/>
          </w:tcPr>
          <w:p w14:paraId="0799888D" w14:textId="77777777" w:rsidR="00E171F1" w:rsidRDefault="000E4F86">
            <w:pPr>
              <w:spacing w:after="40" w:line="360" w:lineRule="auto"/>
            </w:pPr>
            <w:r>
              <w:rPr>
                <w:rFonts w:ascii="Times New Roman" w:eastAsia="Times New Roman" w:hAnsi="Times New Roman" w:cs="Times New Roman"/>
              </w:rPr>
              <w:t>Monthly steering group; quarterly cabinet report.</w:t>
            </w:r>
          </w:p>
        </w:tc>
        <w:tc>
          <w:tcPr>
            <w:tcW w:w="2100" w:type="dxa"/>
          </w:tcPr>
          <w:p w14:paraId="281836A2" w14:textId="77777777" w:rsidR="00E171F1" w:rsidRDefault="000E4F86">
            <w:pPr>
              <w:spacing w:after="40" w:line="360" w:lineRule="auto"/>
            </w:pPr>
            <w:r>
              <w:rPr>
                <w:rFonts w:ascii="Times New Roman" w:eastAsia="Times New Roman" w:hAnsi="Times New Roman" w:cs="Times New Roman"/>
              </w:rPr>
              <w:t>Formal reports, e-mail, in-person meetings.</w:t>
            </w:r>
          </w:p>
        </w:tc>
      </w:tr>
      <w:tr w:rsidR="00E171F1" w14:paraId="02F658F6" w14:textId="77777777">
        <w:tblPrEx>
          <w:tblCellMar>
            <w:top w:w="0" w:type="dxa"/>
            <w:bottom w:w="0" w:type="dxa"/>
          </w:tblCellMar>
        </w:tblPrEx>
        <w:tc>
          <w:tcPr>
            <w:tcW w:w="1900" w:type="dxa"/>
          </w:tcPr>
          <w:p w14:paraId="19F1DB47" w14:textId="77777777" w:rsidR="00E171F1" w:rsidRDefault="000E4F86">
            <w:pPr>
              <w:spacing w:after="40" w:line="360" w:lineRule="auto"/>
            </w:pPr>
            <w:proofErr w:type="gramStart"/>
            <w:r>
              <w:rPr>
                <w:rFonts w:ascii="Times New Roman" w:eastAsia="Times New Roman" w:hAnsi="Times New Roman" w:cs="Times New Roman"/>
              </w:rPr>
              <w:t>Local residents</w:t>
            </w:r>
            <w:proofErr w:type="gramEnd"/>
          </w:p>
        </w:tc>
        <w:tc>
          <w:tcPr>
            <w:tcW w:w="2400" w:type="dxa"/>
          </w:tcPr>
          <w:p w14:paraId="6E75E2AB" w14:textId="77777777" w:rsidR="00E171F1" w:rsidRDefault="000E4F86">
            <w:pPr>
              <w:spacing w:after="40" w:line="360" w:lineRule="auto"/>
            </w:pPr>
            <w:r>
              <w:rPr>
                <w:rFonts w:ascii="Times New Roman" w:eastAsia="Times New Roman" w:hAnsi="Times New Roman" w:cs="Times New Roman"/>
              </w:rPr>
              <w:t>Purpose of the scheme, design, likely disruption, ways to participate.</w:t>
            </w:r>
          </w:p>
        </w:tc>
        <w:tc>
          <w:tcPr>
            <w:tcW w:w="1800" w:type="dxa"/>
          </w:tcPr>
          <w:p w14:paraId="3B85BCF2" w14:textId="77777777" w:rsidR="00E171F1" w:rsidRDefault="000E4F86">
            <w:pPr>
              <w:spacing w:after="40" w:line="360" w:lineRule="auto"/>
            </w:pPr>
            <w:r>
              <w:rPr>
                <w:rFonts w:ascii="Times New Roman" w:eastAsia="Times New Roman" w:hAnsi="Times New Roman" w:cs="Times New Roman"/>
              </w:rPr>
              <w:t>Launch newsletter; quarterly updates; drop-ins at key milestones.</w:t>
            </w:r>
          </w:p>
        </w:tc>
        <w:tc>
          <w:tcPr>
            <w:tcW w:w="2100" w:type="dxa"/>
          </w:tcPr>
          <w:p w14:paraId="14AE6F73" w14:textId="77777777" w:rsidR="00E171F1" w:rsidRDefault="000E4F86">
            <w:pPr>
              <w:spacing w:after="40" w:line="360" w:lineRule="auto"/>
            </w:pPr>
            <w:r>
              <w:rPr>
                <w:rFonts w:ascii="Times New Roman" w:eastAsia="Times New Roman" w:hAnsi="Times New Roman" w:cs="Times New Roman"/>
              </w:rPr>
              <w:t>Leaflets through doors, community noticeboards, council website, local newspaper, community WhatsApp groups.</w:t>
            </w:r>
          </w:p>
        </w:tc>
      </w:tr>
      <w:tr w:rsidR="00E171F1" w14:paraId="6CA73443" w14:textId="77777777">
        <w:tblPrEx>
          <w:tblCellMar>
            <w:top w:w="0" w:type="dxa"/>
            <w:bottom w:w="0" w:type="dxa"/>
          </w:tblCellMar>
        </w:tblPrEx>
        <w:tc>
          <w:tcPr>
            <w:tcW w:w="1900" w:type="dxa"/>
          </w:tcPr>
          <w:p w14:paraId="3FBF821A" w14:textId="77777777" w:rsidR="00E171F1" w:rsidRDefault="000E4F86">
            <w:pPr>
              <w:spacing w:after="40" w:line="360" w:lineRule="auto"/>
            </w:pPr>
            <w:r>
              <w:rPr>
                <w:rFonts w:ascii="Times New Roman" w:eastAsia="Times New Roman" w:hAnsi="Times New Roman" w:cs="Times New Roman"/>
              </w:rPr>
              <w:t>Local schools and youth groups</w:t>
            </w:r>
          </w:p>
        </w:tc>
        <w:tc>
          <w:tcPr>
            <w:tcW w:w="2400" w:type="dxa"/>
          </w:tcPr>
          <w:p w14:paraId="30EEE3C9" w14:textId="77777777" w:rsidR="00E171F1" w:rsidRDefault="000E4F86">
            <w:pPr>
              <w:spacing w:after="40" w:line="360" w:lineRule="auto"/>
            </w:pPr>
            <w:r>
              <w:rPr>
                <w:rFonts w:ascii="Times New Roman" w:eastAsia="Times New Roman" w:hAnsi="Times New Roman" w:cs="Times New Roman"/>
              </w:rPr>
              <w:t>Opportunities to co-design play and learning features; safety measures during construction.</w:t>
            </w:r>
          </w:p>
        </w:tc>
        <w:tc>
          <w:tcPr>
            <w:tcW w:w="1800" w:type="dxa"/>
          </w:tcPr>
          <w:p w14:paraId="57A5534F" w14:textId="77777777" w:rsidR="00E171F1" w:rsidRDefault="000E4F86">
            <w:pPr>
              <w:spacing w:after="40" w:line="360" w:lineRule="auto"/>
            </w:pPr>
            <w:r>
              <w:rPr>
                <w:rFonts w:ascii="Times New Roman" w:eastAsia="Times New Roman" w:hAnsi="Times New Roman" w:cs="Times New Roman"/>
              </w:rPr>
              <w:t>Termly meetings; one workshop per participating school.</w:t>
            </w:r>
          </w:p>
        </w:tc>
        <w:tc>
          <w:tcPr>
            <w:tcW w:w="2100" w:type="dxa"/>
          </w:tcPr>
          <w:p w14:paraId="7C79EDDD" w14:textId="77777777" w:rsidR="00E171F1" w:rsidRDefault="000E4F86">
            <w:pPr>
              <w:spacing w:after="40" w:line="360" w:lineRule="auto"/>
            </w:pPr>
            <w:r>
              <w:rPr>
                <w:rFonts w:ascii="Times New Roman" w:eastAsia="Times New Roman" w:hAnsi="Times New Roman" w:cs="Times New Roman"/>
              </w:rPr>
              <w:t>E-mail to head teachers, in-school workshops, printed activity packs.</w:t>
            </w:r>
          </w:p>
        </w:tc>
      </w:tr>
      <w:tr w:rsidR="00E171F1" w14:paraId="0EFF32F5" w14:textId="77777777">
        <w:tblPrEx>
          <w:tblCellMar>
            <w:top w:w="0" w:type="dxa"/>
            <w:bottom w:w="0" w:type="dxa"/>
          </w:tblCellMar>
        </w:tblPrEx>
        <w:tc>
          <w:tcPr>
            <w:tcW w:w="1900" w:type="dxa"/>
          </w:tcPr>
          <w:p w14:paraId="658CEDA4" w14:textId="77777777" w:rsidR="00E171F1" w:rsidRDefault="000E4F86">
            <w:pPr>
              <w:spacing w:after="40" w:line="360" w:lineRule="auto"/>
            </w:pPr>
            <w:r>
              <w:rPr>
                <w:rFonts w:ascii="Times New Roman" w:eastAsia="Times New Roman" w:hAnsi="Times New Roman" w:cs="Times New Roman"/>
              </w:rPr>
              <w:t>Environmental organisations</w:t>
            </w:r>
          </w:p>
        </w:tc>
        <w:tc>
          <w:tcPr>
            <w:tcW w:w="2400" w:type="dxa"/>
          </w:tcPr>
          <w:p w14:paraId="6A859DCB" w14:textId="77777777" w:rsidR="00E171F1" w:rsidRDefault="000E4F86">
            <w:pPr>
              <w:spacing w:after="40" w:line="360" w:lineRule="auto"/>
            </w:pPr>
            <w:r>
              <w:rPr>
                <w:rFonts w:ascii="Times New Roman" w:eastAsia="Times New Roman" w:hAnsi="Times New Roman" w:cs="Times New Roman"/>
              </w:rPr>
              <w:t>Ecological survey outcomes, mitigation plans, biodiversity net gain approach.</w:t>
            </w:r>
          </w:p>
        </w:tc>
        <w:tc>
          <w:tcPr>
            <w:tcW w:w="1800" w:type="dxa"/>
          </w:tcPr>
          <w:p w14:paraId="23036032" w14:textId="77777777" w:rsidR="00E171F1" w:rsidRDefault="000E4F86">
            <w:pPr>
              <w:spacing w:after="40" w:line="360" w:lineRule="auto"/>
            </w:pPr>
            <w:r>
              <w:rPr>
                <w:rFonts w:ascii="Times New Roman" w:eastAsia="Times New Roman" w:hAnsi="Times New Roman" w:cs="Times New Roman"/>
              </w:rPr>
              <w:t>Six-weekly technical liaison; public briefings at consultation stage.</w:t>
            </w:r>
          </w:p>
        </w:tc>
        <w:tc>
          <w:tcPr>
            <w:tcW w:w="2100" w:type="dxa"/>
          </w:tcPr>
          <w:p w14:paraId="538E23C6" w14:textId="77777777" w:rsidR="00E171F1" w:rsidRDefault="000E4F86">
            <w:pPr>
              <w:spacing w:after="40" w:line="360" w:lineRule="auto"/>
            </w:pPr>
            <w:r>
              <w:rPr>
                <w:rFonts w:ascii="Times New Roman" w:eastAsia="Times New Roman" w:hAnsi="Times New Roman" w:cs="Times New Roman"/>
              </w:rPr>
              <w:t>Technical reports, e-mail, joint site visits.</w:t>
            </w:r>
          </w:p>
        </w:tc>
      </w:tr>
      <w:tr w:rsidR="00E171F1" w14:paraId="53667A6C" w14:textId="77777777">
        <w:tblPrEx>
          <w:tblCellMar>
            <w:top w:w="0" w:type="dxa"/>
            <w:bottom w:w="0" w:type="dxa"/>
          </w:tblCellMar>
        </w:tblPrEx>
        <w:tc>
          <w:tcPr>
            <w:tcW w:w="1900" w:type="dxa"/>
          </w:tcPr>
          <w:p w14:paraId="6F52942D" w14:textId="77777777" w:rsidR="00E171F1" w:rsidRDefault="000E4F86">
            <w:pPr>
              <w:spacing w:after="40" w:line="360" w:lineRule="auto"/>
            </w:pPr>
            <w:r>
              <w:rPr>
                <w:rFonts w:ascii="Times New Roman" w:eastAsia="Times New Roman" w:hAnsi="Times New Roman" w:cs="Times New Roman"/>
              </w:rPr>
              <w:t>Local small businesses</w:t>
            </w:r>
          </w:p>
        </w:tc>
        <w:tc>
          <w:tcPr>
            <w:tcW w:w="2400" w:type="dxa"/>
          </w:tcPr>
          <w:p w14:paraId="4E0B84DF" w14:textId="77777777" w:rsidR="00E171F1" w:rsidRDefault="000E4F86">
            <w:pPr>
              <w:spacing w:after="40" w:line="360" w:lineRule="auto"/>
            </w:pPr>
            <w:r>
              <w:rPr>
                <w:rFonts w:ascii="Times New Roman" w:eastAsia="Times New Roman" w:hAnsi="Times New Roman" w:cs="Times New Roman"/>
              </w:rPr>
              <w:t>Anticipated construction disruption, footfall opportunities, local procurement chances.</w:t>
            </w:r>
          </w:p>
        </w:tc>
        <w:tc>
          <w:tcPr>
            <w:tcW w:w="1800" w:type="dxa"/>
          </w:tcPr>
          <w:p w14:paraId="2AF54909" w14:textId="77777777" w:rsidR="00E171F1" w:rsidRDefault="000E4F86">
            <w:pPr>
              <w:spacing w:after="40" w:line="360" w:lineRule="auto"/>
            </w:pPr>
            <w:r>
              <w:rPr>
                <w:rFonts w:ascii="Times New Roman" w:eastAsia="Times New Roman" w:hAnsi="Times New Roman" w:cs="Times New Roman"/>
              </w:rPr>
              <w:t>Pre-construction briefing; monthly updates during works.</w:t>
            </w:r>
          </w:p>
        </w:tc>
        <w:tc>
          <w:tcPr>
            <w:tcW w:w="2100" w:type="dxa"/>
          </w:tcPr>
          <w:p w14:paraId="1EFFB8EF" w14:textId="77777777" w:rsidR="00E171F1" w:rsidRDefault="000E4F86">
            <w:pPr>
              <w:spacing w:after="40" w:line="360" w:lineRule="auto"/>
            </w:pPr>
            <w:r>
              <w:rPr>
                <w:rFonts w:ascii="Times New Roman" w:eastAsia="Times New Roman" w:hAnsi="Times New Roman" w:cs="Times New Roman"/>
              </w:rPr>
              <w:t>E-mail newsletters, business improvement district meetings, letters.</w:t>
            </w:r>
          </w:p>
        </w:tc>
      </w:tr>
      <w:tr w:rsidR="00E171F1" w14:paraId="38D8C46C" w14:textId="77777777">
        <w:tblPrEx>
          <w:tblCellMar>
            <w:top w:w="0" w:type="dxa"/>
            <w:bottom w:w="0" w:type="dxa"/>
          </w:tblCellMar>
        </w:tblPrEx>
        <w:tc>
          <w:tcPr>
            <w:tcW w:w="1900" w:type="dxa"/>
          </w:tcPr>
          <w:p w14:paraId="1D7353A8" w14:textId="77777777" w:rsidR="00E171F1" w:rsidRDefault="000E4F86">
            <w:pPr>
              <w:spacing w:after="40" w:line="360" w:lineRule="auto"/>
            </w:pPr>
            <w:r>
              <w:rPr>
                <w:rFonts w:ascii="Times New Roman" w:eastAsia="Times New Roman" w:hAnsi="Times New Roman" w:cs="Times New Roman"/>
              </w:rPr>
              <w:t>Contractors and suppliers</w:t>
            </w:r>
          </w:p>
        </w:tc>
        <w:tc>
          <w:tcPr>
            <w:tcW w:w="2400" w:type="dxa"/>
          </w:tcPr>
          <w:p w14:paraId="6C5D2660" w14:textId="77777777" w:rsidR="00E171F1" w:rsidRDefault="000E4F86">
            <w:pPr>
              <w:spacing w:after="40" w:line="360" w:lineRule="auto"/>
            </w:pPr>
            <w:r>
              <w:rPr>
                <w:rFonts w:ascii="Times New Roman" w:eastAsia="Times New Roman" w:hAnsi="Times New Roman" w:cs="Times New Roman"/>
              </w:rPr>
              <w:t>Tender documentation, technical specifications, health and safety requirements.</w:t>
            </w:r>
          </w:p>
        </w:tc>
        <w:tc>
          <w:tcPr>
            <w:tcW w:w="1800" w:type="dxa"/>
          </w:tcPr>
          <w:p w14:paraId="4C96229E" w14:textId="77777777" w:rsidR="00E171F1" w:rsidRDefault="000E4F86">
            <w:pPr>
              <w:spacing w:after="40" w:line="360" w:lineRule="auto"/>
            </w:pPr>
            <w:r>
              <w:rPr>
                <w:rFonts w:ascii="Times New Roman" w:eastAsia="Times New Roman" w:hAnsi="Times New Roman" w:cs="Times New Roman"/>
              </w:rPr>
              <w:t>Procurement stage; weekly during delivery.</w:t>
            </w:r>
          </w:p>
        </w:tc>
        <w:tc>
          <w:tcPr>
            <w:tcW w:w="2100" w:type="dxa"/>
          </w:tcPr>
          <w:p w14:paraId="36BAD70C" w14:textId="77777777" w:rsidR="00E171F1" w:rsidRDefault="000E4F86">
            <w:pPr>
              <w:spacing w:after="40" w:line="360" w:lineRule="auto"/>
            </w:pPr>
            <w:r>
              <w:rPr>
                <w:rFonts w:ascii="Times New Roman" w:eastAsia="Times New Roman" w:hAnsi="Times New Roman" w:cs="Times New Roman"/>
              </w:rPr>
              <w:t>Formal tender platform, contract meetings, contractual correspondence.</w:t>
            </w:r>
          </w:p>
        </w:tc>
      </w:tr>
    </w:tbl>
    <w:p w14:paraId="793D77F9" w14:textId="77777777" w:rsidR="00731BA3" w:rsidRDefault="00731BA3" w:rsidP="00731BA3">
      <w:pPr>
        <w:spacing w:after="120" w:line="360" w:lineRule="auto"/>
        <w:jc w:val="both"/>
      </w:pPr>
    </w:p>
    <w:p w14:paraId="64F3BDD4" w14:textId="46307DB9" w:rsidR="00731BA3" w:rsidRDefault="00731BA3" w:rsidP="00731BA3">
      <w:pPr>
        <w:spacing w:after="120" w:line="360" w:lineRule="auto"/>
        <w:jc w:val="both"/>
      </w:pPr>
      <w:r>
        <w:lastRenderedPageBreak/>
        <w:t>The rationale behind these decisions goes back to the stakeholder map</w:t>
      </w:r>
      <w:r>
        <w:rPr>
          <w:rFonts w:ascii="MS Gothic" w:eastAsia="MS Gothic" w:hAnsi="MS Gothic" w:cs="MS Gothic" w:hint="eastAsia"/>
        </w:rPr>
        <w:t>․</w:t>
      </w:r>
      <w:r>
        <w:t xml:space="preserve"> Residents are engaged in multiple venues</w:t>
      </w:r>
      <w:r>
        <w:rPr>
          <w:rFonts w:ascii="Aptos" w:hAnsi="Aptos" w:cs="Aptos"/>
        </w:rPr>
        <w:t>‚</w:t>
      </w:r>
      <w:r>
        <w:t xml:space="preserve"> because</w:t>
      </w:r>
      <w:r>
        <w:rPr>
          <w:rFonts w:ascii="Aptos" w:hAnsi="Aptos" w:cs="Aptos"/>
        </w:rPr>
        <w:t>‚</w:t>
      </w:r>
      <w:r>
        <w:t xml:space="preserve"> for example</w:t>
      </w:r>
      <w:r>
        <w:rPr>
          <w:rFonts w:ascii="Aptos" w:hAnsi="Aptos" w:cs="Aptos"/>
        </w:rPr>
        <w:t>‚</w:t>
      </w:r>
      <w:r>
        <w:t xml:space="preserve"> limiting engagement to the council website systematically excludes older </w:t>
      </w:r>
      <w:proofErr w:type="spellStart"/>
      <w:r>
        <w:t>people</w:t>
      </w:r>
      <w:r>
        <w:rPr>
          <w:rFonts w:ascii="Aptos" w:hAnsi="Aptos" w:cs="Aptos"/>
        </w:rPr>
        <w:t>‚</w:t>
      </w:r>
      <w:r>
        <w:t>people</w:t>
      </w:r>
      <w:proofErr w:type="spellEnd"/>
      <w:r>
        <w:t xml:space="preserve"> with low internet skills‚ and people who do not routinely check local government pages (Rowe and </w:t>
      </w:r>
      <w:proofErr w:type="spellStart"/>
      <w:r>
        <w:t>Frewer</w:t>
      </w:r>
      <w:proofErr w:type="spellEnd"/>
      <w:r>
        <w:t>‚ 2005)</w:t>
      </w:r>
      <w:r>
        <w:rPr>
          <w:rFonts w:ascii="MS Gothic" w:eastAsia="MS Gothic" w:hAnsi="MS Gothic" w:cs="MS Gothic" w:hint="eastAsia"/>
        </w:rPr>
        <w:t>․</w:t>
      </w:r>
      <w:r>
        <w:t xml:space="preserve"> Leafleting</w:t>
      </w:r>
      <w:r>
        <w:rPr>
          <w:rFonts w:ascii="Aptos" w:hAnsi="Aptos" w:cs="Aptos"/>
        </w:rPr>
        <w:t>‚</w:t>
      </w:r>
      <w:r>
        <w:t xml:space="preserve"> noticeboards</w:t>
      </w:r>
      <w:r>
        <w:rPr>
          <w:rFonts w:ascii="Aptos" w:hAnsi="Aptos" w:cs="Aptos"/>
        </w:rPr>
        <w:t>‚</w:t>
      </w:r>
      <w:r>
        <w:t xml:space="preserve"> local press and community WhatsApp groups all maximize our potential reach and ensure democratic processes do not only reach those already engaged</w:t>
      </w:r>
      <w:r>
        <w:rPr>
          <w:rFonts w:ascii="MS Gothic" w:eastAsia="MS Gothic" w:hAnsi="MS Gothic" w:cs="MS Gothic" w:hint="eastAsia"/>
        </w:rPr>
        <w:t>․</w:t>
      </w:r>
      <w:r>
        <w:t xml:space="preserve"> Environmental organisations get our more technical papers‚ as these are the critiques they are best suited to engage with (and it would be patronizing and wasteful to send them the same friendly newsletter as residents)</w:t>
      </w:r>
      <w:r>
        <w:rPr>
          <w:rFonts w:ascii="MS Gothic" w:eastAsia="MS Gothic" w:hAnsi="MS Gothic" w:cs="MS Gothic" w:hint="eastAsia"/>
        </w:rPr>
        <w:t>․</w:t>
      </w:r>
    </w:p>
    <w:p w14:paraId="75C64B13" w14:textId="77777777" w:rsidR="00731BA3" w:rsidRDefault="00731BA3" w:rsidP="00731BA3">
      <w:pPr>
        <w:spacing w:after="120" w:line="360" w:lineRule="auto"/>
        <w:jc w:val="both"/>
      </w:pPr>
      <w:r>
        <w:t>The timing of consultation is important too: Aaltonen and Kujala (2010) say that stakeholders consulted later in a project cycle are often reactive and have been antagonized by a tokenistic process of consultation in which their opinions were not taken seriously</w:t>
      </w:r>
      <w:r>
        <w:rPr>
          <w:rFonts w:ascii="MS Gothic" w:eastAsia="MS Gothic" w:hAnsi="MS Gothic" w:cs="MS Gothic" w:hint="eastAsia"/>
        </w:rPr>
        <w:t>․</w:t>
      </w:r>
      <w:r>
        <w:t xml:space="preserve"> The plan therefore front-loads engagement: residents and schools are brought into the process through the design phase rather than only after the design has been agreed upon</w:t>
      </w:r>
      <w:r>
        <w:rPr>
          <w:rFonts w:ascii="MS Gothic" w:eastAsia="MS Gothic" w:hAnsi="MS Gothic" w:cs="MS Gothic" w:hint="eastAsia"/>
        </w:rPr>
        <w:t>․</w:t>
      </w:r>
      <w:r>
        <w:t xml:space="preserve"> This makes consultation more meaningful and in practice reduces objections at the planning submission stage</w:t>
      </w:r>
      <w:r>
        <w:rPr>
          <w:rFonts w:ascii="MS Gothic" w:eastAsia="MS Gothic" w:hAnsi="MS Gothic" w:cs="MS Gothic" w:hint="eastAsia"/>
        </w:rPr>
        <w:t>․</w:t>
      </w:r>
    </w:p>
    <w:p w14:paraId="533B08AB" w14:textId="77777777" w:rsidR="00731BA3" w:rsidRDefault="00731BA3" w:rsidP="00731BA3">
      <w:pPr>
        <w:spacing w:after="120" w:line="360" w:lineRule="auto"/>
        <w:jc w:val="both"/>
      </w:pPr>
      <w:r>
        <w:t>Two-way channels are used where the service wants feedback‚ including workshops‚ drop-ins and focus groups</w:t>
      </w:r>
      <w:r>
        <w:rPr>
          <w:rFonts w:ascii="MS Gothic" w:eastAsia="MS Gothic" w:hAnsi="MS Gothic" w:cs="MS Gothic" w:hint="eastAsia"/>
        </w:rPr>
        <w:t>․</w:t>
      </w:r>
      <w:r>
        <w:t xml:space="preserve"> One-way channels are used where the service has made a decision and wants to inform people</w:t>
      </w:r>
      <w:r>
        <w:rPr>
          <w:rFonts w:ascii="Aptos" w:hAnsi="Aptos" w:cs="Aptos"/>
        </w:rPr>
        <w:t>‚</w:t>
      </w:r>
      <w:r>
        <w:t xml:space="preserve"> including newsletters and public notices</w:t>
      </w:r>
      <w:r>
        <w:rPr>
          <w:rFonts w:ascii="MS Gothic" w:eastAsia="MS Gothic" w:hAnsi="MS Gothic" w:cs="MS Gothic" w:hint="eastAsia"/>
        </w:rPr>
        <w:t>․</w:t>
      </w:r>
      <w:r>
        <w:t xml:space="preserve"> If feedback is sought on a decision that is already made</w:t>
      </w:r>
      <w:r>
        <w:rPr>
          <w:rFonts w:ascii="Aptos" w:hAnsi="Aptos" w:cs="Aptos"/>
        </w:rPr>
        <w:t>‚</w:t>
      </w:r>
      <w:r>
        <w:t xml:space="preserve"> it will be more damaging to trust than making no effort at all</w:t>
      </w:r>
      <w:r>
        <w:rPr>
          <w:rFonts w:ascii="MS Gothic" w:eastAsia="MS Gothic" w:hAnsi="MS Gothic" w:cs="MS Gothic" w:hint="eastAsia"/>
        </w:rPr>
        <w:t>․</w:t>
      </w:r>
      <w:r>
        <w:t xml:space="preserve"> Where there is genuine consultation the project team must make clear at the outset what is negotiable and what is not</w:t>
      </w:r>
      <w:r>
        <w:rPr>
          <w:rFonts w:ascii="MS Gothic" w:eastAsia="MS Gothic" w:hAnsi="MS Gothic" w:cs="MS Gothic" w:hint="eastAsia"/>
        </w:rPr>
        <w:t>․</w:t>
      </w:r>
      <w:r>
        <w:t xml:space="preserve"> This is not a restriction but a mark of respect (Arnstein‚ 1969)</w:t>
      </w:r>
      <w:r>
        <w:rPr>
          <w:rFonts w:ascii="MS Gothic" w:eastAsia="MS Gothic" w:hAnsi="MS Gothic" w:cs="MS Gothic" w:hint="eastAsia"/>
        </w:rPr>
        <w:t>․</w:t>
      </w:r>
    </w:p>
    <w:p w14:paraId="1AC87033" w14:textId="29FEE9C6" w:rsidR="00731BA3" w:rsidRDefault="00731BA3" w:rsidP="00731BA3">
      <w:pPr>
        <w:spacing w:after="120" w:line="360" w:lineRule="auto"/>
        <w:jc w:val="both"/>
      </w:pPr>
      <w:r>
        <w:t>The communication plan is supported by a multi-layered consultation strategy</w:t>
      </w:r>
      <w:r>
        <w:rPr>
          <w:rFonts w:ascii="MS Gothic" w:eastAsia="MS Gothic" w:hAnsi="MS Gothic" w:cs="MS Gothic" w:hint="eastAsia"/>
        </w:rPr>
        <w:t>․</w:t>
      </w:r>
      <w:r>
        <w:t xml:space="preserve"> At an early stage</w:t>
      </w:r>
      <w:r>
        <w:rPr>
          <w:rFonts w:ascii="Aptos" w:hAnsi="Aptos" w:cs="Aptos"/>
        </w:rPr>
        <w:t>‚</w:t>
      </w:r>
      <w:r>
        <w:t xml:space="preserve"> the project team will meet with residents' associations</w:t>
      </w:r>
      <w:r>
        <w:rPr>
          <w:rFonts w:ascii="Aptos" w:hAnsi="Aptos" w:cs="Aptos"/>
        </w:rPr>
        <w:t>‚</w:t>
      </w:r>
      <w:r>
        <w:t xml:space="preserve"> ward councillors and school leaders to listen and talk about their views and aspirations for the scheme and test the appetite for different designs before formal designs are drawn up In the middle stage‚ when designs are under a concept phase but not final‚ the team will hold public drop-in exhibitions and pop-up stalls at the weekend market‚ allowing locals to view </w:t>
      </w:r>
      <w:proofErr w:type="spellStart"/>
      <w:r>
        <w:t>propo</w:t>
      </w:r>
      <w:r>
        <w:t>.</w:t>
      </w:r>
      <w:r>
        <w:t>sals</w:t>
      </w:r>
      <w:proofErr w:type="spellEnd"/>
      <w:r>
        <w:t xml:space="preserve"> and converse with designers</w:t>
      </w:r>
      <w:r>
        <w:rPr>
          <w:rFonts w:ascii="MS Gothic" w:eastAsia="MS Gothic" w:hAnsi="MS Gothic" w:cs="MS Gothic" w:hint="eastAsia"/>
        </w:rPr>
        <w:t>․</w:t>
      </w:r>
      <w:r>
        <w:t xml:space="preserve"> In the final stage</w:t>
      </w:r>
      <w:r>
        <w:rPr>
          <w:rFonts w:ascii="Aptos" w:hAnsi="Aptos" w:cs="Aptos"/>
        </w:rPr>
        <w:t>‚</w:t>
      </w:r>
      <w:r>
        <w:t xml:space="preserve"> with the design under the planning system</w:t>
      </w:r>
      <w:r>
        <w:rPr>
          <w:rFonts w:ascii="Aptos" w:hAnsi="Aptos" w:cs="Aptos"/>
        </w:rPr>
        <w:t>‚</w:t>
      </w:r>
      <w:r>
        <w:t xml:space="preserve"> the focus is less on engagement</w:t>
      </w:r>
      <w:r>
        <w:rPr>
          <w:rFonts w:ascii="Aptos" w:hAnsi="Aptos" w:cs="Aptos"/>
        </w:rPr>
        <w:t>‚</w:t>
      </w:r>
      <w:r>
        <w:t xml:space="preserve"> but on managing expectations related to anticipated construction commencement and disruption</w:t>
      </w:r>
      <w:r>
        <w:rPr>
          <w:rFonts w:ascii="Aptos" w:hAnsi="Aptos" w:cs="Aptos"/>
        </w:rPr>
        <w:t>‚</w:t>
      </w:r>
      <w:r>
        <w:t xml:space="preserve"> and subsequent staggered opening</w:t>
      </w:r>
      <w:r>
        <w:rPr>
          <w:rFonts w:ascii="MS Gothic" w:eastAsia="MS Gothic" w:hAnsi="MS Gothic" w:cs="MS Gothic" w:hint="eastAsia"/>
        </w:rPr>
        <w:t>․</w:t>
      </w:r>
      <w:r>
        <w:t xml:space="preserve"> This respects the layered approach of Rowe and </w:t>
      </w:r>
      <w:proofErr w:type="spellStart"/>
      <w:r>
        <w:t>Frewer</w:t>
      </w:r>
      <w:proofErr w:type="spellEnd"/>
      <w:r>
        <w:t xml:space="preserve"> (2005) who recognized that public communication</w:t>
      </w:r>
      <w:r>
        <w:rPr>
          <w:rFonts w:ascii="Aptos" w:hAnsi="Aptos" w:cs="Aptos"/>
        </w:rPr>
        <w:t>‚</w:t>
      </w:r>
      <w:r>
        <w:t xml:space="preserve"> public consultation and public participation are distinct</w:t>
      </w:r>
      <w:r>
        <w:rPr>
          <w:rFonts w:ascii="Aptos" w:hAnsi="Aptos" w:cs="Aptos"/>
        </w:rPr>
        <w:t>‚</w:t>
      </w:r>
      <w:r>
        <w:t xml:space="preserve"> and that sometimes the term consultation is incorrectly used when the exercise is actually a form of broadcast</w:t>
      </w:r>
      <w:r>
        <w:rPr>
          <w:rFonts w:ascii="MS Gothic" w:eastAsia="MS Gothic" w:hAnsi="MS Gothic" w:cs="MS Gothic" w:hint="eastAsia"/>
        </w:rPr>
        <w:t>․</w:t>
      </w:r>
    </w:p>
    <w:p w14:paraId="18BF8259" w14:textId="16851378" w:rsidR="00E171F1" w:rsidRDefault="00731BA3" w:rsidP="00731BA3">
      <w:pPr>
        <w:spacing w:after="120" w:line="360" w:lineRule="auto"/>
        <w:jc w:val="both"/>
      </w:pPr>
      <w:proofErr w:type="gramStart"/>
      <w:r>
        <w:lastRenderedPageBreak/>
        <w:t>Finally</w:t>
      </w:r>
      <w:proofErr w:type="gramEnd"/>
      <w:r>
        <w:t>‚ the plan should be regarded as a living document‚ as stakeholder perceptions will change as the project is developed‚ particularly at times when disruptive activities are envisaged like tree clearance or plant mobilization</w:t>
      </w:r>
      <w:r>
        <w:rPr>
          <w:rFonts w:ascii="MS Gothic" w:eastAsia="MS Gothic" w:hAnsi="MS Gothic" w:cs="MS Gothic" w:hint="eastAsia"/>
        </w:rPr>
        <w:t>․</w:t>
      </w:r>
      <w:r>
        <w:t xml:space="preserve"> The steering group should therefore review the communication plan at every monthly meeting and increase the frequency of resident-facing updates when sensitive issues arise</w:t>
      </w:r>
      <w:r>
        <w:rPr>
          <w:rFonts w:ascii="Aptos" w:hAnsi="Aptos" w:cs="Aptos"/>
        </w:rPr>
        <w:t>‚</w:t>
      </w:r>
      <w:r>
        <w:t xml:space="preserve"> rather than just sticking to the plan</w:t>
      </w:r>
      <w:r>
        <w:rPr>
          <w:rFonts w:ascii="MS Gothic" w:eastAsia="MS Gothic" w:hAnsi="MS Gothic" w:cs="MS Gothic" w:hint="eastAsia"/>
        </w:rPr>
        <w:t>․</w:t>
      </w:r>
    </w:p>
    <w:p w14:paraId="05F85C9D" w14:textId="77777777" w:rsidR="00E171F1" w:rsidRDefault="000E4F86">
      <w:pPr>
        <w:pStyle w:val="Heading1"/>
        <w:pageBreakBefore/>
        <w:spacing w:after="160" w:line="360" w:lineRule="auto"/>
      </w:pPr>
      <w:bookmarkStart w:id="10" w:name="_Toc237514483"/>
      <w:bookmarkStart w:id="11" w:name="_Toc237559304"/>
      <w:r>
        <w:rPr>
          <w:rFonts w:ascii="Times New Roman" w:eastAsia="Times New Roman" w:hAnsi="Times New Roman" w:cs="Times New Roman"/>
          <w:b/>
          <w:bCs/>
        </w:rPr>
        <w:lastRenderedPageBreak/>
        <w:t>Element 3: Ethical Considerations in Consultation, Participation and Feedback</w:t>
      </w:r>
      <w:bookmarkEnd w:id="10"/>
      <w:bookmarkEnd w:id="11"/>
    </w:p>
    <w:p w14:paraId="27E6D2A8" w14:textId="38341E95" w:rsidR="00432B75" w:rsidRDefault="00432B75" w:rsidP="00432B75">
      <w:pPr>
        <w:spacing w:after="120" w:line="360" w:lineRule="auto"/>
        <w:jc w:val="both"/>
      </w:pPr>
      <w:r>
        <w:t>For Greenway Park we will consult the public in a number of ways: via a survey of local residents on the borough website‚ drop-in sessions at the community centre and library at evenings and weekends‚ focus groups with local school kids and their parents</w:t>
      </w:r>
      <w:r>
        <w:rPr>
          <w:rFonts w:ascii="MS Gothic" w:eastAsia="MS Gothic" w:hAnsi="MS Gothic" w:cs="MS Gothic" w:hint="eastAsia"/>
        </w:rPr>
        <w:t>․</w:t>
      </w:r>
      <w:r>
        <w:t xml:space="preserve"> As well as technical workshops with environmental specialists</w:t>
      </w:r>
      <w:r>
        <w:rPr>
          <w:rFonts w:ascii="MS Gothic" w:eastAsia="MS Gothic" w:hAnsi="MS Gothic" w:cs="MS Gothic" w:hint="eastAsia"/>
        </w:rPr>
        <w:t>․</w:t>
      </w:r>
      <w:r>
        <w:t xml:space="preserve"> A mix of methods is needed because no one method will reach a representative group across this diverse ward</w:t>
      </w:r>
      <w:r>
        <w:rPr>
          <w:rFonts w:ascii="Aptos" w:hAnsi="Aptos" w:cs="Aptos"/>
        </w:rPr>
        <w:t>‚</w:t>
      </w:r>
      <w:r>
        <w:t xml:space="preserve"> and combining different methods helps seek the truth of the matter</w:t>
      </w:r>
      <w:r>
        <w:rPr>
          <w:rFonts w:ascii="Aptos" w:hAnsi="Aptos" w:cs="Aptos"/>
        </w:rPr>
        <w:t>‚</w:t>
      </w:r>
      <w:r>
        <w:t xml:space="preserve"> so the design is not influenced by whoever shouts loudest (Fung‚ 2015)</w:t>
      </w:r>
      <w:r>
        <w:rPr>
          <w:rFonts w:ascii="MS Gothic" w:eastAsia="MS Gothic" w:hAnsi="MS Gothic" w:cs="MS Gothic" w:hint="eastAsia"/>
        </w:rPr>
        <w:t>․</w:t>
      </w:r>
    </w:p>
    <w:p w14:paraId="5D2C2EDA" w14:textId="42860415" w:rsidR="00432B75" w:rsidRDefault="00432B75" w:rsidP="00432B75">
      <w:pPr>
        <w:spacing w:after="120" w:line="360" w:lineRule="auto"/>
        <w:jc w:val="both"/>
      </w:pPr>
      <w:r>
        <w:t>There are ethical considerations for the project</w:t>
      </w:r>
      <w:r>
        <w:rPr>
          <w:rFonts w:ascii="MS Gothic" w:eastAsia="MS Gothic" w:hAnsi="MS Gothic" w:cs="MS Gothic" w:hint="eastAsia"/>
        </w:rPr>
        <w:t>․</w:t>
      </w:r>
      <w:r>
        <w:t xml:space="preserve"> The consultation must comply with the UK GDPR and the Data Protection Act 2018 (ICO</w:t>
      </w:r>
      <w:r>
        <w:rPr>
          <w:rFonts w:ascii="Aptos" w:hAnsi="Aptos" w:cs="Aptos"/>
        </w:rPr>
        <w:t>‚</w:t>
      </w:r>
      <w:r>
        <w:t xml:space="preserve"> 2023)</w:t>
      </w:r>
      <w:r>
        <w:rPr>
          <w:rFonts w:ascii="MS Gothic" w:eastAsia="MS Gothic" w:hAnsi="MS Gothic" w:cs="MS Gothic" w:hint="eastAsia"/>
        </w:rPr>
        <w:t>․</w:t>
      </w:r>
      <w:r>
        <w:t xml:space="preserve"> Information collected in the consultation</w:t>
      </w:r>
      <w:r>
        <w:rPr>
          <w:rFonts w:ascii="Aptos" w:hAnsi="Aptos" w:cs="Aptos"/>
        </w:rPr>
        <w:t>‚</w:t>
      </w:r>
      <w:r>
        <w:t xml:space="preserve"> such as postcode</w:t>
      </w:r>
      <w:r>
        <w:rPr>
          <w:rFonts w:ascii="Aptos" w:hAnsi="Aptos" w:cs="Aptos"/>
        </w:rPr>
        <w:t>‚</w:t>
      </w:r>
      <w:r>
        <w:t xml:space="preserve"> age band</w:t>
      </w:r>
      <w:r>
        <w:rPr>
          <w:rFonts w:ascii="Aptos" w:hAnsi="Aptos" w:cs="Aptos"/>
        </w:rPr>
        <w:t>‚</w:t>
      </w:r>
      <w:r>
        <w:t xml:space="preserve"> ethnicity</w:t>
      </w:r>
      <w:r>
        <w:rPr>
          <w:rFonts w:ascii="Aptos" w:hAnsi="Aptos" w:cs="Aptos"/>
        </w:rPr>
        <w:t>‚</w:t>
      </w:r>
      <w:r>
        <w:t xml:space="preserve"> disability</w:t>
      </w:r>
      <w:r>
        <w:rPr>
          <w:rFonts w:ascii="Aptos" w:hAnsi="Aptos" w:cs="Aptos"/>
        </w:rPr>
        <w:t>‚</w:t>
      </w:r>
      <w:r>
        <w:t xml:space="preserve"> will be pseudonymised at the point of analysis and stored on the council secure ICT infrastructure‚ and deleted when the consultation report is finalized</w:t>
      </w:r>
      <w:r>
        <w:rPr>
          <w:rFonts w:ascii="MS Gothic" w:eastAsia="MS Gothic" w:hAnsi="MS Gothic" w:cs="MS Gothic" w:hint="eastAsia"/>
        </w:rPr>
        <w:t>․</w:t>
      </w:r>
      <w:r>
        <w:t xml:space="preserve"> Participants will be given a plain English privacy notice and consent will be recorded rather than </w:t>
      </w:r>
      <w:proofErr w:type="spellStart"/>
      <w:r>
        <w:t>assumed</w:t>
      </w:r>
      <w:r>
        <w:rPr>
          <w:rFonts w:ascii="MS Gothic" w:eastAsia="MS Gothic" w:hAnsi="MS Gothic" w:cs="MS Gothic" w:hint="eastAsia"/>
        </w:rPr>
        <w:t>․</w:t>
      </w:r>
      <w:r>
        <w:t>Where</w:t>
      </w:r>
      <w:proofErr w:type="spellEnd"/>
      <w:r>
        <w:t xml:space="preserve"> children attend workshops in schools‚ parental consent forms and safeguarding measures will be in accordance with the borough's child protection policy</w:t>
      </w:r>
      <w:r>
        <w:rPr>
          <w:rFonts w:ascii="MS Gothic" w:eastAsia="MS Gothic" w:hAnsi="MS Gothic" w:cs="MS Gothic" w:hint="eastAsia"/>
        </w:rPr>
        <w:t>․</w:t>
      </w:r>
    </w:p>
    <w:p w14:paraId="030E4767" w14:textId="77777777" w:rsidR="00432B75" w:rsidRDefault="00432B75" w:rsidP="00432B75">
      <w:pPr>
        <w:spacing w:after="120" w:line="360" w:lineRule="auto"/>
        <w:jc w:val="both"/>
      </w:pPr>
      <w:r>
        <w:t>Bias is also a potential concern: selection bias occurs if the consultation is necessarily limited to people who are already engaged with the council</w:t>
      </w:r>
      <w:r>
        <w:rPr>
          <w:rFonts w:ascii="MS Gothic" w:eastAsia="MS Gothic" w:hAnsi="MS Gothic" w:cs="MS Gothic" w:hint="eastAsia"/>
        </w:rPr>
        <w:t>․</w:t>
      </w:r>
      <w:r>
        <w:t xml:space="preserve"> Confirmation bias occurs when project team members read responses as though they answer their particular expectations</w:t>
      </w:r>
      <w:r>
        <w:rPr>
          <w:rFonts w:ascii="MS Gothic" w:eastAsia="MS Gothic" w:hAnsi="MS Gothic" w:cs="MS Gothic" w:hint="eastAsia"/>
        </w:rPr>
        <w:t>․</w:t>
      </w:r>
      <w:r>
        <w:t xml:space="preserve"> This can be minimized by specifying the aims of the analysis before reading all responses</w:t>
      </w:r>
      <w:r>
        <w:rPr>
          <w:rFonts w:ascii="Aptos" w:hAnsi="Aptos" w:cs="Aptos"/>
        </w:rPr>
        <w:t>‚</w:t>
      </w:r>
      <w:r>
        <w:t xml:space="preserve"> separately coding each open text response by two independent reviewers</w:t>
      </w:r>
      <w:r>
        <w:rPr>
          <w:rFonts w:ascii="Aptos" w:hAnsi="Aptos" w:cs="Aptos"/>
        </w:rPr>
        <w:t>‚</w:t>
      </w:r>
      <w:r>
        <w:t xml:space="preserve"> and comparing the demographics and characteristics of participants with ward-level census data</w:t>
      </w:r>
      <w:r>
        <w:rPr>
          <w:rFonts w:ascii="MS Gothic" w:eastAsia="MS Gothic" w:hAnsi="MS Gothic" w:cs="MS Gothic" w:hint="eastAsia"/>
        </w:rPr>
        <w:t>․</w:t>
      </w:r>
      <w:r>
        <w:t xml:space="preserve"> Where groups are underrepresented</w:t>
      </w:r>
      <w:r>
        <w:rPr>
          <w:rFonts w:ascii="Aptos" w:hAnsi="Aptos" w:cs="Aptos"/>
        </w:rPr>
        <w:t>‚</w:t>
      </w:r>
      <w:r>
        <w:t xml:space="preserve"> it is far more effective to approach them in targeted ways</w:t>
      </w:r>
      <w:r>
        <w:rPr>
          <w:rFonts w:ascii="Aptos" w:hAnsi="Aptos" w:cs="Aptos"/>
        </w:rPr>
        <w:t>‚</w:t>
      </w:r>
      <w:r>
        <w:t xml:space="preserve"> (</w:t>
      </w:r>
      <w:proofErr w:type="spellStart"/>
      <w:r>
        <w:t>e</w:t>
      </w:r>
      <w:r>
        <w:rPr>
          <w:rFonts w:ascii="MS Gothic" w:eastAsia="MS Gothic" w:hAnsi="MS Gothic" w:cs="MS Gothic" w:hint="eastAsia"/>
        </w:rPr>
        <w:t>․</w:t>
      </w:r>
      <w:r>
        <w:t>g</w:t>
      </w:r>
      <w:proofErr w:type="spellEnd"/>
      <w:r>
        <w:rPr>
          <w:rFonts w:ascii="MS Gothic" w:eastAsia="MS Gothic" w:hAnsi="MS Gothic" w:cs="MS Gothic" w:hint="eastAsia"/>
        </w:rPr>
        <w:t>․</w:t>
      </w:r>
      <w:r>
        <w:t xml:space="preserve"> by contacting places of worship</w:t>
      </w:r>
      <w:r>
        <w:rPr>
          <w:rFonts w:ascii="Aptos" w:hAnsi="Aptos" w:cs="Aptos"/>
        </w:rPr>
        <w:t>‚</w:t>
      </w:r>
      <w:r>
        <w:t xml:space="preserve"> mother-and-baby groups</w:t>
      </w:r>
      <w:r>
        <w:rPr>
          <w:rFonts w:ascii="Aptos" w:hAnsi="Aptos" w:cs="Aptos"/>
        </w:rPr>
        <w:t>‚</w:t>
      </w:r>
      <w:r>
        <w:t xml:space="preserve"> or attending a day centre)</w:t>
      </w:r>
      <w:r>
        <w:rPr>
          <w:rFonts w:ascii="Aptos" w:hAnsi="Aptos" w:cs="Aptos"/>
        </w:rPr>
        <w:t>‚</w:t>
      </w:r>
      <w:r>
        <w:t xml:space="preserve"> rather than to repeat the same open call and hope for a different result (Reed</w:t>
      </w:r>
      <w:r>
        <w:rPr>
          <w:rFonts w:ascii="Aptos" w:hAnsi="Aptos" w:cs="Aptos"/>
        </w:rPr>
        <w:t>‚</w:t>
      </w:r>
      <w:r>
        <w:t xml:space="preserve"> 2008)</w:t>
      </w:r>
      <w:r>
        <w:rPr>
          <w:rFonts w:ascii="MS Gothic" w:eastAsia="MS Gothic" w:hAnsi="MS Gothic" w:cs="MS Gothic" w:hint="eastAsia"/>
        </w:rPr>
        <w:t>․</w:t>
      </w:r>
    </w:p>
    <w:p w14:paraId="55D5E49A" w14:textId="77777777" w:rsidR="00432B75" w:rsidRDefault="00432B75" w:rsidP="00432B75">
      <w:pPr>
        <w:spacing w:after="120" w:line="360" w:lineRule="auto"/>
        <w:jc w:val="both"/>
      </w:pPr>
      <w:r>
        <w:t>Diversity‚ Equity and Inclusion (DEI) is also about thinking about who's not in the room</w:t>
      </w:r>
      <w:r>
        <w:rPr>
          <w:rFonts w:ascii="MS Gothic" w:eastAsia="MS Gothic" w:hAnsi="MS Gothic" w:cs="MS Gothic" w:hint="eastAsia"/>
        </w:rPr>
        <w:t>․</w:t>
      </w:r>
      <w:r>
        <w:t xml:space="preserve"> Croydon is one of the most ethnically diverse boroughs in London</w:t>
      </w:r>
      <w:r>
        <w:rPr>
          <w:rFonts w:ascii="Aptos" w:hAnsi="Aptos" w:cs="Aptos"/>
        </w:rPr>
        <w:t>‚</w:t>
      </w:r>
      <w:r>
        <w:t xml:space="preserve"> and the ward has meaningful Tamil</w:t>
      </w:r>
      <w:r>
        <w:rPr>
          <w:rFonts w:ascii="Aptos" w:hAnsi="Aptos" w:cs="Aptos"/>
        </w:rPr>
        <w:t>‚</w:t>
      </w:r>
      <w:r>
        <w:t xml:space="preserve"> Polish and Somali communities</w:t>
      </w:r>
      <w:r>
        <w:rPr>
          <w:rFonts w:ascii="MS Gothic" w:eastAsia="MS Gothic" w:hAnsi="MS Gothic" w:cs="MS Gothic" w:hint="eastAsia"/>
        </w:rPr>
        <w:t>․</w:t>
      </w:r>
      <w:r>
        <w:t xml:space="preserve"> Public documents should be widely available in the local community languages</w:t>
      </w:r>
      <w:r>
        <w:rPr>
          <w:rFonts w:ascii="Aptos" w:hAnsi="Aptos" w:cs="Aptos"/>
        </w:rPr>
        <w:t>‚</w:t>
      </w:r>
      <w:r>
        <w:t xml:space="preserve"> and drop-in sessions should take place outside the nine to five working week to accommodate shift workers and parents with childcare needs</w:t>
      </w:r>
      <w:r>
        <w:rPr>
          <w:rFonts w:ascii="MS Gothic" w:eastAsia="MS Gothic" w:hAnsi="MS Gothic" w:cs="MS Gothic" w:hint="eastAsia"/>
        </w:rPr>
        <w:t>․</w:t>
      </w:r>
      <w:r>
        <w:t xml:space="preserve"> Venues should be physically accessible (step-free access</w:t>
      </w:r>
      <w:r>
        <w:rPr>
          <w:rFonts w:ascii="Aptos" w:hAnsi="Aptos" w:cs="Aptos"/>
        </w:rPr>
        <w:t>‚</w:t>
      </w:r>
      <w:r>
        <w:t xml:space="preserve"> quiet rooms</w:t>
      </w:r>
      <w:r>
        <w:rPr>
          <w:rFonts w:ascii="Aptos" w:hAnsi="Aptos" w:cs="Aptos"/>
        </w:rPr>
        <w:t>‚</w:t>
      </w:r>
      <w:r>
        <w:t xml:space="preserve"> accessible toilets)</w:t>
      </w:r>
      <w:r>
        <w:rPr>
          <w:rFonts w:ascii="MS Gothic" w:eastAsia="MS Gothic" w:hAnsi="MS Gothic" w:cs="MS Gothic" w:hint="eastAsia"/>
        </w:rPr>
        <w:t>․</w:t>
      </w:r>
      <w:r>
        <w:t xml:space="preserve"> Digital should not be </w:t>
      </w:r>
      <w:r>
        <w:lastRenderedPageBreak/>
        <w:t>the only option as there is a risk of alienating older and less Internet-connected members of the public (Ofcom</w:t>
      </w:r>
      <w:r>
        <w:rPr>
          <w:rFonts w:ascii="Aptos" w:hAnsi="Aptos" w:cs="Aptos"/>
        </w:rPr>
        <w:t>‚</w:t>
      </w:r>
      <w:r>
        <w:t xml:space="preserve"> 2022)</w:t>
      </w:r>
      <w:r>
        <w:rPr>
          <w:rFonts w:ascii="MS Gothic" w:eastAsia="MS Gothic" w:hAnsi="MS Gothic" w:cs="MS Gothic" w:hint="eastAsia"/>
        </w:rPr>
        <w:t>․</w:t>
      </w:r>
    </w:p>
    <w:p w14:paraId="09AFCBE8" w14:textId="77777777" w:rsidR="00432B75" w:rsidRDefault="00432B75" w:rsidP="00432B75">
      <w:pPr>
        <w:spacing w:after="120" w:line="360" w:lineRule="auto"/>
        <w:jc w:val="both"/>
      </w:pPr>
      <w:r>
        <w:t>Equity means understanding that the park has an unequal impact</w:t>
      </w:r>
      <w:r>
        <w:rPr>
          <w:rFonts w:ascii="MS Gothic" w:eastAsia="MS Gothic" w:hAnsi="MS Gothic" w:cs="MS Gothic" w:hint="eastAsia"/>
        </w:rPr>
        <w:t>․</w:t>
      </w:r>
      <w:r>
        <w:t xml:space="preserve"> Residents across the street suffer the noise and dust of the construction</w:t>
      </w:r>
      <w:r>
        <w:rPr>
          <w:rFonts w:ascii="Aptos" w:hAnsi="Aptos" w:cs="Aptos"/>
        </w:rPr>
        <w:t>‚</w:t>
      </w:r>
      <w:r>
        <w:t xml:space="preserve"> while residents a ten minute walk away will see the benefits</w:t>
      </w:r>
      <w:r>
        <w:rPr>
          <w:rFonts w:ascii="MS Gothic" w:eastAsia="MS Gothic" w:hAnsi="MS Gothic" w:cs="MS Gothic" w:hint="eastAsia"/>
        </w:rPr>
        <w:t>․</w:t>
      </w:r>
      <w:r>
        <w:t xml:space="preserve"> An ethically recommended consultation will place more weight on those with a direct interest in the mitigation proposals‚ </w:t>
      </w:r>
      <w:proofErr w:type="spellStart"/>
      <w:r>
        <w:t>e</w:t>
      </w:r>
      <w:r>
        <w:rPr>
          <w:rFonts w:ascii="MS Gothic" w:eastAsia="MS Gothic" w:hAnsi="MS Gothic" w:cs="MS Gothic" w:hint="eastAsia"/>
        </w:rPr>
        <w:t>․</w:t>
      </w:r>
      <w:r>
        <w:t>g</w:t>
      </w:r>
      <w:proofErr w:type="spellEnd"/>
      <w:r>
        <w:rPr>
          <w:rFonts w:ascii="MS Gothic" w:eastAsia="MS Gothic" w:hAnsi="MS Gothic" w:cs="MS Gothic" w:hint="eastAsia"/>
        </w:rPr>
        <w:t>․</w:t>
      </w:r>
      <w:r>
        <w:t xml:space="preserve"> construction hours</w:t>
      </w:r>
      <w:r>
        <w:rPr>
          <w:rFonts w:ascii="Aptos" w:hAnsi="Aptos" w:cs="Aptos"/>
        </w:rPr>
        <w:t>‚</w:t>
      </w:r>
      <w:r>
        <w:t xml:space="preserve"> hoarding design</w:t>
      </w:r>
      <w:r>
        <w:rPr>
          <w:rFonts w:ascii="Aptos" w:hAnsi="Aptos" w:cs="Aptos"/>
        </w:rPr>
        <w:t>‚</w:t>
      </w:r>
      <w:r>
        <w:t xml:space="preserve"> dust suppression</w:t>
      </w:r>
      <w:r>
        <w:rPr>
          <w:rFonts w:ascii="Aptos" w:hAnsi="Aptos" w:cs="Aptos"/>
        </w:rPr>
        <w:t>‚</w:t>
      </w:r>
      <w:r>
        <w:t xml:space="preserve"> than those living half a mile away</w:t>
      </w:r>
      <w:r>
        <w:rPr>
          <w:rFonts w:ascii="MS Gothic" w:eastAsia="MS Gothic" w:hAnsi="MS Gothic" w:cs="MS Gothic" w:hint="eastAsia"/>
        </w:rPr>
        <w:t>․</w:t>
      </w:r>
      <w:r>
        <w:t xml:space="preserve"> The needs of the distant community should not be ignored; the point is about proportionality</w:t>
      </w:r>
      <w:r>
        <w:rPr>
          <w:rFonts w:ascii="MS Gothic" w:eastAsia="MS Gothic" w:hAnsi="MS Gothic" w:cs="MS Gothic" w:hint="eastAsia"/>
        </w:rPr>
        <w:t>․</w:t>
      </w:r>
    </w:p>
    <w:p w14:paraId="382E333C" w14:textId="2A577E2F" w:rsidR="00432B75" w:rsidRDefault="00432B75" w:rsidP="00432B75">
      <w:pPr>
        <w:spacing w:after="120" w:line="360" w:lineRule="auto"/>
        <w:jc w:val="both"/>
      </w:pPr>
      <w:r>
        <w:t xml:space="preserve">To ensure that the feedback is meaningful project team will‚ after each consultation phase‚ prepare a short report explaining what was considered or actioned in a 'you said‚ we did' type format - </w:t>
      </w:r>
      <w:proofErr w:type="spellStart"/>
      <w:r>
        <w:t>i</w:t>
      </w:r>
      <w:r>
        <w:rPr>
          <w:rFonts w:ascii="MS Gothic" w:eastAsia="MS Gothic" w:hAnsi="MS Gothic" w:cs="MS Gothic" w:hint="eastAsia"/>
        </w:rPr>
        <w:t>․</w:t>
      </w:r>
      <w:r>
        <w:t>e</w:t>
      </w:r>
      <w:proofErr w:type="spellEnd"/>
      <w:r>
        <w:rPr>
          <w:rFonts w:ascii="MS Gothic" w:eastAsia="MS Gothic" w:hAnsi="MS Gothic" w:cs="MS Gothic" w:hint="eastAsia"/>
        </w:rPr>
        <w:t>․</w:t>
      </w:r>
      <w:r>
        <w:t xml:space="preserve"> what feedback was accepted and </w:t>
      </w:r>
      <w:proofErr w:type="spellStart"/>
      <w:r>
        <w:t>why;what</w:t>
      </w:r>
      <w:proofErr w:type="spellEnd"/>
      <w:r>
        <w:t xml:space="preserve"> was considered and why; and what was outside the scope of the project</w:t>
      </w:r>
      <w:r>
        <w:rPr>
          <w:rFonts w:ascii="MS Gothic" w:eastAsia="MS Gothic" w:hAnsi="MS Gothic" w:cs="MS Gothic" w:hint="eastAsia"/>
        </w:rPr>
        <w:t>․</w:t>
      </w:r>
      <w:r>
        <w:t xml:space="preserve"> Closing the loop is often ignored</w:t>
      </w:r>
      <w:r>
        <w:rPr>
          <w:rFonts w:ascii="Aptos" w:hAnsi="Aptos" w:cs="Aptos"/>
        </w:rPr>
        <w:t>‚</w:t>
      </w:r>
      <w:r>
        <w:t xml:space="preserve"> and is a major reason why communities become cynical about local consultation (Innes and Booher</w:t>
      </w:r>
      <w:r>
        <w:rPr>
          <w:rFonts w:ascii="Aptos" w:hAnsi="Aptos" w:cs="Aptos"/>
        </w:rPr>
        <w:t>‚</w:t>
      </w:r>
      <w:r>
        <w:t xml:space="preserve"> 2004)</w:t>
      </w:r>
      <w:r>
        <w:rPr>
          <w:rFonts w:ascii="MS Gothic" w:eastAsia="MS Gothic" w:hAnsi="MS Gothic" w:cs="MS Gothic" w:hint="eastAsia"/>
        </w:rPr>
        <w:t>․</w:t>
      </w:r>
      <w:r>
        <w:t xml:space="preserve"> We will send the written response to the same channels you used to respond to the consultation so people who took part in it can see it‚ rather than it getting lost on a webpage</w:t>
      </w:r>
      <w:r>
        <w:rPr>
          <w:rFonts w:ascii="MS Gothic" w:eastAsia="MS Gothic" w:hAnsi="MS Gothic" w:cs="MS Gothic" w:hint="eastAsia"/>
        </w:rPr>
        <w:t>․</w:t>
      </w:r>
    </w:p>
    <w:p w14:paraId="0FFF33F0" w14:textId="5F70683A" w:rsidR="00E171F1" w:rsidRDefault="00432B75" w:rsidP="00432B75">
      <w:pPr>
        <w:spacing w:after="120" w:line="360" w:lineRule="auto"/>
        <w:jc w:val="both"/>
      </w:pPr>
      <w:r>
        <w:t>Finally‚ and maybe most importantly from an ethical standpoint‚ take naysayers seriously</w:t>
      </w:r>
      <w:r>
        <w:rPr>
          <w:rFonts w:ascii="MS Gothic" w:eastAsia="MS Gothic" w:hAnsi="MS Gothic" w:cs="MS Gothic" w:hint="eastAsia"/>
        </w:rPr>
        <w:t>․</w:t>
      </w:r>
      <w:r>
        <w:t xml:space="preserve"> They're easy to dismiss as unreasonable or unrepresentative</w:t>
      </w:r>
      <w:r>
        <w:rPr>
          <w:rFonts w:ascii="Aptos" w:hAnsi="Aptos" w:cs="Aptos"/>
        </w:rPr>
        <w:t>‚</w:t>
      </w:r>
      <w:r>
        <w:t xml:space="preserve"> but the people who feel the most uneasy about your proposal might just have the most valuable feedback</w:t>
      </w:r>
      <w:r>
        <w:rPr>
          <w:rFonts w:ascii="MS Gothic" w:eastAsia="MS Gothic" w:hAnsi="MS Gothic" w:cs="MS Gothic" w:hint="eastAsia"/>
        </w:rPr>
        <w:t>․</w:t>
      </w:r>
      <w:r>
        <w:t xml:space="preserve"> If so‚ you may want to build in a way to document serious concerns‚ such as naming an independent community liaison officer or named council contact</w:t>
      </w:r>
      <w:r>
        <w:rPr>
          <w:rFonts w:ascii="MS Gothic" w:eastAsia="MS Gothic" w:hAnsi="MS Gothic" w:cs="MS Gothic" w:hint="eastAsia"/>
        </w:rPr>
        <w:t>․</w:t>
      </w:r>
      <w:r>
        <w:t xml:space="preserve"> This is a small reorganization but shows that the project welcomes challenge as well as celebration</w:t>
      </w:r>
      <w:r>
        <w:rPr>
          <w:rFonts w:ascii="MS Gothic" w:eastAsia="MS Gothic" w:hAnsi="MS Gothic" w:cs="MS Gothic" w:hint="eastAsia"/>
        </w:rPr>
        <w:t>․</w:t>
      </w:r>
    </w:p>
    <w:p w14:paraId="4C7830B0" w14:textId="77777777" w:rsidR="00E171F1" w:rsidRDefault="000E4F86">
      <w:pPr>
        <w:pStyle w:val="Heading1"/>
        <w:pageBreakBefore/>
        <w:spacing w:after="160" w:line="360" w:lineRule="auto"/>
      </w:pPr>
      <w:bookmarkStart w:id="12" w:name="_Toc237514484"/>
      <w:bookmarkStart w:id="13" w:name="_Toc237559305"/>
      <w:r>
        <w:rPr>
          <w:rFonts w:ascii="Times New Roman" w:eastAsia="Times New Roman" w:hAnsi="Times New Roman" w:cs="Times New Roman"/>
          <w:b/>
          <w:bCs/>
        </w:rPr>
        <w:lastRenderedPageBreak/>
        <w:t>Element 4: Conclusion and Reflection</w:t>
      </w:r>
      <w:bookmarkEnd w:id="12"/>
      <w:bookmarkEnd w:id="13"/>
    </w:p>
    <w:p w14:paraId="39F0BA1D" w14:textId="77777777" w:rsidR="00E171F1" w:rsidRDefault="000E4F86">
      <w:pPr>
        <w:pStyle w:val="Heading2"/>
        <w:spacing w:before="200" w:after="120" w:line="360" w:lineRule="auto"/>
      </w:pPr>
      <w:bookmarkStart w:id="14" w:name="_Toc237514485"/>
      <w:bookmarkStart w:id="15" w:name="_Toc237559306"/>
      <w:r>
        <w:rPr>
          <w:rFonts w:ascii="Times New Roman" w:eastAsia="Times New Roman" w:hAnsi="Times New Roman" w:cs="Times New Roman"/>
          <w:b/>
          <w:bCs/>
        </w:rPr>
        <w:t>4.1 Conclusion</w:t>
      </w:r>
      <w:bookmarkEnd w:id="14"/>
      <w:bookmarkEnd w:id="15"/>
    </w:p>
    <w:p w14:paraId="28AF198C" w14:textId="63E5D64D" w:rsidR="00EB73C1" w:rsidRDefault="00EB73C1" w:rsidP="00EB73C1">
      <w:pPr>
        <w:spacing w:after="120" w:line="360" w:lineRule="auto"/>
        <w:jc w:val="both"/>
      </w:pPr>
      <w:r>
        <w:t>Although Greenway Park was a relatively small scheme‚ it has taught us a lot about stakeholder management</w:t>
      </w:r>
      <w:r>
        <w:rPr>
          <w:rFonts w:ascii="MS Gothic" w:eastAsia="MS Gothic" w:hAnsi="MS Gothic" w:cs="MS Gothic" w:hint="eastAsia"/>
        </w:rPr>
        <w:t>․</w:t>
      </w:r>
      <w:r>
        <w:t xml:space="preserve"> This portfolio has revealed that even when approaching one local piece of infrastructure</w:t>
      </w:r>
      <w:r>
        <w:rPr>
          <w:rFonts w:ascii="Aptos" w:hAnsi="Aptos" w:cs="Aptos"/>
        </w:rPr>
        <w:t>‚</w:t>
      </w:r>
      <w:r>
        <w:t xml:space="preserve"> there are a range of different stakeholders from the local authority (who have statutory duties)‚ local residents and communities‚ environmental partners‚ businesses and contractors‚ each with their forms of power and interest</w:t>
      </w:r>
      <w:r>
        <w:rPr>
          <w:rFonts w:ascii="MS Gothic" w:eastAsia="MS Gothic" w:hAnsi="MS Gothic" w:cs="MS Gothic" w:hint="eastAsia"/>
        </w:rPr>
        <w:t>․</w:t>
      </w:r>
      <w:r>
        <w:t xml:space="preserve"> Tools such as Mendelow's matrix and a carefully created communication plan help the project team ensure that stakeholders receive neither too little nor too much attention</w:t>
      </w:r>
      <w:r>
        <w:rPr>
          <w:rFonts w:ascii="MS Gothic" w:eastAsia="MS Gothic" w:hAnsi="MS Gothic" w:cs="MS Gothic" w:hint="eastAsia"/>
        </w:rPr>
        <w:t>․</w:t>
      </w:r>
    </w:p>
    <w:p w14:paraId="6073EA4C" w14:textId="035B3DC4" w:rsidR="00EB73C1" w:rsidRDefault="00EB73C1" w:rsidP="00EB73C1">
      <w:pPr>
        <w:spacing w:after="120" w:line="360" w:lineRule="auto"/>
        <w:jc w:val="both"/>
      </w:pPr>
      <w:proofErr w:type="gramStart"/>
      <w:r>
        <w:t>However</w:t>
      </w:r>
      <w:proofErr w:type="gramEnd"/>
      <w:r>
        <w:t>‚ as the portfolio notes‚ stakeholder management is not just a technical issue‚ it's an ethical issue too: deciding who to involve‚ when to involve them‚ in what language‚ at what time and through what medium quietly shapes whose voice is heard</w:t>
      </w:r>
      <w:r>
        <w:rPr>
          <w:rFonts w:ascii="MS Gothic" w:eastAsia="MS Gothic" w:hAnsi="MS Gothic" w:cs="MS Gothic" w:hint="eastAsia"/>
        </w:rPr>
        <w:t>․</w:t>
      </w:r>
      <w:r>
        <w:t xml:space="preserve"> Pragmatically</w:t>
      </w:r>
      <w:r>
        <w:rPr>
          <w:rFonts w:ascii="Aptos" w:hAnsi="Aptos" w:cs="Aptos"/>
        </w:rPr>
        <w:t>‚</w:t>
      </w:r>
      <w:r>
        <w:t xml:space="preserve"> this may be achieved through careful interpretation of the UK </w:t>
      </w:r>
      <w:proofErr w:type="spellStart"/>
      <w:r>
        <w:t>GDPR</w:t>
      </w:r>
      <w:r>
        <w:rPr>
          <w:rFonts w:ascii="Aptos" w:hAnsi="Aptos" w:cs="Aptos"/>
        </w:rPr>
        <w:t>‚</w:t>
      </w:r>
      <w:r>
        <w:t>actively</w:t>
      </w:r>
      <w:proofErr w:type="spellEnd"/>
      <w:r>
        <w:t xml:space="preserve"> tackling </w:t>
      </w:r>
      <w:proofErr w:type="spellStart"/>
      <w:r>
        <w:t>bias‚</w:t>
      </w:r>
      <w:proofErr w:type="spellEnd"/>
      <w:r>
        <w:t xml:space="preserve"> embedding DEI in the design of consultations and closing the feedback loop (Reed‚ 2008; Innes and Booher‚ </w:t>
      </w:r>
      <w:proofErr w:type="gramStart"/>
      <w:r>
        <w:t>2004)</w:t>
      </w:r>
      <w:r>
        <w:rPr>
          <w:rFonts w:ascii="MS Gothic" w:eastAsia="MS Gothic" w:hAnsi="MS Gothic" w:cs="MS Gothic" w:hint="eastAsia"/>
        </w:rPr>
        <w:t>․</w:t>
      </w:r>
      <w:proofErr w:type="gramEnd"/>
    </w:p>
    <w:p w14:paraId="0E8550B1" w14:textId="5E5D29FF" w:rsidR="00E171F1" w:rsidRDefault="00EB73C1" w:rsidP="00EB73C1">
      <w:pPr>
        <w:spacing w:after="120" w:line="360" w:lineRule="auto"/>
        <w:jc w:val="both"/>
      </w:pPr>
      <w:r>
        <w:t>All of this is predicated on the idea that stakeholder engagement will lead to greater project success and project longevity</w:t>
      </w:r>
      <w:r>
        <w:rPr>
          <w:rFonts w:ascii="MS Gothic" w:eastAsia="MS Gothic" w:hAnsi="MS Gothic" w:cs="MS Gothic" w:hint="eastAsia"/>
        </w:rPr>
        <w:t>․</w:t>
      </w:r>
      <w:r>
        <w:t xml:space="preserve"> Projects which seek to suppress objections in the short term will see those objections resurface</w:t>
      </w:r>
      <w:r>
        <w:rPr>
          <w:rFonts w:ascii="Aptos" w:hAnsi="Aptos" w:cs="Aptos"/>
        </w:rPr>
        <w:t>‚</w:t>
      </w:r>
      <w:r>
        <w:t xml:space="preserve"> louder</w:t>
      </w:r>
      <w:r>
        <w:rPr>
          <w:rFonts w:ascii="Aptos" w:hAnsi="Aptos" w:cs="Aptos"/>
        </w:rPr>
        <w:t>‚</w:t>
      </w:r>
      <w:r>
        <w:t xml:space="preserve"> at planning appeal or in public </w:t>
      </w:r>
      <w:proofErr w:type="spellStart"/>
      <w:r>
        <w:t>campaigns</w:t>
      </w:r>
      <w:r>
        <w:rPr>
          <w:rFonts w:ascii="MS Gothic" w:eastAsia="MS Gothic" w:hAnsi="MS Gothic" w:cs="MS Gothic" w:hint="eastAsia"/>
        </w:rPr>
        <w:t>․</w:t>
      </w:r>
      <w:r>
        <w:t>If</w:t>
      </w:r>
      <w:proofErr w:type="spellEnd"/>
      <w:r>
        <w:t xml:space="preserve"> it is properly planned and consulted upon‚ with real stakeholder engagement‚ projects produce assets that are valued‚ cherished and maintained by the community long after the ribbon cutting (Bourne‚ 2016; </w:t>
      </w:r>
      <w:proofErr w:type="spellStart"/>
      <w:r>
        <w:t>Chinyio</w:t>
      </w:r>
      <w:proofErr w:type="spellEnd"/>
      <w:r>
        <w:t xml:space="preserve"> and </w:t>
      </w:r>
      <w:proofErr w:type="spellStart"/>
      <w:r>
        <w:t>Olomolaiye</w:t>
      </w:r>
      <w:proofErr w:type="spellEnd"/>
      <w:r>
        <w:t>‚ 2010)</w:t>
      </w:r>
      <w:r>
        <w:rPr>
          <w:rFonts w:ascii="MS Gothic" w:eastAsia="MS Gothic" w:hAnsi="MS Gothic" w:cs="MS Gothic" w:hint="eastAsia"/>
        </w:rPr>
        <w:t>․</w:t>
      </w:r>
      <w:r>
        <w:t xml:space="preserve"> The best outcome for Greenway Park would be a park that is used and cared for and gently adapted over time by the very people who designed it</w:t>
      </w:r>
      <w:r>
        <w:rPr>
          <w:rFonts w:ascii="MS Gothic" w:eastAsia="MS Gothic" w:hAnsi="MS Gothic" w:cs="MS Gothic" w:hint="eastAsia"/>
        </w:rPr>
        <w:t>․</w:t>
      </w:r>
    </w:p>
    <w:p w14:paraId="2B7561C1" w14:textId="77777777" w:rsidR="00E171F1" w:rsidRDefault="000E4F86">
      <w:pPr>
        <w:pStyle w:val="Heading2"/>
        <w:spacing w:before="200" w:after="120" w:line="360" w:lineRule="auto"/>
      </w:pPr>
      <w:bookmarkStart w:id="16" w:name="_Toc237514486"/>
      <w:bookmarkStart w:id="17" w:name="_Toc237559307"/>
      <w:r>
        <w:rPr>
          <w:rFonts w:ascii="Times New Roman" w:eastAsia="Times New Roman" w:hAnsi="Times New Roman" w:cs="Times New Roman"/>
          <w:b/>
          <w:bCs/>
        </w:rPr>
        <w:t>4.2 Reflection</w:t>
      </w:r>
      <w:bookmarkEnd w:id="16"/>
      <w:bookmarkEnd w:id="17"/>
    </w:p>
    <w:p w14:paraId="6BBE97D6" w14:textId="1483FAC3" w:rsidR="00CB21F0" w:rsidRDefault="00CB21F0" w:rsidP="00CB21F0">
      <w:pPr>
        <w:spacing w:after="120" w:line="360" w:lineRule="auto"/>
        <w:jc w:val="both"/>
      </w:pPr>
      <w:r>
        <w:t>Having completed the portfolio I have changed my approach to stakeholder management and structured my account learning using Gibbs' (1988) reflective cycle</w:t>
      </w:r>
      <w:r>
        <w:rPr>
          <w:rFonts w:ascii="MS Gothic" w:eastAsia="MS Gothic" w:hAnsi="MS Gothic" w:cs="MS Gothic" w:hint="eastAsia"/>
        </w:rPr>
        <w:t>․</w:t>
      </w:r>
      <w:r>
        <w:t xml:space="preserve"> In the description stage I was asked to assume the role of a junior stakeholder manager on a real project</w:t>
      </w:r>
      <w:r>
        <w:rPr>
          <w:rFonts w:ascii="MS Gothic" w:eastAsia="MS Gothic" w:hAnsi="MS Gothic" w:cs="MS Gothic" w:hint="eastAsia"/>
        </w:rPr>
        <w:t>․</w:t>
      </w:r>
      <w:r>
        <w:t xml:space="preserve"> I figured that this would be a matter of creating a list of the players and drawing up a matrix</w:t>
      </w:r>
      <w:r>
        <w:rPr>
          <w:rFonts w:ascii="MS Gothic" w:eastAsia="MS Gothic" w:hAnsi="MS Gothic" w:cs="MS Gothic" w:hint="eastAsia"/>
        </w:rPr>
        <w:t>․</w:t>
      </w:r>
      <w:r>
        <w:t xml:space="preserve"> When I started mapping the Greenway Park stakeholders </w:t>
      </w:r>
      <w:proofErr w:type="spellStart"/>
      <w:r>
        <w:t>though</w:t>
      </w:r>
      <w:r>
        <w:rPr>
          <w:rFonts w:ascii="Aptos" w:hAnsi="Aptos" w:cs="Aptos"/>
        </w:rPr>
        <w:t>‚</w:t>
      </w:r>
      <w:r>
        <w:t>I</w:t>
      </w:r>
      <w:proofErr w:type="spellEnd"/>
      <w:r>
        <w:t xml:space="preserve"> found it was more complex than I thought</w:t>
      </w:r>
      <w:r>
        <w:rPr>
          <w:rFonts w:ascii="MS Gothic" w:eastAsia="MS Gothic" w:hAnsi="MS Gothic" w:cs="MS Gothic" w:hint="eastAsia"/>
        </w:rPr>
        <w:t>․</w:t>
      </w:r>
    </w:p>
    <w:p w14:paraId="09D3DCFD" w14:textId="77777777" w:rsidR="00CB21F0" w:rsidRDefault="00CB21F0" w:rsidP="00CB21F0">
      <w:pPr>
        <w:spacing w:after="120" w:line="360" w:lineRule="auto"/>
        <w:jc w:val="both"/>
      </w:pPr>
      <w:r>
        <w:t>I wasn't sure how I would view my performance on the exercise when I was done</w:t>
      </w:r>
      <w:r>
        <w:rPr>
          <w:rFonts w:ascii="MS Gothic" w:eastAsia="MS Gothic" w:hAnsi="MS Gothic" w:cs="MS Gothic" w:hint="eastAsia"/>
        </w:rPr>
        <w:t>․</w:t>
      </w:r>
      <w:r>
        <w:t xml:space="preserve"> When I drew the power/interest grid</w:t>
      </w:r>
      <w:r>
        <w:rPr>
          <w:rFonts w:ascii="Aptos" w:hAnsi="Aptos" w:cs="Aptos"/>
        </w:rPr>
        <w:t>‚</w:t>
      </w:r>
      <w:r>
        <w:t xml:space="preserve"> I put the residents in the "keep informed" quadrant automatically </w:t>
      </w:r>
      <w:r>
        <w:lastRenderedPageBreak/>
        <w:t>because that is the textbook answer</w:t>
      </w:r>
      <w:r>
        <w:rPr>
          <w:rFonts w:ascii="MS Gothic" w:eastAsia="MS Gothic" w:hAnsi="MS Gothic" w:cs="MS Gothic" w:hint="eastAsia"/>
        </w:rPr>
        <w:t>․</w:t>
      </w:r>
      <w:r>
        <w:t xml:space="preserve"> Reading Arnstein (1969) and Reed (2008)‚ I was not comfortable with that placement though‚ as that can end up being consultation as public relations‚ rather than real participatory processes</w:t>
      </w:r>
      <w:r>
        <w:rPr>
          <w:rFonts w:ascii="MS Gothic" w:eastAsia="MS Gothic" w:hAnsi="MS Gothic" w:cs="MS Gothic" w:hint="eastAsia"/>
        </w:rPr>
        <w:t>․</w:t>
      </w:r>
      <w:r>
        <w:t xml:space="preserve"> I preferred the new plan - genuinely trying to add appropriate two-way processes - even though it was harder to justify in a project meeting where staff feel a lighter</w:t>
      </w:r>
      <w:r>
        <w:rPr>
          <w:rFonts w:ascii="Aptos" w:hAnsi="Aptos" w:cs="Aptos"/>
        </w:rPr>
        <w:t>‚</w:t>
      </w:r>
      <w:r>
        <w:t xml:space="preserve"> quieter approach might suit better</w:t>
      </w:r>
      <w:r>
        <w:rPr>
          <w:rFonts w:ascii="MS Gothic" w:eastAsia="MS Gothic" w:hAnsi="MS Gothic" w:cs="MS Gothic" w:hint="eastAsia"/>
        </w:rPr>
        <w:t>․</w:t>
      </w:r>
    </w:p>
    <w:p w14:paraId="1FD18D49" w14:textId="2637C1FD" w:rsidR="00CB21F0" w:rsidRDefault="00CB21F0" w:rsidP="00CB21F0">
      <w:pPr>
        <w:spacing w:after="120" w:line="360" w:lineRule="auto"/>
        <w:jc w:val="both"/>
      </w:pPr>
      <w:r>
        <w:t>In hindsight the best element is the communication plan‚ which forced me to think practically about time‚ language and medium rather than staying at the theoretical level</w:t>
      </w:r>
      <w:r>
        <w:rPr>
          <w:rFonts w:ascii="MS Gothic" w:eastAsia="MS Gothic" w:hAnsi="MS Gothic" w:cs="MS Gothic" w:hint="eastAsia"/>
        </w:rPr>
        <w:t>․</w:t>
      </w:r>
      <w:r>
        <w:t xml:space="preserve"> The worst part was my first attempt at the ethical section</w:t>
      </w:r>
      <w:r>
        <w:rPr>
          <w:rFonts w:ascii="Aptos" w:hAnsi="Aptos" w:cs="Aptos"/>
        </w:rPr>
        <w:t>‚</w:t>
      </w:r>
      <w:r>
        <w:t xml:space="preserve"> which was presented more like a statement of principles than any decisions I'd </w:t>
      </w:r>
      <w:proofErr w:type="spellStart"/>
      <w:r>
        <w:t>made</w:t>
      </w:r>
      <w:r>
        <w:rPr>
          <w:rFonts w:ascii="MS Gothic" w:eastAsia="MS Gothic" w:hAnsi="MS Gothic" w:cs="MS Gothic" w:hint="eastAsia"/>
        </w:rPr>
        <w:t>․</w:t>
      </w:r>
      <w:r>
        <w:t>I</w:t>
      </w:r>
      <w:proofErr w:type="spellEnd"/>
      <w:r>
        <w:t xml:space="preserve"> had to rewrite it to make the DEI considerations concrete to Croydon rather than generic to any project</w:t>
      </w:r>
      <w:r>
        <w:rPr>
          <w:rFonts w:ascii="MS Gothic" w:eastAsia="MS Gothic" w:hAnsi="MS Gothic" w:cs="MS Gothic" w:hint="eastAsia"/>
        </w:rPr>
        <w:t>․</w:t>
      </w:r>
    </w:p>
    <w:p w14:paraId="4525E5E9" w14:textId="77777777" w:rsidR="00CB21F0" w:rsidRDefault="00CB21F0" w:rsidP="00CB21F0">
      <w:pPr>
        <w:spacing w:after="120" w:line="360" w:lineRule="auto"/>
        <w:jc w:val="both"/>
      </w:pPr>
      <w:r>
        <w:t>I see stakeholder management now as a discipline of trade-offs</w:t>
      </w:r>
      <w:r>
        <w:rPr>
          <w:rFonts w:ascii="MS Gothic" w:eastAsia="MS Gothic" w:hAnsi="MS Gothic" w:cs="MS Gothic" w:hint="eastAsia"/>
        </w:rPr>
        <w:t>․</w:t>
      </w:r>
      <w:r>
        <w:t xml:space="preserve"> No plan is perfect; the best plan is one that recognizes what is being prioritized and why</w:t>
      </w:r>
      <w:r>
        <w:rPr>
          <w:rFonts w:ascii="Aptos" w:hAnsi="Aptos" w:cs="Aptos"/>
        </w:rPr>
        <w:t>‚</w:t>
      </w:r>
      <w:r>
        <w:t xml:space="preserve"> and works to manage those trade-offs</w:t>
      </w:r>
      <w:r>
        <w:rPr>
          <w:rFonts w:ascii="MS Gothic" w:eastAsia="MS Gothic" w:hAnsi="MS Gothic" w:cs="MS Gothic" w:hint="eastAsia"/>
        </w:rPr>
        <w:t>․</w:t>
      </w:r>
      <w:r>
        <w:t xml:space="preserve"> This closely relates to what </w:t>
      </w:r>
      <w:proofErr w:type="spellStart"/>
      <w:r>
        <w:t>Chinyio</w:t>
      </w:r>
      <w:proofErr w:type="spellEnd"/>
      <w:r>
        <w:t xml:space="preserve"> and </w:t>
      </w:r>
      <w:proofErr w:type="spellStart"/>
      <w:r>
        <w:t>Olomolaiye</w:t>
      </w:r>
      <w:proofErr w:type="spellEnd"/>
      <w:r>
        <w:t xml:space="preserve"> (2010) say about stakeholder management in construction being about managing perception and trust over time rather than just having a document done at the start of the project and then filing it away</w:t>
      </w:r>
      <w:r>
        <w:rPr>
          <w:rFonts w:ascii="MS Gothic" w:eastAsia="MS Gothic" w:hAnsi="MS Gothic" w:cs="MS Gothic" w:hint="eastAsia"/>
        </w:rPr>
        <w:t>․</w:t>
      </w:r>
    </w:p>
    <w:p w14:paraId="59F204EB" w14:textId="77777777" w:rsidR="00CB21F0" w:rsidRDefault="00CB21F0" w:rsidP="00CB21F0">
      <w:pPr>
        <w:spacing w:after="120" w:line="360" w:lineRule="auto"/>
        <w:jc w:val="both"/>
      </w:pPr>
      <w:r>
        <w:t>To sum up what I have learned‚ the biggest change at a professional level is that stakeholder management is no longer simply a compliance exercise: I now see it as important to the project's legitimacy in the eyes of its users</w:t>
      </w:r>
      <w:r>
        <w:rPr>
          <w:rFonts w:ascii="MS Gothic" w:eastAsia="MS Gothic" w:hAnsi="MS Gothic" w:cs="MS Gothic" w:hint="eastAsia"/>
        </w:rPr>
        <w:t>․</w:t>
      </w:r>
      <w:r>
        <w:t xml:space="preserve"> That reframing changes which question I ask first</w:t>
      </w:r>
      <w:r>
        <w:rPr>
          <w:rFonts w:ascii="Aptos" w:hAnsi="Aptos" w:cs="Aptos"/>
        </w:rPr>
        <w:t>‚</w:t>
      </w:r>
      <w:r>
        <w:t xml:space="preserve"> from "how do we get this approved?" to "whose experience are we designing for?"</w:t>
      </w:r>
    </w:p>
    <w:p w14:paraId="788C1E1A" w14:textId="6C51951E" w:rsidR="00E171F1" w:rsidRDefault="00CB21F0" w:rsidP="00CB21F0">
      <w:pPr>
        <w:spacing w:after="120" w:line="360" w:lineRule="auto"/>
        <w:jc w:val="both"/>
      </w:pPr>
      <w:r>
        <w:t>If I were to take this action plan forward‚ I would want to develop three skills throughout future modules and placements</w:t>
      </w:r>
      <w:r>
        <w:rPr>
          <w:rFonts w:ascii="MS Gothic" w:eastAsia="MS Gothic" w:hAnsi="MS Gothic" w:cs="MS Gothic" w:hint="eastAsia"/>
        </w:rPr>
        <w:t>․</w:t>
      </w:r>
      <w:r>
        <w:t xml:space="preserve"> The first relates to how I can design an accessible consultation process for communities that I am not a part </w:t>
      </w:r>
      <w:proofErr w:type="spellStart"/>
      <w:r>
        <w:t>of</w:t>
      </w:r>
      <w:r>
        <w:t>,</w:t>
      </w:r>
      <w:r>
        <w:t>as</w:t>
      </w:r>
      <w:proofErr w:type="spellEnd"/>
      <w:r>
        <w:t xml:space="preserve"> good intentions are not enough without lived experience input</w:t>
      </w:r>
      <w:r>
        <w:rPr>
          <w:rFonts w:ascii="MS Gothic" w:eastAsia="MS Gothic" w:hAnsi="MS Gothic" w:cs="MS Gothic" w:hint="eastAsia"/>
        </w:rPr>
        <w:t>․</w:t>
      </w:r>
      <w:r>
        <w:t xml:space="preserve"> Second</w:t>
      </w:r>
      <w:r>
        <w:rPr>
          <w:rFonts w:ascii="Aptos" w:hAnsi="Aptos" w:cs="Aptos"/>
        </w:rPr>
        <w:t>‚</w:t>
      </w:r>
      <w:r>
        <w:t xml:space="preserve"> chairing meetings where opinions genuinely conflict</w:t>
      </w:r>
      <w:r>
        <w:rPr>
          <w:rFonts w:ascii="Aptos" w:hAnsi="Aptos" w:cs="Aptos"/>
        </w:rPr>
        <w:t>‚</w:t>
      </w:r>
      <w:r>
        <w:t xml:space="preserve"> because my instinct is to smooth disagreement rather than let it surface</w:t>
      </w:r>
      <w:r>
        <w:rPr>
          <w:rFonts w:ascii="MS Gothic" w:eastAsia="MS Gothic" w:hAnsi="MS Gothic" w:cs="MS Gothic" w:hint="eastAsia"/>
        </w:rPr>
        <w:t>․</w:t>
      </w:r>
      <w:r>
        <w:t xml:space="preserve"> Third</w:t>
      </w:r>
      <w:r>
        <w:rPr>
          <w:rFonts w:ascii="Aptos" w:hAnsi="Aptos" w:cs="Aptos"/>
        </w:rPr>
        <w:t>‚</w:t>
      </w:r>
      <w:r>
        <w:t xml:space="preserve"> writing honest "you said</w:t>
      </w:r>
      <w:r>
        <w:rPr>
          <w:rFonts w:ascii="Aptos" w:hAnsi="Aptos" w:cs="Aptos"/>
        </w:rPr>
        <w:t>‚</w:t>
      </w:r>
      <w:r>
        <w:t xml:space="preserve"> we did" reports that are transparent about trade-offs</w:t>
      </w:r>
      <w:r>
        <w:rPr>
          <w:rFonts w:ascii="MS Gothic" w:eastAsia="MS Gothic" w:hAnsi="MS Gothic" w:cs="MS Gothic" w:hint="eastAsia"/>
        </w:rPr>
        <w:t>․</w:t>
      </w:r>
      <w:r>
        <w:t xml:space="preserve"> It is these capabilities that allow the theory of this portfolio to be put into practice</w:t>
      </w:r>
      <w:r>
        <w:rPr>
          <w:rFonts w:ascii="MS Gothic" w:eastAsia="MS Gothic" w:hAnsi="MS Gothic" w:cs="MS Gothic" w:hint="eastAsia"/>
        </w:rPr>
        <w:t>․</w:t>
      </w:r>
    </w:p>
    <w:p w14:paraId="326BCB20" w14:textId="77777777" w:rsidR="00E171F1" w:rsidRDefault="000E4F86">
      <w:pPr>
        <w:pStyle w:val="Heading1"/>
        <w:pageBreakBefore/>
        <w:spacing w:after="160" w:line="360" w:lineRule="auto"/>
      </w:pPr>
      <w:bookmarkStart w:id="18" w:name="_Toc237514487"/>
      <w:bookmarkStart w:id="19" w:name="_Toc237559308"/>
      <w:r>
        <w:rPr>
          <w:rFonts w:ascii="Times New Roman" w:eastAsia="Times New Roman" w:hAnsi="Times New Roman" w:cs="Times New Roman"/>
          <w:b/>
          <w:bCs/>
        </w:rPr>
        <w:lastRenderedPageBreak/>
        <w:t>References</w:t>
      </w:r>
      <w:bookmarkEnd w:id="18"/>
      <w:bookmarkEnd w:id="19"/>
    </w:p>
    <w:p w14:paraId="6C5C51E1" w14:textId="77777777" w:rsidR="00E171F1" w:rsidRDefault="000E4F86">
      <w:pPr>
        <w:spacing w:line="360" w:lineRule="auto"/>
        <w:ind w:left="720" w:hanging="720"/>
      </w:pPr>
      <w:r>
        <w:rPr>
          <w:rFonts w:ascii="Times New Roman" w:eastAsia="Times New Roman" w:hAnsi="Times New Roman" w:cs="Times New Roman"/>
          <w:sz w:val="24"/>
          <w:szCs w:val="24"/>
        </w:rPr>
        <w:t xml:space="preserve">Aaltonen, K. and Kujala, J. (2010) ‘A project lifecycle perspective on stakeholder influence strategies in global projects’, </w:t>
      </w:r>
      <w:r>
        <w:rPr>
          <w:rFonts w:ascii="Times New Roman" w:eastAsia="Times New Roman" w:hAnsi="Times New Roman" w:cs="Times New Roman"/>
          <w:i/>
          <w:iCs/>
          <w:sz w:val="24"/>
          <w:szCs w:val="24"/>
        </w:rPr>
        <w:t>Scandinavian Journal of Management</w:t>
      </w:r>
      <w:r>
        <w:rPr>
          <w:rFonts w:ascii="Times New Roman" w:eastAsia="Times New Roman" w:hAnsi="Times New Roman" w:cs="Times New Roman"/>
          <w:sz w:val="24"/>
          <w:szCs w:val="24"/>
        </w:rPr>
        <w:t>, 26(4), pp. 381–397.</w:t>
      </w:r>
    </w:p>
    <w:p w14:paraId="2CBE1AFA" w14:textId="77777777" w:rsidR="00E171F1" w:rsidRDefault="000E4F86">
      <w:pPr>
        <w:spacing w:line="360" w:lineRule="auto"/>
        <w:ind w:left="720" w:hanging="720"/>
      </w:pPr>
      <w:r>
        <w:rPr>
          <w:rFonts w:ascii="Times New Roman" w:eastAsia="Times New Roman" w:hAnsi="Times New Roman" w:cs="Times New Roman"/>
          <w:sz w:val="24"/>
          <w:szCs w:val="24"/>
        </w:rPr>
        <w:t xml:space="preserve">Arnstein, S.R. (1969) ‘A ladder of citizen participation’, </w:t>
      </w:r>
      <w:r>
        <w:rPr>
          <w:rFonts w:ascii="Times New Roman" w:eastAsia="Times New Roman" w:hAnsi="Times New Roman" w:cs="Times New Roman"/>
          <w:i/>
          <w:iCs/>
          <w:sz w:val="24"/>
          <w:szCs w:val="24"/>
        </w:rPr>
        <w:t>Journal of the American Institute of Planners</w:t>
      </w:r>
      <w:r>
        <w:rPr>
          <w:rFonts w:ascii="Times New Roman" w:eastAsia="Times New Roman" w:hAnsi="Times New Roman" w:cs="Times New Roman"/>
          <w:sz w:val="24"/>
          <w:szCs w:val="24"/>
        </w:rPr>
        <w:t>, 35(4), pp. 216–224.</w:t>
      </w:r>
    </w:p>
    <w:p w14:paraId="141DB493" w14:textId="77777777" w:rsidR="00E171F1" w:rsidRDefault="000E4F86">
      <w:pPr>
        <w:spacing w:line="360" w:lineRule="auto"/>
        <w:ind w:left="720" w:hanging="720"/>
      </w:pPr>
      <w:r>
        <w:rPr>
          <w:rFonts w:ascii="Times New Roman" w:eastAsia="Times New Roman" w:hAnsi="Times New Roman" w:cs="Times New Roman"/>
          <w:sz w:val="24"/>
          <w:szCs w:val="24"/>
        </w:rPr>
        <w:t xml:space="preserve">Association for Project Management (APM) (2019) </w:t>
      </w:r>
      <w:r>
        <w:rPr>
          <w:rFonts w:ascii="Times New Roman" w:eastAsia="Times New Roman" w:hAnsi="Times New Roman" w:cs="Times New Roman"/>
          <w:i/>
          <w:iCs/>
          <w:sz w:val="24"/>
          <w:szCs w:val="24"/>
        </w:rPr>
        <w:t>APM Body of Knowledge</w:t>
      </w:r>
      <w:r>
        <w:rPr>
          <w:rFonts w:ascii="Times New Roman" w:eastAsia="Times New Roman" w:hAnsi="Times New Roman" w:cs="Times New Roman"/>
          <w:sz w:val="24"/>
          <w:szCs w:val="24"/>
        </w:rPr>
        <w:t xml:space="preserve">. 7th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Princes Risborough: Association for Project Management.</w:t>
      </w:r>
    </w:p>
    <w:p w14:paraId="52A53761" w14:textId="77777777" w:rsidR="00E171F1" w:rsidRDefault="000E4F86">
      <w:pPr>
        <w:spacing w:line="360" w:lineRule="auto"/>
        <w:ind w:left="720" w:hanging="720"/>
      </w:pPr>
      <w:r>
        <w:rPr>
          <w:rFonts w:ascii="Times New Roman" w:eastAsia="Times New Roman" w:hAnsi="Times New Roman" w:cs="Times New Roman"/>
          <w:sz w:val="24"/>
          <w:szCs w:val="24"/>
        </w:rPr>
        <w:t xml:space="preserve">Bourne, L. (2016) </w:t>
      </w:r>
      <w:r>
        <w:rPr>
          <w:rFonts w:ascii="Times New Roman" w:eastAsia="Times New Roman" w:hAnsi="Times New Roman" w:cs="Times New Roman"/>
          <w:i/>
          <w:iCs/>
          <w:sz w:val="24"/>
          <w:szCs w:val="24"/>
        </w:rPr>
        <w:t>Stakeholder Relationship Management: A Maturity Model for Organisational Implementation</w:t>
      </w:r>
      <w:r>
        <w:rPr>
          <w:rFonts w:ascii="Times New Roman" w:eastAsia="Times New Roman" w:hAnsi="Times New Roman" w:cs="Times New Roman"/>
          <w:sz w:val="24"/>
          <w:szCs w:val="24"/>
        </w:rPr>
        <w:t xml:space="preserve">. 2nd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London: Routledge.</w:t>
      </w:r>
    </w:p>
    <w:p w14:paraId="274A651F" w14:textId="77777777" w:rsidR="00E171F1" w:rsidRDefault="000E4F86">
      <w:pPr>
        <w:spacing w:line="360" w:lineRule="auto"/>
        <w:ind w:left="720" w:hanging="720"/>
      </w:pPr>
      <w:proofErr w:type="spellStart"/>
      <w:r>
        <w:rPr>
          <w:rFonts w:ascii="Times New Roman" w:eastAsia="Times New Roman" w:hAnsi="Times New Roman" w:cs="Times New Roman"/>
          <w:sz w:val="24"/>
          <w:szCs w:val="24"/>
        </w:rPr>
        <w:t>Chinyio</w:t>
      </w:r>
      <w:proofErr w:type="spellEnd"/>
      <w:r>
        <w:rPr>
          <w:rFonts w:ascii="Times New Roman" w:eastAsia="Times New Roman" w:hAnsi="Times New Roman" w:cs="Times New Roman"/>
          <w:sz w:val="24"/>
          <w:szCs w:val="24"/>
        </w:rPr>
        <w:t xml:space="preserve">, E. and </w:t>
      </w:r>
      <w:proofErr w:type="spellStart"/>
      <w:r>
        <w:rPr>
          <w:rFonts w:ascii="Times New Roman" w:eastAsia="Times New Roman" w:hAnsi="Times New Roman" w:cs="Times New Roman"/>
          <w:sz w:val="24"/>
          <w:szCs w:val="24"/>
        </w:rPr>
        <w:t>Olomolaiye</w:t>
      </w:r>
      <w:proofErr w:type="spellEnd"/>
      <w:r>
        <w:rPr>
          <w:rFonts w:ascii="Times New Roman" w:eastAsia="Times New Roman" w:hAnsi="Times New Roman" w:cs="Times New Roman"/>
          <w:sz w:val="24"/>
          <w:szCs w:val="24"/>
        </w:rPr>
        <w:t xml:space="preserve">, P. (eds.) (2010) </w:t>
      </w:r>
      <w:r>
        <w:rPr>
          <w:rFonts w:ascii="Times New Roman" w:eastAsia="Times New Roman" w:hAnsi="Times New Roman" w:cs="Times New Roman"/>
          <w:i/>
          <w:iCs/>
          <w:sz w:val="24"/>
          <w:szCs w:val="24"/>
        </w:rPr>
        <w:t>Construction Stakeholder Management</w:t>
      </w:r>
      <w:r>
        <w:rPr>
          <w:rFonts w:ascii="Times New Roman" w:eastAsia="Times New Roman" w:hAnsi="Times New Roman" w:cs="Times New Roman"/>
          <w:sz w:val="24"/>
          <w:szCs w:val="24"/>
        </w:rPr>
        <w:t>. Chichester: Wiley-Blackwell.</w:t>
      </w:r>
    </w:p>
    <w:p w14:paraId="6C162AC7" w14:textId="77777777" w:rsidR="00E171F1" w:rsidRDefault="000E4F86">
      <w:pPr>
        <w:spacing w:line="360" w:lineRule="auto"/>
        <w:ind w:left="720" w:hanging="720"/>
      </w:pPr>
      <w:r>
        <w:rPr>
          <w:rFonts w:ascii="Times New Roman" w:eastAsia="Times New Roman" w:hAnsi="Times New Roman" w:cs="Times New Roman"/>
          <w:sz w:val="24"/>
          <w:szCs w:val="24"/>
        </w:rPr>
        <w:t xml:space="preserve">Croydon Council (2022) </w:t>
      </w:r>
      <w:r>
        <w:rPr>
          <w:rFonts w:ascii="Times New Roman" w:eastAsia="Times New Roman" w:hAnsi="Times New Roman" w:cs="Times New Roman"/>
          <w:i/>
          <w:iCs/>
          <w:sz w:val="24"/>
          <w:szCs w:val="24"/>
        </w:rPr>
        <w:t>Open Space Strategy 2022–2032</w:t>
      </w:r>
      <w:r>
        <w:rPr>
          <w:rFonts w:ascii="Times New Roman" w:eastAsia="Times New Roman" w:hAnsi="Times New Roman" w:cs="Times New Roman"/>
          <w:sz w:val="24"/>
          <w:szCs w:val="24"/>
        </w:rPr>
        <w:t>. Croydon: London Borough of Croydon.</w:t>
      </w:r>
    </w:p>
    <w:p w14:paraId="2974104D" w14:textId="77777777" w:rsidR="00E171F1" w:rsidRDefault="000E4F86">
      <w:pPr>
        <w:spacing w:line="360" w:lineRule="auto"/>
        <w:ind w:left="720" w:hanging="720"/>
      </w:pPr>
      <w:r>
        <w:rPr>
          <w:rFonts w:ascii="Times New Roman" w:eastAsia="Times New Roman" w:hAnsi="Times New Roman" w:cs="Times New Roman"/>
          <w:sz w:val="24"/>
          <w:szCs w:val="24"/>
        </w:rPr>
        <w:t xml:space="preserve">Freeman, R.E. (1984) </w:t>
      </w:r>
      <w:r>
        <w:rPr>
          <w:rFonts w:ascii="Times New Roman" w:eastAsia="Times New Roman" w:hAnsi="Times New Roman" w:cs="Times New Roman"/>
          <w:i/>
          <w:iCs/>
          <w:sz w:val="24"/>
          <w:szCs w:val="24"/>
        </w:rPr>
        <w:t>Strategic Management: A Stakeholder Approach</w:t>
      </w:r>
      <w:r>
        <w:rPr>
          <w:rFonts w:ascii="Times New Roman" w:eastAsia="Times New Roman" w:hAnsi="Times New Roman" w:cs="Times New Roman"/>
          <w:sz w:val="24"/>
          <w:szCs w:val="24"/>
        </w:rPr>
        <w:t>. Boston, MA: Pitman.</w:t>
      </w:r>
    </w:p>
    <w:p w14:paraId="64A22520" w14:textId="77777777" w:rsidR="00E171F1" w:rsidRDefault="000E4F86">
      <w:pPr>
        <w:spacing w:line="360" w:lineRule="auto"/>
        <w:ind w:left="720" w:hanging="720"/>
      </w:pPr>
      <w:r>
        <w:rPr>
          <w:rFonts w:ascii="Times New Roman" w:eastAsia="Times New Roman" w:hAnsi="Times New Roman" w:cs="Times New Roman"/>
          <w:sz w:val="24"/>
          <w:szCs w:val="24"/>
        </w:rPr>
        <w:t xml:space="preserve">Fung, A. (2015) ‘Putting the public back into governance: the challenges of citizen participation and its future’, </w:t>
      </w:r>
      <w:r>
        <w:rPr>
          <w:rFonts w:ascii="Times New Roman" w:eastAsia="Times New Roman" w:hAnsi="Times New Roman" w:cs="Times New Roman"/>
          <w:i/>
          <w:iCs/>
          <w:sz w:val="24"/>
          <w:szCs w:val="24"/>
        </w:rPr>
        <w:t>Public Administration Review</w:t>
      </w:r>
      <w:r>
        <w:rPr>
          <w:rFonts w:ascii="Times New Roman" w:eastAsia="Times New Roman" w:hAnsi="Times New Roman" w:cs="Times New Roman"/>
          <w:sz w:val="24"/>
          <w:szCs w:val="24"/>
        </w:rPr>
        <w:t>, 75(4), pp. 513–522.</w:t>
      </w:r>
    </w:p>
    <w:p w14:paraId="3B771D95" w14:textId="77777777" w:rsidR="00E171F1" w:rsidRDefault="000E4F86">
      <w:pPr>
        <w:spacing w:line="360" w:lineRule="auto"/>
        <w:ind w:left="720" w:hanging="720"/>
      </w:pPr>
      <w:r>
        <w:rPr>
          <w:rFonts w:ascii="Times New Roman" w:eastAsia="Times New Roman" w:hAnsi="Times New Roman" w:cs="Times New Roman"/>
          <w:sz w:val="24"/>
          <w:szCs w:val="24"/>
        </w:rPr>
        <w:t xml:space="preserve">Gibbs, G. (1988) </w:t>
      </w:r>
      <w:r>
        <w:rPr>
          <w:rFonts w:ascii="Times New Roman" w:eastAsia="Times New Roman" w:hAnsi="Times New Roman" w:cs="Times New Roman"/>
          <w:i/>
          <w:iCs/>
          <w:sz w:val="24"/>
          <w:szCs w:val="24"/>
        </w:rPr>
        <w:t>Learning by Doing: A Guide to Teaching and Learning Methods</w:t>
      </w:r>
      <w:r>
        <w:rPr>
          <w:rFonts w:ascii="Times New Roman" w:eastAsia="Times New Roman" w:hAnsi="Times New Roman" w:cs="Times New Roman"/>
          <w:sz w:val="24"/>
          <w:szCs w:val="24"/>
        </w:rPr>
        <w:t>. Oxford: Further Education Unit, Oxford Polytechnic.</w:t>
      </w:r>
    </w:p>
    <w:p w14:paraId="63B6B89D" w14:textId="77777777" w:rsidR="00E171F1" w:rsidRDefault="000E4F86">
      <w:pPr>
        <w:spacing w:line="360" w:lineRule="auto"/>
        <w:ind w:left="720" w:hanging="720"/>
      </w:pPr>
      <w:r>
        <w:rPr>
          <w:rFonts w:ascii="Times New Roman" w:eastAsia="Times New Roman" w:hAnsi="Times New Roman" w:cs="Times New Roman"/>
          <w:sz w:val="24"/>
          <w:szCs w:val="24"/>
        </w:rPr>
        <w:t xml:space="preserve">Information Commissioner’s Office (ICO) (2023) </w:t>
      </w:r>
      <w:r>
        <w:rPr>
          <w:rFonts w:ascii="Times New Roman" w:eastAsia="Times New Roman" w:hAnsi="Times New Roman" w:cs="Times New Roman"/>
          <w:i/>
          <w:iCs/>
          <w:sz w:val="24"/>
          <w:szCs w:val="24"/>
        </w:rPr>
        <w:t>Guide to the UK General Data Protection Regulation (UK GDPR)</w:t>
      </w:r>
      <w:r>
        <w:rPr>
          <w:rFonts w:ascii="Times New Roman" w:eastAsia="Times New Roman" w:hAnsi="Times New Roman" w:cs="Times New Roman"/>
          <w:sz w:val="24"/>
          <w:szCs w:val="24"/>
        </w:rPr>
        <w:t>. Wilmslow: ICO.</w:t>
      </w:r>
    </w:p>
    <w:p w14:paraId="73D556EB" w14:textId="77777777" w:rsidR="00E171F1" w:rsidRDefault="000E4F86">
      <w:pPr>
        <w:spacing w:line="360" w:lineRule="auto"/>
        <w:ind w:left="720" w:hanging="720"/>
      </w:pPr>
      <w:r>
        <w:rPr>
          <w:rFonts w:ascii="Times New Roman" w:eastAsia="Times New Roman" w:hAnsi="Times New Roman" w:cs="Times New Roman"/>
          <w:sz w:val="24"/>
          <w:szCs w:val="24"/>
        </w:rPr>
        <w:t xml:space="preserve">Innes, J.E. and Booher, D.E. (2004) ‘Reframing public participation: strategies for the 21st century’, </w:t>
      </w:r>
      <w:r>
        <w:rPr>
          <w:rFonts w:ascii="Times New Roman" w:eastAsia="Times New Roman" w:hAnsi="Times New Roman" w:cs="Times New Roman"/>
          <w:i/>
          <w:iCs/>
          <w:sz w:val="24"/>
          <w:szCs w:val="24"/>
        </w:rPr>
        <w:t>Planning Theory and Practice</w:t>
      </w:r>
      <w:r>
        <w:rPr>
          <w:rFonts w:ascii="Times New Roman" w:eastAsia="Times New Roman" w:hAnsi="Times New Roman" w:cs="Times New Roman"/>
          <w:sz w:val="24"/>
          <w:szCs w:val="24"/>
        </w:rPr>
        <w:t>, 5(4), pp. 419–436.</w:t>
      </w:r>
    </w:p>
    <w:p w14:paraId="5A746730" w14:textId="77777777" w:rsidR="00E171F1" w:rsidRDefault="000E4F86">
      <w:pPr>
        <w:spacing w:line="360" w:lineRule="auto"/>
        <w:ind w:left="720" w:hanging="720"/>
      </w:pPr>
      <w:r>
        <w:rPr>
          <w:rFonts w:ascii="Times New Roman" w:eastAsia="Times New Roman" w:hAnsi="Times New Roman" w:cs="Times New Roman"/>
          <w:sz w:val="24"/>
          <w:szCs w:val="24"/>
        </w:rPr>
        <w:t xml:space="preserve">Johnson, G., Scholes, K. and Whittington, R. (2020) </w:t>
      </w:r>
      <w:r>
        <w:rPr>
          <w:rFonts w:ascii="Times New Roman" w:eastAsia="Times New Roman" w:hAnsi="Times New Roman" w:cs="Times New Roman"/>
          <w:i/>
          <w:iCs/>
          <w:sz w:val="24"/>
          <w:szCs w:val="24"/>
        </w:rPr>
        <w:t>Exploring Strategy: Text and Cases</w:t>
      </w:r>
      <w:r>
        <w:rPr>
          <w:rFonts w:ascii="Times New Roman" w:eastAsia="Times New Roman" w:hAnsi="Times New Roman" w:cs="Times New Roman"/>
          <w:sz w:val="24"/>
          <w:szCs w:val="24"/>
        </w:rPr>
        <w:t xml:space="preserve">. 12th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Harlow: Pearson.</w:t>
      </w:r>
    </w:p>
    <w:p w14:paraId="3EA772FB" w14:textId="77777777" w:rsidR="00E171F1" w:rsidRDefault="000E4F86">
      <w:pPr>
        <w:spacing w:line="360" w:lineRule="auto"/>
        <w:ind w:left="720" w:hanging="720"/>
      </w:pPr>
      <w:r>
        <w:rPr>
          <w:rFonts w:ascii="Times New Roman" w:eastAsia="Times New Roman" w:hAnsi="Times New Roman" w:cs="Times New Roman"/>
          <w:sz w:val="24"/>
          <w:szCs w:val="24"/>
        </w:rPr>
        <w:t xml:space="preserve">Mendelow, A. (1991) ‘Environmental scanning: the impact of the stakeholder concept’, </w:t>
      </w:r>
      <w:r>
        <w:rPr>
          <w:rFonts w:ascii="Times New Roman" w:eastAsia="Times New Roman" w:hAnsi="Times New Roman" w:cs="Times New Roman"/>
          <w:i/>
          <w:iCs/>
          <w:sz w:val="24"/>
          <w:szCs w:val="24"/>
        </w:rPr>
        <w:t>Proceedings of the Second International Conference on Information Systems</w:t>
      </w:r>
      <w:r>
        <w:rPr>
          <w:rFonts w:ascii="Times New Roman" w:eastAsia="Times New Roman" w:hAnsi="Times New Roman" w:cs="Times New Roman"/>
          <w:sz w:val="24"/>
          <w:szCs w:val="24"/>
        </w:rPr>
        <w:t>, Cambridge, MA, pp. 407–418.</w:t>
      </w:r>
    </w:p>
    <w:p w14:paraId="38F2D928" w14:textId="77777777" w:rsidR="00E171F1" w:rsidRDefault="000E4F86">
      <w:pPr>
        <w:spacing w:line="360" w:lineRule="auto"/>
        <w:ind w:left="720" w:hanging="720"/>
      </w:pPr>
      <w:r>
        <w:rPr>
          <w:rFonts w:ascii="Times New Roman" w:eastAsia="Times New Roman" w:hAnsi="Times New Roman" w:cs="Times New Roman"/>
          <w:sz w:val="24"/>
          <w:szCs w:val="24"/>
        </w:rPr>
        <w:lastRenderedPageBreak/>
        <w:t xml:space="preserve">Ministry of Housing, Communities and Local Government (MHCLG) (2023) </w:t>
      </w:r>
      <w:r>
        <w:rPr>
          <w:rFonts w:ascii="Times New Roman" w:eastAsia="Times New Roman" w:hAnsi="Times New Roman" w:cs="Times New Roman"/>
          <w:i/>
          <w:iCs/>
          <w:sz w:val="24"/>
          <w:szCs w:val="24"/>
        </w:rPr>
        <w:t>National Planning Policy Framework</w:t>
      </w:r>
      <w:r>
        <w:rPr>
          <w:rFonts w:ascii="Times New Roman" w:eastAsia="Times New Roman" w:hAnsi="Times New Roman" w:cs="Times New Roman"/>
          <w:sz w:val="24"/>
          <w:szCs w:val="24"/>
        </w:rPr>
        <w:t>. London: HMSO.</w:t>
      </w:r>
    </w:p>
    <w:p w14:paraId="5781A26E" w14:textId="77777777" w:rsidR="00E171F1" w:rsidRDefault="000E4F86">
      <w:pPr>
        <w:spacing w:line="360" w:lineRule="auto"/>
        <w:ind w:left="720" w:hanging="720"/>
      </w:pPr>
      <w:r>
        <w:rPr>
          <w:rFonts w:ascii="Times New Roman" w:eastAsia="Times New Roman" w:hAnsi="Times New Roman" w:cs="Times New Roman"/>
          <w:sz w:val="24"/>
          <w:szCs w:val="24"/>
        </w:rPr>
        <w:t xml:space="preserve">Newcombe, R. (2003) ‘From client to project stakeholders: a stakeholder mapping approach’, </w:t>
      </w:r>
      <w:r>
        <w:rPr>
          <w:rFonts w:ascii="Times New Roman" w:eastAsia="Times New Roman" w:hAnsi="Times New Roman" w:cs="Times New Roman"/>
          <w:i/>
          <w:iCs/>
          <w:sz w:val="24"/>
          <w:szCs w:val="24"/>
        </w:rPr>
        <w:t>Construction Management and Economics</w:t>
      </w:r>
      <w:r>
        <w:rPr>
          <w:rFonts w:ascii="Times New Roman" w:eastAsia="Times New Roman" w:hAnsi="Times New Roman" w:cs="Times New Roman"/>
          <w:sz w:val="24"/>
          <w:szCs w:val="24"/>
        </w:rPr>
        <w:t>, 21(8), pp. 841–848.</w:t>
      </w:r>
    </w:p>
    <w:p w14:paraId="23413A11" w14:textId="77777777" w:rsidR="00E171F1" w:rsidRDefault="000E4F86">
      <w:pPr>
        <w:spacing w:line="360" w:lineRule="auto"/>
        <w:ind w:left="720" w:hanging="720"/>
      </w:pPr>
      <w:r>
        <w:rPr>
          <w:rFonts w:ascii="Times New Roman" w:eastAsia="Times New Roman" w:hAnsi="Times New Roman" w:cs="Times New Roman"/>
          <w:sz w:val="24"/>
          <w:szCs w:val="24"/>
        </w:rPr>
        <w:t xml:space="preserve">Ofcom (2022) </w:t>
      </w:r>
      <w:r>
        <w:rPr>
          <w:rFonts w:ascii="Times New Roman" w:eastAsia="Times New Roman" w:hAnsi="Times New Roman" w:cs="Times New Roman"/>
          <w:i/>
          <w:iCs/>
          <w:sz w:val="24"/>
          <w:szCs w:val="24"/>
        </w:rPr>
        <w:t>Adults’ Media Use and Attitudes Report 2022</w:t>
      </w:r>
      <w:r>
        <w:rPr>
          <w:rFonts w:ascii="Times New Roman" w:eastAsia="Times New Roman" w:hAnsi="Times New Roman" w:cs="Times New Roman"/>
          <w:sz w:val="24"/>
          <w:szCs w:val="24"/>
        </w:rPr>
        <w:t>. London: Ofcom.</w:t>
      </w:r>
    </w:p>
    <w:p w14:paraId="185D6B6E" w14:textId="77777777" w:rsidR="00E171F1" w:rsidRDefault="000E4F86">
      <w:pPr>
        <w:spacing w:line="360" w:lineRule="auto"/>
        <w:ind w:left="720" w:hanging="720"/>
      </w:pPr>
      <w:r>
        <w:rPr>
          <w:rFonts w:ascii="Times New Roman" w:eastAsia="Times New Roman" w:hAnsi="Times New Roman" w:cs="Times New Roman"/>
          <w:sz w:val="24"/>
          <w:szCs w:val="24"/>
        </w:rPr>
        <w:t xml:space="preserve">Reed, M.S. (2008) ‘Stakeholder participation for environmental management: a literature review’, </w:t>
      </w:r>
      <w:r>
        <w:rPr>
          <w:rFonts w:ascii="Times New Roman" w:eastAsia="Times New Roman" w:hAnsi="Times New Roman" w:cs="Times New Roman"/>
          <w:i/>
          <w:iCs/>
          <w:sz w:val="24"/>
          <w:szCs w:val="24"/>
        </w:rPr>
        <w:t>Biological Conservation</w:t>
      </w:r>
      <w:r>
        <w:rPr>
          <w:rFonts w:ascii="Times New Roman" w:eastAsia="Times New Roman" w:hAnsi="Times New Roman" w:cs="Times New Roman"/>
          <w:sz w:val="24"/>
          <w:szCs w:val="24"/>
        </w:rPr>
        <w:t>, 141(10), pp. 2417–2431.</w:t>
      </w:r>
    </w:p>
    <w:p w14:paraId="52EF18DA" w14:textId="77777777" w:rsidR="00E171F1" w:rsidRDefault="000E4F86">
      <w:pPr>
        <w:spacing w:line="360" w:lineRule="auto"/>
        <w:ind w:left="720" w:hanging="720"/>
      </w:pPr>
      <w:r>
        <w:rPr>
          <w:rFonts w:ascii="Times New Roman" w:eastAsia="Times New Roman" w:hAnsi="Times New Roman" w:cs="Times New Roman"/>
          <w:sz w:val="24"/>
          <w:szCs w:val="24"/>
        </w:rPr>
        <w:t xml:space="preserve">Rowe, G. and </w:t>
      </w:r>
      <w:proofErr w:type="spellStart"/>
      <w:r>
        <w:rPr>
          <w:rFonts w:ascii="Times New Roman" w:eastAsia="Times New Roman" w:hAnsi="Times New Roman" w:cs="Times New Roman"/>
          <w:sz w:val="24"/>
          <w:szCs w:val="24"/>
        </w:rPr>
        <w:t>Frewer</w:t>
      </w:r>
      <w:proofErr w:type="spellEnd"/>
      <w:r>
        <w:rPr>
          <w:rFonts w:ascii="Times New Roman" w:eastAsia="Times New Roman" w:hAnsi="Times New Roman" w:cs="Times New Roman"/>
          <w:sz w:val="24"/>
          <w:szCs w:val="24"/>
        </w:rPr>
        <w:t xml:space="preserve">, L.J. (2005) ‘A typology of public engagement mechanisms’, </w:t>
      </w:r>
      <w:r>
        <w:rPr>
          <w:rFonts w:ascii="Times New Roman" w:eastAsia="Times New Roman" w:hAnsi="Times New Roman" w:cs="Times New Roman"/>
          <w:i/>
          <w:iCs/>
          <w:sz w:val="24"/>
          <w:szCs w:val="24"/>
        </w:rPr>
        <w:t>Science, Technology and Human Values</w:t>
      </w:r>
      <w:r>
        <w:rPr>
          <w:rFonts w:ascii="Times New Roman" w:eastAsia="Times New Roman" w:hAnsi="Times New Roman" w:cs="Times New Roman"/>
          <w:sz w:val="24"/>
          <w:szCs w:val="24"/>
        </w:rPr>
        <w:t>, 30(2), pp. 251–290.</w:t>
      </w:r>
    </w:p>
    <w:p w14:paraId="39993E62" w14:textId="77777777" w:rsidR="00E171F1" w:rsidRDefault="000E4F86">
      <w:pPr>
        <w:spacing w:line="360" w:lineRule="auto"/>
        <w:ind w:left="720" w:hanging="720"/>
      </w:pPr>
      <w:proofErr w:type="spellStart"/>
      <w:r>
        <w:rPr>
          <w:rFonts w:ascii="Times New Roman" w:eastAsia="Times New Roman" w:hAnsi="Times New Roman" w:cs="Times New Roman"/>
          <w:sz w:val="24"/>
          <w:szCs w:val="24"/>
        </w:rPr>
        <w:t>Wolch</w:t>
      </w:r>
      <w:proofErr w:type="spellEnd"/>
      <w:r>
        <w:rPr>
          <w:rFonts w:ascii="Times New Roman" w:eastAsia="Times New Roman" w:hAnsi="Times New Roman" w:cs="Times New Roman"/>
          <w:sz w:val="24"/>
          <w:szCs w:val="24"/>
        </w:rPr>
        <w:t xml:space="preserve">, J.R., Byrne, J. and Newell, J.P. (2014) ‘Urban green space, public health, and environmental justice: the challenge of making cities “just green enough”’, </w:t>
      </w:r>
      <w:r>
        <w:rPr>
          <w:rFonts w:ascii="Times New Roman" w:eastAsia="Times New Roman" w:hAnsi="Times New Roman" w:cs="Times New Roman"/>
          <w:i/>
          <w:iCs/>
          <w:sz w:val="24"/>
          <w:szCs w:val="24"/>
        </w:rPr>
        <w:t>Landscape and Urban Planning</w:t>
      </w:r>
      <w:r>
        <w:rPr>
          <w:rFonts w:ascii="Times New Roman" w:eastAsia="Times New Roman" w:hAnsi="Times New Roman" w:cs="Times New Roman"/>
          <w:sz w:val="24"/>
          <w:szCs w:val="24"/>
        </w:rPr>
        <w:t>, 125, pp. 234–244.</w:t>
      </w:r>
    </w:p>
    <w:p w14:paraId="46FB119D" w14:textId="77777777" w:rsidR="00E171F1" w:rsidRDefault="000E4F86">
      <w:pPr>
        <w:spacing w:line="360" w:lineRule="auto"/>
        <w:ind w:left="720" w:hanging="720"/>
      </w:pPr>
      <w:r>
        <w:rPr>
          <w:rFonts w:ascii="Times New Roman" w:eastAsia="Times New Roman" w:hAnsi="Times New Roman" w:cs="Times New Roman"/>
          <w:sz w:val="24"/>
          <w:szCs w:val="24"/>
        </w:rPr>
        <w:t xml:space="preserve">Yang, R.J. (2014) ‘An investigation of stakeholder analysis in urban development projects: empirical or rationalistic perspectives’, </w:t>
      </w:r>
      <w:r>
        <w:rPr>
          <w:rFonts w:ascii="Times New Roman" w:eastAsia="Times New Roman" w:hAnsi="Times New Roman" w:cs="Times New Roman"/>
          <w:i/>
          <w:iCs/>
          <w:sz w:val="24"/>
          <w:szCs w:val="24"/>
        </w:rPr>
        <w:t>International Journal of Project Management</w:t>
      </w:r>
      <w:r>
        <w:rPr>
          <w:rFonts w:ascii="Times New Roman" w:eastAsia="Times New Roman" w:hAnsi="Times New Roman" w:cs="Times New Roman"/>
          <w:sz w:val="24"/>
          <w:szCs w:val="24"/>
        </w:rPr>
        <w:t>, 32(5), pp. 838–849.</w:t>
      </w:r>
    </w:p>
    <w:sectPr w:rsidR="00E171F1">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321A33" w14:textId="77777777" w:rsidR="000E4F86" w:rsidRDefault="000E4F86">
      <w:pPr>
        <w:spacing w:after="0" w:line="240" w:lineRule="auto"/>
      </w:pPr>
      <w:r>
        <w:separator/>
      </w:r>
    </w:p>
  </w:endnote>
  <w:endnote w:type="continuationSeparator" w:id="0">
    <w:p w14:paraId="212FB99E" w14:textId="77777777" w:rsidR="000E4F86" w:rsidRDefault="000E4F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2DF85D" w14:textId="77777777" w:rsidR="00E171F1" w:rsidRDefault="000E4F86">
    <w:pPr>
      <w:jc w:val="center"/>
    </w:pPr>
    <w:r>
      <w:rPr>
        <w:rFonts w:ascii="Times New Roman" w:eastAsia="Times New Roman" w:hAnsi="Times New Roman" w:cs="Times New Roman"/>
        <w:sz w:val="20"/>
        <w:szCs w:val="20"/>
      </w:rPr>
      <w:t xml:space="preserve">Page </w:t>
    </w:r>
    <w:r>
      <w:rPr>
        <w:sz w:val="20"/>
        <w:szCs w:val="20"/>
      </w:rPr>
      <w:fldChar w:fldCharType="begin"/>
    </w:r>
    <w:r>
      <w:rPr>
        <w:rFonts w:ascii="Times New Roman" w:eastAsia="Times New Roman" w:hAnsi="Times New Roman" w:cs="Times New Roman"/>
        <w:sz w:val="20"/>
        <w:szCs w:val="20"/>
      </w:rPr>
      <w:instrText>PAGE</w:instrText>
    </w:r>
    <w:r>
      <w:rPr>
        <w:sz w:val="20"/>
        <w:szCs w:val="20"/>
      </w:rPr>
      <w:fldChar w:fldCharType="separate"/>
    </w:r>
    <w:r w:rsidR="00B15620">
      <w:rPr>
        <w:noProof/>
        <w:sz w:val="20"/>
        <w:szCs w:val="20"/>
      </w:rPr>
      <w:t>3</w:t>
    </w:r>
    <w:r>
      <w:rPr>
        <w:sz w:val="20"/>
        <w:szCs w:val="20"/>
      </w:rPr>
      <w:fldChar w:fldCharType="end"/>
    </w:r>
    <w:r>
      <w:rPr>
        <w:rFonts w:ascii="Times New Roman" w:eastAsia="Times New Roman" w:hAnsi="Times New Roman" w:cs="Times New Roman"/>
        <w:sz w:val="20"/>
        <w:szCs w:val="20"/>
      </w:rPr>
      <w:t xml:space="preserve"> of </w:t>
    </w:r>
    <w:r>
      <w:rPr>
        <w:sz w:val="20"/>
        <w:szCs w:val="20"/>
      </w:rPr>
      <w:fldChar w:fldCharType="begin"/>
    </w:r>
    <w:r>
      <w:rPr>
        <w:rFonts w:ascii="Times New Roman" w:eastAsia="Times New Roman" w:hAnsi="Times New Roman" w:cs="Times New Roman"/>
        <w:sz w:val="20"/>
        <w:szCs w:val="20"/>
      </w:rPr>
      <w:instrText>NUMPAGES</w:instrText>
    </w:r>
    <w:r>
      <w:rPr>
        <w:sz w:val="20"/>
        <w:szCs w:val="20"/>
      </w:rPr>
      <w:fldChar w:fldCharType="separate"/>
    </w:r>
    <w:r w:rsidR="00B15620">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8EF2D" w14:textId="77777777" w:rsidR="000E4F86" w:rsidRDefault="000E4F86">
      <w:pPr>
        <w:spacing w:after="0" w:line="240" w:lineRule="auto"/>
      </w:pPr>
      <w:r>
        <w:separator/>
      </w:r>
    </w:p>
  </w:footnote>
  <w:footnote w:type="continuationSeparator" w:id="0">
    <w:p w14:paraId="21BEF49F" w14:textId="77777777" w:rsidR="000E4F86" w:rsidRDefault="000E4F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CF286E"/>
    <w:multiLevelType w:val="hybridMultilevel"/>
    <w:tmpl w:val="785CFF9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F86968"/>
    <w:multiLevelType w:val="hybridMultilevel"/>
    <w:tmpl w:val="B72CA806"/>
    <w:lvl w:ilvl="0" w:tplc="DE4CC6E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543E38"/>
    <w:multiLevelType w:val="hybridMultilevel"/>
    <w:tmpl w:val="3EEEA6CE"/>
    <w:lvl w:ilvl="0" w:tplc="9C7600EC">
      <w:start w:val="1"/>
      <w:numFmt w:val="bullet"/>
      <w:lvlText w:val="●"/>
      <w:lvlJc w:val="left"/>
      <w:pPr>
        <w:ind w:left="720" w:hanging="360"/>
      </w:pPr>
    </w:lvl>
    <w:lvl w:ilvl="1" w:tplc="A46437C6">
      <w:start w:val="1"/>
      <w:numFmt w:val="bullet"/>
      <w:lvlText w:val="○"/>
      <w:lvlJc w:val="left"/>
      <w:pPr>
        <w:ind w:left="1440" w:hanging="360"/>
      </w:pPr>
    </w:lvl>
    <w:lvl w:ilvl="2" w:tplc="2DE4E7D8">
      <w:start w:val="1"/>
      <w:numFmt w:val="bullet"/>
      <w:lvlText w:val="■"/>
      <w:lvlJc w:val="left"/>
      <w:pPr>
        <w:ind w:left="2160" w:hanging="360"/>
      </w:pPr>
    </w:lvl>
    <w:lvl w:ilvl="3" w:tplc="F4D09968">
      <w:start w:val="1"/>
      <w:numFmt w:val="bullet"/>
      <w:lvlText w:val="●"/>
      <w:lvlJc w:val="left"/>
      <w:pPr>
        <w:ind w:left="2880" w:hanging="360"/>
      </w:pPr>
    </w:lvl>
    <w:lvl w:ilvl="4" w:tplc="AFBC3226">
      <w:start w:val="1"/>
      <w:numFmt w:val="bullet"/>
      <w:lvlText w:val="○"/>
      <w:lvlJc w:val="left"/>
      <w:pPr>
        <w:ind w:left="3600" w:hanging="360"/>
      </w:pPr>
    </w:lvl>
    <w:lvl w:ilvl="5" w:tplc="3A38E550">
      <w:start w:val="1"/>
      <w:numFmt w:val="bullet"/>
      <w:lvlText w:val="■"/>
      <w:lvlJc w:val="left"/>
      <w:pPr>
        <w:ind w:left="4320" w:hanging="360"/>
      </w:pPr>
    </w:lvl>
    <w:lvl w:ilvl="6" w:tplc="E6666FFA">
      <w:start w:val="1"/>
      <w:numFmt w:val="bullet"/>
      <w:lvlText w:val="●"/>
      <w:lvlJc w:val="left"/>
      <w:pPr>
        <w:ind w:left="5040" w:hanging="360"/>
      </w:pPr>
    </w:lvl>
    <w:lvl w:ilvl="7" w:tplc="6382F5A8">
      <w:start w:val="1"/>
      <w:numFmt w:val="bullet"/>
      <w:lvlText w:val="●"/>
      <w:lvlJc w:val="left"/>
      <w:pPr>
        <w:ind w:left="5760" w:hanging="360"/>
      </w:pPr>
    </w:lvl>
    <w:lvl w:ilvl="8" w:tplc="F2E4B464">
      <w:start w:val="1"/>
      <w:numFmt w:val="bullet"/>
      <w:lvlText w:val="●"/>
      <w:lvlJc w:val="left"/>
      <w:pPr>
        <w:ind w:left="6480" w:hanging="360"/>
      </w:pPr>
    </w:lvl>
  </w:abstractNum>
  <w:num w:numId="1" w16cid:durableId="749623955">
    <w:abstractNumId w:val="2"/>
    <w:lvlOverride w:ilvl="0">
      <w:startOverride w:val="1"/>
    </w:lvlOverride>
  </w:num>
  <w:num w:numId="2" w16cid:durableId="1171070114">
    <w:abstractNumId w:val="0"/>
  </w:num>
  <w:num w:numId="3" w16cid:durableId="21011711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71F1"/>
    <w:rsid w:val="00024E17"/>
    <w:rsid w:val="000E4F86"/>
    <w:rsid w:val="002F72DD"/>
    <w:rsid w:val="00432B75"/>
    <w:rsid w:val="005D16BC"/>
    <w:rsid w:val="00731BA3"/>
    <w:rsid w:val="00741A11"/>
    <w:rsid w:val="007E650D"/>
    <w:rsid w:val="00876DE7"/>
    <w:rsid w:val="008A5119"/>
    <w:rsid w:val="0095386D"/>
    <w:rsid w:val="009E41D5"/>
    <w:rsid w:val="00A368D1"/>
    <w:rsid w:val="00A65A55"/>
    <w:rsid w:val="00B15620"/>
    <w:rsid w:val="00B50067"/>
    <w:rsid w:val="00BC4B0A"/>
    <w:rsid w:val="00CB21F0"/>
    <w:rsid w:val="00CF523A"/>
    <w:rsid w:val="00DE50D7"/>
    <w:rsid w:val="00E171F1"/>
    <w:rsid w:val="00EB73C1"/>
    <w:rsid w:val="00ED0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6E95D"/>
  <w15:docId w15:val="{AC4E3082-3A16-4DDF-96E5-AF7BAC74C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21F0"/>
  </w:style>
  <w:style w:type="paragraph" w:styleId="Heading1">
    <w:name w:val="heading 1"/>
    <w:basedOn w:val="Normal"/>
    <w:next w:val="Normal"/>
    <w:link w:val="Heading1Char"/>
    <w:uiPriority w:val="9"/>
    <w:qFormat/>
    <w:rsid w:val="00CB21F0"/>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CB21F0"/>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CB21F0"/>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CB21F0"/>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CB21F0"/>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CB21F0"/>
    <w:pPr>
      <w:keepNext/>
      <w:keepLines/>
      <w:spacing w:before="40" w:after="0"/>
      <w:outlineLvl w:val="5"/>
    </w:pPr>
  </w:style>
  <w:style w:type="paragraph" w:styleId="Heading7">
    <w:name w:val="heading 7"/>
    <w:basedOn w:val="Normal"/>
    <w:next w:val="Normal"/>
    <w:link w:val="Heading7Char"/>
    <w:uiPriority w:val="9"/>
    <w:semiHidden/>
    <w:unhideWhenUsed/>
    <w:qFormat/>
    <w:rsid w:val="00CB21F0"/>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CB21F0"/>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CB21F0"/>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B21F0"/>
    <w:pPr>
      <w:spacing w:after="0" w:line="240" w:lineRule="auto"/>
      <w:contextualSpacing/>
    </w:pPr>
    <w:rPr>
      <w:rFonts w:asciiTheme="majorHAnsi" w:eastAsiaTheme="majorEastAsia" w:hAnsiTheme="majorHAnsi" w:cstheme="majorBidi"/>
      <w:spacing w:val="-10"/>
      <w:sz w:val="56"/>
      <w:szCs w:val="56"/>
    </w:rPr>
  </w:style>
  <w:style w:type="paragraph" w:customStyle="1" w:styleId="Strong1">
    <w:name w:val="Strong1"/>
    <w:rPr>
      <w:b/>
      <w:bCs/>
    </w:rPr>
  </w:style>
  <w:style w:type="paragraph" w:styleId="ListParagraph">
    <w:name w:val="List Paragraph"/>
    <w:uiPriority w:val="34"/>
    <w:qFormat/>
    <w:pPr>
      <w:ind w:left="720"/>
      <w:contextualSpacing/>
    </w:pPr>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after="0"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after="0"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B15620"/>
    <w:pPr>
      <w:spacing w:after="100"/>
    </w:pPr>
  </w:style>
  <w:style w:type="paragraph" w:styleId="TOC2">
    <w:name w:val="toc 2"/>
    <w:basedOn w:val="Normal"/>
    <w:next w:val="Normal"/>
    <w:autoRedefine/>
    <w:uiPriority w:val="39"/>
    <w:unhideWhenUsed/>
    <w:rsid w:val="00B15620"/>
    <w:pPr>
      <w:spacing w:after="100"/>
      <w:ind w:left="240"/>
    </w:pPr>
  </w:style>
  <w:style w:type="paragraph" w:styleId="NoSpacing">
    <w:name w:val="No Spacing"/>
    <w:link w:val="NoSpacingChar"/>
    <w:uiPriority w:val="1"/>
    <w:qFormat/>
    <w:rsid w:val="00CB21F0"/>
    <w:pPr>
      <w:spacing w:after="0" w:line="240" w:lineRule="auto"/>
    </w:pPr>
  </w:style>
  <w:style w:type="character" w:customStyle="1" w:styleId="NoSpacingChar">
    <w:name w:val="No Spacing Char"/>
    <w:basedOn w:val="DefaultParagraphFont"/>
    <w:link w:val="NoSpacing"/>
    <w:uiPriority w:val="1"/>
    <w:rsid w:val="008A5119"/>
  </w:style>
  <w:style w:type="paragraph" w:styleId="TOCHeading">
    <w:name w:val="TOC Heading"/>
    <w:basedOn w:val="Heading1"/>
    <w:next w:val="Normal"/>
    <w:uiPriority w:val="39"/>
    <w:unhideWhenUsed/>
    <w:qFormat/>
    <w:rsid w:val="00CB21F0"/>
    <w:pPr>
      <w:outlineLvl w:val="9"/>
    </w:pPr>
  </w:style>
  <w:style w:type="character" w:customStyle="1" w:styleId="Heading1Char">
    <w:name w:val="Heading 1 Char"/>
    <w:basedOn w:val="DefaultParagraphFont"/>
    <w:link w:val="Heading1"/>
    <w:uiPriority w:val="9"/>
    <w:rsid w:val="00CB21F0"/>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rsid w:val="00CB21F0"/>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CB21F0"/>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CB21F0"/>
    <w:rPr>
      <w:i/>
      <w:iCs/>
    </w:rPr>
  </w:style>
  <w:style w:type="character" w:customStyle="1" w:styleId="Heading5Char">
    <w:name w:val="Heading 5 Char"/>
    <w:basedOn w:val="DefaultParagraphFont"/>
    <w:link w:val="Heading5"/>
    <w:uiPriority w:val="9"/>
    <w:semiHidden/>
    <w:rsid w:val="00CB21F0"/>
    <w:rPr>
      <w:color w:val="404040" w:themeColor="text1" w:themeTint="BF"/>
    </w:rPr>
  </w:style>
  <w:style w:type="character" w:customStyle="1" w:styleId="Heading6Char">
    <w:name w:val="Heading 6 Char"/>
    <w:basedOn w:val="DefaultParagraphFont"/>
    <w:link w:val="Heading6"/>
    <w:uiPriority w:val="9"/>
    <w:semiHidden/>
    <w:rsid w:val="00CB21F0"/>
  </w:style>
  <w:style w:type="character" w:customStyle="1" w:styleId="Heading7Char">
    <w:name w:val="Heading 7 Char"/>
    <w:basedOn w:val="DefaultParagraphFont"/>
    <w:link w:val="Heading7"/>
    <w:uiPriority w:val="9"/>
    <w:semiHidden/>
    <w:rsid w:val="00CB21F0"/>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CB21F0"/>
    <w:rPr>
      <w:color w:val="262626" w:themeColor="text1" w:themeTint="D9"/>
      <w:sz w:val="21"/>
      <w:szCs w:val="21"/>
    </w:rPr>
  </w:style>
  <w:style w:type="character" w:customStyle="1" w:styleId="Heading9Char">
    <w:name w:val="Heading 9 Char"/>
    <w:basedOn w:val="DefaultParagraphFont"/>
    <w:link w:val="Heading9"/>
    <w:uiPriority w:val="9"/>
    <w:semiHidden/>
    <w:rsid w:val="00CB21F0"/>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CB21F0"/>
    <w:pPr>
      <w:spacing w:after="200" w:line="240" w:lineRule="auto"/>
    </w:pPr>
    <w:rPr>
      <w:i/>
      <w:iCs/>
      <w:color w:val="0E2841" w:themeColor="text2"/>
      <w:sz w:val="18"/>
      <w:szCs w:val="18"/>
    </w:rPr>
  </w:style>
  <w:style w:type="character" w:customStyle="1" w:styleId="TitleChar">
    <w:name w:val="Title Char"/>
    <w:basedOn w:val="DefaultParagraphFont"/>
    <w:link w:val="Title"/>
    <w:uiPriority w:val="10"/>
    <w:rsid w:val="00CB21F0"/>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CB21F0"/>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CB21F0"/>
    <w:rPr>
      <w:color w:val="5A5A5A" w:themeColor="text1" w:themeTint="A5"/>
      <w:spacing w:val="15"/>
    </w:rPr>
  </w:style>
  <w:style w:type="character" w:styleId="Strong">
    <w:name w:val="Strong"/>
    <w:basedOn w:val="DefaultParagraphFont"/>
    <w:uiPriority w:val="22"/>
    <w:qFormat/>
    <w:rsid w:val="00CB21F0"/>
    <w:rPr>
      <w:b/>
      <w:bCs/>
      <w:color w:val="auto"/>
    </w:rPr>
  </w:style>
  <w:style w:type="character" w:styleId="Emphasis">
    <w:name w:val="Emphasis"/>
    <w:basedOn w:val="DefaultParagraphFont"/>
    <w:uiPriority w:val="20"/>
    <w:qFormat/>
    <w:rsid w:val="00CB21F0"/>
    <w:rPr>
      <w:i/>
      <w:iCs/>
      <w:color w:val="auto"/>
    </w:rPr>
  </w:style>
  <w:style w:type="paragraph" w:styleId="Quote">
    <w:name w:val="Quote"/>
    <w:basedOn w:val="Normal"/>
    <w:next w:val="Normal"/>
    <w:link w:val="QuoteChar"/>
    <w:uiPriority w:val="29"/>
    <w:qFormat/>
    <w:rsid w:val="00CB21F0"/>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CB21F0"/>
    <w:rPr>
      <w:i/>
      <w:iCs/>
      <w:color w:val="404040" w:themeColor="text1" w:themeTint="BF"/>
    </w:rPr>
  </w:style>
  <w:style w:type="paragraph" w:styleId="IntenseQuote">
    <w:name w:val="Intense Quote"/>
    <w:basedOn w:val="Normal"/>
    <w:next w:val="Normal"/>
    <w:link w:val="IntenseQuoteChar"/>
    <w:uiPriority w:val="30"/>
    <w:qFormat/>
    <w:rsid w:val="00CB21F0"/>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CB21F0"/>
    <w:rPr>
      <w:i/>
      <w:iCs/>
      <w:color w:val="404040" w:themeColor="text1" w:themeTint="BF"/>
    </w:rPr>
  </w:style>
  <w:style w:type="character" w:styleId="SubtleEmphasis">
    <w:name w:val="Subtle Emphasis"/>
    <w:basedOn w:val="DefaultParagraphFont"/>
    <w:uiPriority w:val="19"/>
    <w:qFormat/>
    <w:rsid w:val="00CB21F0"/>
    <w:rPr>
      <w:i/>
      <w:iCs/>
      <w:color w:val="404040" w:themeColor="text1" w:themeTint="BF"/>
    </w:rPr>
  </w:style>
  <w:style w:type="character" w:styleId="IntenseEmphasis">
    <w:name w:val="Intense Emphasis"/>
    <w:basedOn w:val="DefaultParagraphFont"/>
    <w:uiPriority w:val="21"/>
    <w:qFormat/>
    <w:rsid w:val="00CB21F0"/>
    <w:rPr>
      <w:b/>
      <w:bCs/>
      <w:i/>
      <w:iCs/>
      <w:color w:val="auto"/>
    </w:rPr>
  </w:style>
  <w:style w:type="character" w:styleId="SubtleReference">
    <w:name w:val="Subtle Reference"/>
    <w:basedOn w:val="DefaultParagraphFont"/>
    <w:uiPriority w:val="31"/>
    <w:qFormat/>
    <w:rsid w:val="00CB21F0"/>
    <w:rPr>
      <w:smallCaps/>
      <w:color w:val="404040" w:themeColor="text1" w:themeTint="BF"/>
    </w:rPr>
  </w:style>
  <w:style w:type="character" w:styleId="IntenseReference">
    <w:name w:val="Intense Reference"/>
    <w:basedOn w:val="DefaultParagraphFont"/>
    <w:uiPriority w:val="32"/>
    <w:qFormat/>
    <w:rsid w:val="00CB21F0"/>
    <w:rPr>
      <w:b/>
      <w:bCs/>
      <w:smallCaps/>
      <w:color w:val="404040" w:themeColor="text1" w:themeTint="BF"/>
      <w:spacing w:val="5"/>
    </w:rPr>
  </w:style>
  <w:style w:type="character" w:styleId="BookTitle">
    <w:name w:val="Book Title"/>
    <w:basedOn w:val="DefaultParagraphFont"/>
    <w:uiPriority w:val="33"/>
    <w:qFormat/>
    <w:rsid w:val="00CB21F0"/>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E9890F-FF97-4062-B822-34A2CE1402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15</Pages>
  <Words>3918</Words>
  <Characters>22336</Characters>
  <Application>Microsoft Office Word</Application>
  <DocSecurity>0</DocSecurity>
  <Lines>186</Lines>
  <Paragraphs>52</Paragraphs>
  <ScaleCrop>false</ScaleCrop>
  <Company/>
  <LinksUpToDate>false</LinksUpToDate>
  <CharactersWithSpaces>26202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LCBB4013 SEN Portfolio - Stakeholder Management Plan</dc:title>
  <dc:creator>Florian Tudic</dc:creator>
  <cp:lastModifiedBy>Cex Worksop</cp:lastModifiedBy>
  <cp:revision>21</cp:revision>
  <dcterms:created xsi:type="dcterms:W3CDTF">2026-08-13T10:55:00Z</dcterms:created>
  <dcterms:modified xsi:type="dcterms:W3CDTF">2026-08-14T00:00:00Z</dcterms:modified>
</cp:coreProperties>
</file>