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rPr>
          <w:rFonts w:ascii="Calibri" w:hAnsi="Calibri"/>
          <w:b/>
          <w:color w:val="1F4E79"/>
          <w:sz w:val="48"/>
        </w:rPr>
        <w:t>FINANCIAL RATIO ANALYSIS REPORT</w:t>
      </w:r>
    </w:p>
    <w:p>
      <w:pPr>
        <w:spacing w:after="480"/>
      </w:pPr>
      <w:r>
        <w:rPr>
          <w:i/>
          <w:color w:val="595959"/>
          <w:sz w:val="26"/>
        </w:rPr>
        <w:t>The Indian Hotels Company Limited (IHCL) | FY2020–21 to FY2024–25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360"/>
      </w:tblGrid>
      <w:tr>
        <w:tc>
          <w:tcPr>
            <w:tcW w:type="dxa" w:w="9360"/>
            <w:shd w:fill="F2F5F8"/>
            <w:tcMar>
              <w:top w:w="144" w:type="dxa"/>
              <w:bottom w:w="144" w:type="dxa"/>
              <w:left w:w="200" w:type="dxa"/>
              <w:right w:w="200" w:type="dxa"/>
            </w:tcMar>
            <w:tcBorders>
              <w:left w:val="single" w:sz="24" w:space="0" w:color="1F4E79"/>
              <w:top w:val="none"/>
              <w:bottom w:val="none"/>
              <w:right w:val="none"/>
            </w:tcBorders>
          </w:tcPr>
          <w:p>
            <w:pPr>
              <w:spacing w:after="0"/>
            </w:pPr>
            <w:r>
              <w:rPr>
                <w:b/>
                <w:color w:val="1F4E79"/>
              </w:rPr>
              <w:t>Executive Summary:</w:t>
              <w:br/>
            </w:r>
            <w:r>
              <w:rPr>
                <w:i/>
              </w:rPr>
              <w:t>The five-year financial ratio analysis of IHCL for the period FY2020–21 to FY2024–25 demonstrates a significant improvement in the company's financial performance and overall stability. Following the severe impacts of the COVID-19 pandemic, IHCL has achieved a successful recovery, strengthening profitability, maintaining healthy liquidity, improving asset utilization, and reducing leverage.</w:t>
            </w:r>
          </w:p>
        </w:tc>
      </w:tr>
    </w:tbl>
    <w:p>
      <w:pPr>
        <w:spacing w:after="360"/>
      </w:pPr>
    </w:p>
    <w:p>
      <w:pPr>
        <w:keepNext/>
        <w:spacing w:before="360" w:after="120"/>
        <w:pBdr>
          <w:bottom w:val="single" w:sz="6" w:space="4" w:color="1F4E79"/>
        </w:pBdr>
      </w:pPr>
      <w:r>
        <w:rPr>
          <w:b/>
          <w:color w:val="1F4E79"/>
          <w:sz w:val="28"/>
        </w:rPr>
        <w:t>1. Profitability Analysis</w:t>
      </w:r>
    </w:p>
    <w:p>
      <w:pPr>
        <w:spacing w:after="200"/>
      </w:pPr>
      <w:r>
        <w:t>The profitability ratios indicate a strong, sustained recovery following the impact of the COVID-19 pandemic. Over the five-year period, strategic revenue generation and robust cost controls have dramatically improved core margins.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D3D3D3"/>
          <w:bottom w:val="single" w:sz="6" w:space="0" w:color="1F4E79"/>
          <w:insideH w:val="single" w:sz="4" w:space="0" w:color="E0E0E0"/>
          <w:insideV w:val="none"/>
          <w:left w:val="none"/>
          <w:right w:val="none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  <w:jc w:val="left"/>
            </w:pPr>
            <w:r>
              <w:rPr>
                <w:b/>
                <w:color w:val="FFFFFF"/>
              </w:rPr>
              <w:t>Ratio / Metric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  <w:jc w:val="left"/>
            </w:pPr>
            <w:r>
              <w:rPr>
                <w:b/>
                <w:color w:val="FFFFFF"/>
              </w:rPr>
              <w:t>Five-Year Trend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  <w:jc w:val="left"/>
            </w:pPr>
            <w:r>
              <w:rPr>
                <w:b/>
                <w:color w:val="FFFFFF"/>
              </w:rPr>
              <w:t>Key Operational Drivers</w:t>
            </w:r>
          </w:p>
        </w:tc>
      </w:tr>
      <w:tr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Gross Profit Margin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Consistent Improvement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Reflects higher pricing power, robust premium room demand, and strong food &amp; beverage revenues.</w:t>
            </w:r>
          </w:p>
        </w:tc>
      </w:tr>
      <w:tr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Operating Margin &amp; Net Profit Margin</w:t>
            </w:r>
          </w:p>
        </w:tc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Steady Upward Trajectory</w:t>
            </w:r>
          </w:p>
        </w:tc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Driven by improved operational efficiency, structural cost-reduction programs, and better overall scale benefits.</w:t>
            </w:r>
          </w:p>
        </w:tc>
      </w:tr>
    </w:tbl>
    <w:p>
      <w:pPr>
        <w:spacing w:after="240"/>
      </w:pPr>
    </w:p>
    <w:p>
      <w:pPr>
        <w:keepNext/>
        <w:spacing w:before="360" w:after="120"/>
        <w:pBdr>
          <w:bottom w:val="single" w:sz="6" w:space="4" w:color="1F4E79"/>
        </w:pBdr>
      </w:pPr>
      <w:r>
        <w:rPr>
          <w:b/>
          <w:color w:val="1F4E79"/>
          <w:sz w:val="28"/>
        </w:rPr>
        <w:t>2. Liquidity Analysis</w:t>
      </w:r>
    </w:p>
    <w:p>
      <w:pPr>
        <w:spacing w:after="200"/>
      </w:pPr>
      <w:r>
        <w:t>IHCL has systematically bolstered its short-term financial position. By prioritizing liquidity, the group has mitigated short-term solvency risks and positioned itself to seize sudden market opportunities.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D3D3D3"/>
          <w:bottom w:val="single" w:sz="6" w:space="0" w:color="1F4E79"/>
          <w:insideH w:val="single" w:sz="4" w:space="0" w:color="E0E0E0"/>
          <w:insideV w:val="none"/>
          <w:left w:val="none"/>
          <w:right w:val="none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Ratio / Metric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Five-Year Trend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Financial Implications</w:t>
            </w:r>
          </w:p>
        </w:tc>
      </w:tr>
      <w:tr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Current Ratio &amp; Quick Ratio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Continuous Shoring Up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Indicates IHCL strengthened its short-term asset backing relative to short-term obligations.</w:t>
            </w:r>
          </w:p>
        </w:tc>
      </w:tr>
      <w:tr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Cash Ratio</w:t>
            </w:r>
          </w:p>
        </w:tc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Significant Growth</w:t>
            </w:r>
          </w:p>
        </w:tc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Demonstrates higher levels of readily available liquid assets, reducing overall liquidity risk and providing a strong buffer.</w:t>
            </w:r>
          </w:p>
        </w:tc>
      </w:tr>
    </w:tbl>
    <w:p>
      <w:pPr>
        <w:spacing w:after="240"/>
      </w:pPr>
    </w:p>
    <w:p>
      <w:pPr>
        <w:keepNext/>
        <w:spacing w:before="360" w:after="120"/>
        <w:pBdr>
          <w:bottom w:val="single" w:sz="6" w:space="4" w:color="1F4E79"/>
        </w:pBdr>
      </w:pPr>
      <w:r>
        <w:rPr>
          <w:b/>
          <w:color w:val="1F4E79"/>
          <w:sz w:val="28"/>
        </w:rPr>
        <w:t>3. Efficiency Analysis</w:t>
      </w:r>
    </w:p>
    <w:p>
      <w:pPr>
        <w:spacing w:after="200"/>
      </w:pPr>
      <w:r>
        <w:t>Enhanced efficiency reflects the management's capability to maximize returns from current and capital assets, translating business activity directly into higher revenue flows.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D3D3D3"/>
          <w:bottom w:val="single" w:sz="6" w:space="0" w:color="1F4E79"/>
          <w:insideH w:val="single" w:sz="4" w:space="0" w:color="E0E0E0"/>
          <w:insideV w:val="none"/>
          <w:left w:val="none"/>
          <w:right w:val="none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Efficiency Ratio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Five-Year Trend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Operational Interpretation</w:t>
            </w:r>
          </w:p>
        </w:tc>
      </w:tr>
      <w:tr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Asset &amp; Fixed Asset Turnover Ratios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Steady, Linear Increase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Shows that the company utilized its total assets and property/equipment more efficiently to generate higher sales, reflecting rising operational productivity.</w:t>
            </w:r>
          </w:p>
        </w:tc>
      </w:tr>
    </w:tbl>
    <w:p>
      <w:pPr>
        <w:spacing w:after="240"/>
      </w:pPr>
    </w:p>
    <w:p>
      <w:pPr>
        <w:keepNext/>
        <w:spacing w:before="360" w:after="120"/>
        <w:pBdr>
          <w:bottom w:val="single" w:sz="6" w:space="4" w:color="1F4E79"/>
        </w:pBdr>
      </w:pPr>
      <w:r>
        <w:rPr>
          <w:b/>
          <w:color w:val="1F4E79"/>
          <w:sz w:val="28"/>
        </w:rPr>
        <w:t>4. Leverage &amp; Solvency Analysis</w:t>
      </w:r>
    </w:p>
    <w:p>
      <w:pPr>
        <w:spacing w:after="200"/>
      </w:pPr>
      <w:r>
        <w:t>A key highlight of IHCL’s five-year trajectory is its active deleveraging process, shifting the capital structure toward equity and significantly lowering long-term solvency risks.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D3D3D3"/>
          <w:bottom w:val="single" w:sz="6" w:space="0" w:color="1F4E79"/>
          <w:insideH w:val="single" w:sz="4" w:space="0" w:color="E0E0E0"/>
          <w:insideV w:val="none"/>
          <w:left w:val="none"/>
          <w:right w:val="none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Solvency Ratio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Five-Year Trend</w:t>
            </w:r>
          </w:p>
        </w:tc>
        <w:tc>
          <w:tcPr>
            <w:tcW w:type="dxa" w:w="3120"/>
            <w:shd w:fill="1F4E79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rPr>
                <w:b/>
                <w:color w:val="FFFFFF"/>
              </w:rPr>
              <w:t>Credit &amp; Risk Assessment</w:t>
            </w:r>
          </w:p>
        </w:tc>
      </w:tr>
      <w:tr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Interest Coverage Ratio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Substantial Improvement</w:t>
            </w:r>
          </w:p>
        </w:tc>
        <w:tc>
          <w:tcPr>
            <w:tcW w:type="dxa" w:w="31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Demonstrates a robust capacity to service financing costs through expanding operating profits.</w:t>
            </w:r>
          </w:p>
        </w:tc>
      </w:tr>
      <w:tr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Debt-to-Equity Ratio</w:t>
            </w:r>
          </w:p>
        </w:tc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Continuous Decline</w:t>
            </w:r>
          </w:p>
        </w:tc>
        <w:tc>
          <w:tcPr>
            <w:tcW w:type="dxa" w:w="3120"/>
            <w:shd w:fill="F9FBFD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after="0"/>
            </w:pPr>
            <w:r>
              <w:t>Indicates reduced dependence on external debt, strengthening the capital structure and upgrading the firm's credit profile.</w:t>
            </w:r>
          </w:p>
        </w:tc>
      </w:tr>
    </w:tbl>
    <w:p>
      <w:pPr>
        <w:spacing w:after="240"/>
      </w:pPr>
    </w:p>
    <w:p>
      <w:pPr>
        <w:keepNext/>
        <w:spacing w:before="360" w:after="120"/>
        <w:pBdr>
          <w:bottom w:val="single" w:sz="6" w:space="4" w:color="1F4E79"/>
        </w:pBdr>
      </w:pPr>
      <w:r>
        <w:rPr>
          <w:b/>
          <w:color w:val="1F4E79"/>
          <w:sz w:val="28"/>
        </w:rPr>
        <w:t>5. Overall Interpretation &amp; Strategic Outlook</w:t>
      </w:r>
    </w:p>
    <w:p>
      <w:pPr>
        <w:spacing w:after="400"/>
      </w:pPr>
      <w:r>
        <w:t>Ultimately, the five-year financial ratio trends highlight that IHCL has not only emerged successfully from pandemic-induced volatility but has actively fortified its balance sheet. By focusing on simultaneous margin expansion, proactive deleveraging, robust liquidity buffers, and optimum asset utilization, the management has built a highly resilient business model. These metrics collectively position the company well for long-term growth, strategic expansions, and continued shareholder value creation.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3333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