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26510507"/>
        <w:docPartObj>
          <w:docPartGallery w:val="Cover Pages"/>
          <w:docPartUnique/>
        </w:docPartObj>
      </w:sdtPr>
      <w:sdtEndPr>
        <w:rPr>
          <w:rFonts w:eastAsiaTheme="minorHAnsi"/>
          <w:color w:val="auto"/>
          <w:sz w:val="32"/>
          <w:szCs w:val="32"/>
        </w:rPr>
      </w:sdtEndPr>
      <w:sdtContent>
        <w:p w14:paraId="487A278E" w14:textId="4A2BF03B" w:rsidR="00F748EE" w:rsidRDefault="00F748EE">
          <w:pPr>
            <w:pStyle w:val="NoSpacing"/>
            <w:spacing w:before="1540" w:after="240"/>
            <w:jc w:val="center"/>
            <w:rPr>
              <w:color w:val="4472C4" w:themeColor="accent1"/>
            </w:rPr>
          </w:pPr>
          <w:r>
            <w:rPr>
              <w:noProof/>
              <w:color w:val="4472C4" w:themeColor="accent1"/>
            </w:rPr>
            <w:drawing>
              <wp:inline distT="0" distB="0" distL="0" distR="0" wp14:anchorId="723F737F" wp14:editId="073EBE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826A9648DC54FFEA4E2AD815868B10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14C3B58" w14:textId="044C51B5" w:rsidR="00F748EE" w:rsidRDefault="00D771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Oc</w:t>
              </w:r>
              <w:r w:rsidR="007F29CF">
                <w:rPr>
                  <w:rFonts w:asciiTheme="majorHAnsi" w:eastAsiaTheme="majorEastAsia" w:hAnsiTheme="majorHAnsi" w:cstheme="majorBidi"/>
                  <w:caps/>
                  <w:color w:val="4472C4" w:themeColor="accent1"/>
                  <w:sz w:val="72"/>
                  <w:szCs w:val="72"/>
                </w:rPr>
                <w:t>cupiers liability and ps</w:t>
              </w:r>
              <w:r w:rsidR="006003FC">
                <w:rPr>
                  <w:rFonts w:asciiTheme="majorHAnsi" w:eastAsiaTheme="majorEastAsia" w:hAnsiTheme="majorHAnsi" w:cstheme="majorBidi"/>
                  <w:caps/>
                  <w:color w:val="4472C4" w:themeColor="accent1"/>
                  <w:sz w:val="72"/>
                  <w:szCs w:val="72"/>
                </w:rPr>
                <w:t>y</w:t>
              </w:r>
              <w:r w:rsidR="007F29CF">
                <w:rPr>
                  <w:rFonts w:asciiTheme="majorHAnsi" w:eastAsiaTheme="majorEastAsia" w:hAnsiTheme="majorHAnsi" w:cstheme="majorBidi"/>
                  <w:caps/>
                  <w:color w:val="4472C4" w:themeColor="accent1"/>
                  <w:sz w:val="72"/>
                  <w:szCs w:val="72"/>
                </w:rPr>
                <w:t>c</w:t>
              </w:r>
              <w:r w:rsidR="00DF15F4">
                <w:rPr>
                  <w:rFonts w:asciiTheme="majorHAnsi" w:eastAsiaTheme="majorEastAsia" w:hAnsiTheme="majorHAnsi" w:cstheme="majorBidi"/>
                  <w:caps/>
                  <w:color w:val="4472C4" w:themeColor="accent1"/>
                  <w:sz w:val="72"/>
                  <w:szCs w:val="72"/>
                </w:rPr>
                <w:t>hia</w:t>
              </w:r>
              <w:r w:rsidR="009C58B1">
                <w:rPr>
                  <w:rFonts w:asciiTheme="majorHAnsi" w:eastAsiaTheme="majorEastAsia" w:hAnsiTheme="majorHAnsi" w:cstheme="majorBidi"/>
                  <w:caps/>
                  <w:color w:val="4472C4" w:themeColor="accent1"/>
                  <w:sz w:val="72"/>
                  <w:szCs w:val="72"/>
                </w:rPr>
                <w:t>tric</w:t>
              </w:r>
              <w:r w:rsidR="007F29CF">
                <w:rPr>
                  <w:rFonts w:asciiTheme="majorHAnsi" w:eastAsiaTheme="majorEastAsia" w:hAnsiTheme="majorHAnsi" w:cstheme="majorBidi"/>
                  <w:caps/>
                  <w:color w:val="4472C4" w:themeColor="accent1"/>
                  <w:sz w:val="72"/>
                  <w:szCs w:val="72"/>
                </w:rPr>
                <w:t xml:space="preserve"> harm</w:t>
              </w:r>
            </w:p>
          </w:sdtContent>
        </w:sdt>
        <w:sdt>
          <w:sdtPr>
            <w:rPr>
              <w:color w:val="4472C4" w:themeColor="accent1"/>
              <w:sz w:val="28"/>
              <w:szCs w:val="28"/>
            </w:rPr>
            <w:alias w:val="Subtitle"/>
            <w:tag w:val=""/>
            <w:id w:val="328029620"/>
            <w:placeholder>
              <w:docPart w:val="FA75381CCEDD4C0BA0D84DC43F1B861F"/>
            </w:placeholder>
            <w:showingPlcHdr/>
            <w:dataBinding w:prefixMappings="xmlns:ns0='http://purl.org/dc/elements/1.1/' xmlns:ns1='http://schemas.openxmlformats.org/package/2006/metadata/core-properties' " w:xpath="/ns1:coreProperties[1]/ns0:subject[1]" w:storeItemID="{6C3C8BC8-F283-45AE-878A-BAB7291924A1}"/>
            <w:text/>
          </w:sdtPr>
          <w:sdtContent>
            <w:p w14:paraId="348D60C2" w14:textId="77777777" w:rsidR="00F748EE" w:rsidRDefault="00F748EE">
              <w:pPr>
                <w:pStyle w:val="NoSpacing"/>
                <w:jc w:val="center"/>
                <w:rPr>
                  <w:color w:val="4472C4" w:themeColor="accent1"/>
                  <w:sz w:val="28"/>
                  <w:szCs w:val="28"/>
                </w:rPr>
              </w:pPr>
              <w:r>
                <w:rPr>
                  <w:color w:val="4472C4" w:themeColor="accent1"/>
                  <w:sz w:val="28"/>
                  <w:szCs w:val="28"/>
                </w:rPr>
                <w:t>[Document subtitle]</w:t>
              </w:r>
            </w:p>
          </w:sdtContent>
        </w:sdt>
        <w:p w14:paraId="2EC5B863" w14:textId="77777777" w:rsidR="00F748EE" w:rsidRDefault="00F748E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212B53" wp14:editId="4C87CB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Content>
                                  <w:p w14:paraId="685683F0" w14:textId="63985C26" w:rsidR="00F748EE" w:rsidRDefault="00143DB9">
                                    <w:pPr>
                                      <w:pStyle w:val="NoSpacing"/>
                                      <w:spacing w:after="40"/>
                                      <w:jc w:val="center"/>
                                      <w:rPr>
                                        <w:caps/>
                                        <w:color w:val="4472C4" w:themeColor="accent1"/>
                                        <w:sz w:val="28"/>
                                        <w:szCs w:val="28"/>
                                      </w:rPr>
                                    </w:pPr>
                                    <w:r>
                                      <w:rPr>
                                        <w:caps/>
                                        <w:color w:val="4472C4" w:themeColor="accent1"/>
                                        <w:sz w:val="28"/>
                                        <w:szCs w:val="28"/>
                                      </w:rPr>
                                      <w:t>January 1, 2022</w:t>
                                    </w:r>
                                  </w:p>
                                </w:sdtContent>
                              </w:sdt>
                              <w:p w14:paraId="5A107E21" w14:textId="51B87C3B" w:rsidR="00F748EE" w:rsidRDefault="00F748E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74047">
                                      <w:rPr>
                                        <w:caps/>
                                        <w:color w:val="4472C4" w:themeColor="accent1"/>
                                      </w:rPr>
                                      <w:t>Beverly Evans</w:t>
                                    </w:r>
                                  </w:sdtContent>
                                </w:sdt>
                              </w:p>
                              <w:p w14:paraId="45C3A010" w14:textId="530CEB9E" w:rsidR="00F748EE" w:rsidRDefault="00F748E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74047">
                                      <w:rPr>
                                        <w:color w:val="4472C4" w:themeColor="accent1"/>
                                      </w:rPr>
                                      <w:t>07</w:t>
                                    </w:r>
                                    <w:r w:rsidR="00143DB9">
                                      <w:rPr>
                                        <w:color w:val="4472C4" w:themeColor="accent1"/>
                                      </w:rPr>
                                      <w:t>¬01¬2022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212B5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1-01T00:00:00Z">
                              <w:dateFormat w:val="MMMM d, yyyy"/>
                              <w:lid w:val="en-US"/>
                              <w:storeMappedDataAs w:val="dateTime"/>
                              <w:calendar w:val="gregorian"/>
                            </w:date>
                          </w:sdtPr>
                          <w:sdtContent>
                            <w:p w14:paraId="685683F0" w14:textId="63985C26" w:rsidR="00F748EE" w:rsidRDefault="00143DB9">
                              <w:pPr>
                                <w:pStyle w:val="NoSpacing"/>
                                <w:spacing w:after="40"/>
                                <w:jc w:val="center"/>
                                <w:rPr>
                                  <w:caps/>
                                  <w:color w:val="4472C4" w:themeColor="accent1"/>
                                  <w:sz w:val="28"/>
                                  <w:szCs w:val="28"/>
                                </w:rPr>
                              </w:pPr>
                              <w:r>
                                <w:rPr>
                                  <w:caps/>
                                  <w:color w:val="4472C4" w:themeColor="accent1"/>
                                  <w:sz w:val="28"/>
                                  <w:szCs w:val="28"/>
                                </w:rPr>
                                <w:t>January 1, 2022</w:t>
                              </w:r>
                            </w:p>
                          </w:sdtContent>
                        </w:sdt>
                        <w:p w14:paraId="5A107E21" w14:textId="51B87C3B" w:rsidR="00F748EE" w:rsidRDefault="00F748EE">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B74047">
                                <w:rPr>
                                  <w:caps/>
                                  <w:color w:val="4472C4" w:themeColor="accent1"/>
                                </w:rPr>
                                <w:t>Beverly Evans</w:t>
                              </w:r>
                            </w:sdtContent>
                          </w:sdt>
                        </w:p>
                        <w:p w14:paraId="45C3A010" w14:textId="530CEB9E" w:rsidR="00F748EE" w:rsidRDefault="00F748EE">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B74047">
                                <w:rPr>
                                  <w:color w:val="4472C4" w:themeColor="accent1"/>
                                </w:rPr>
                                <w:t>07</w:t>
                              </w:r>
                              <w:r w:rsidR="00143DB9">
                                <w:rPr>
                                  <w:color w:val="4472C4" w:themeColor="accent1"/>
                                </w:rPr>
                                <w:t>¬01¬2022</w:t>
                              </w:r>
                            </w:sdtContent>
                          </w:sdt>
                        </w:p>
                      </w:txbxContent>
                    </v:textbox>
                    <w10:wrap anchorx="margin" anchory="page"/>
                  </v:shape>
                </w:pict>
              </mc:Fallback>
            </mc:AlternateContent>
          </w:r>
          <w:r>
            <w:rPr>
              <w:noProof/>
              <w:color w:val="4472C4" w:themeColor="accent1"/>
            </w:rPr>
            <w:drawing>
              <wp:inline distT="0" distB="0" distL="0" distR="0" wp14:anchorId="10987CC6" wp14:editId="44F7734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CF3065" w14:textId="1BA72947" w:rsidR="00F748EE" w:rsidRDefault="00F748EE">
          <w:pPr>
            <w:rPr>
              <w:sz w:val="32"/>
              <w:szCs w:val="32"/>
              <w:lang w:val="en-US"/>
            </w:rPr>
          </w:pPr>
          <w:r>
            <w:rPr>
              <w:sz w:val="32"/>
              <w:szCs w:val="32"/>
              <w:lang w:val="en-US"/>
            </w:rPr>
            <w:br w:type="page"/>
          </w:r>
        </w:p>
      </w:sdtContent>
    </w:sdt>
    <w:p w14:paraId="042BF762" w14:textId="048ED006" w:rsidR="00CA736F" w:rsidRDefault="00D23960" w:rsidP="003A2F53">
      <w:pPr>
        <w:rPr>
          <w:sz w:val="32"/>
          <w:szCs w:val="32"/>
          <w:lang w:val="en-US"/>
        </w:rPr>
      </w:pPr>
      <w:r>
        <w:rPr>
          <w:sz w:val="32"/>
          <w:szCs w:val="32"/>
          <w:lang w:val="en-US"/>
        </w:rPr>
        <w:lastRenderedPageBreak/>
        <w:t>Leo may have a claim under the Occupiers Liability Act 1957</w:t>
      </w:r>
      <w:r w:rsidR="0085095D">
        <w:rPr>
          <w:sz w:val="32"/>
          <w:szCs w:val="32"/>
          <w:lang w:val="en-US"/>
        </w:rPr>
        <w:t xml:space="preserve"> </w:t>
      </w:r>
      <w:r w:rsidR="00760DEB">
        <w:rPr>
          <w:sz w:val="32"/>
          <w:szCs w:val="32"/>
          <w:lang w:val="en-US"/>
        </w:rPr>
        <w:t xml:space="preserve">as the accident happened </w:t>
      </w:r>
      <w:r w:rsidR="00416BBD">
        <w:rPr>
          <w:sz w:val="32"/>
          <w:szCs w:val="32"/>
          <w:lang w:val="en-US"/>
        </w:rPr>
        <w:t>due to the state of the premises</w:t>
      </w:r>
      <w:r w:rsidR="001B0BA4">
        <w:rPr>
          <w:sz w:val="32"/>
          <w:szCs w:val="32"/>
          <w:lang w:val="en-US"/>
        </w:rPr>
        <w:t xml:space="preserve">. </w:t>
      </w:r>
      <w:r w:rsidR="00425D2B">
        <w:rPr>
          <w:sz w:val="32"/>
          <w:szCs w:val="32"/>
          <w:lang w:val="en-US"/>
        </w:rPr>
        <w:t>In</w:t>
      </w:r>
      <w:r w:rsidR="003E2B27">
        <w:rPr>
          <w:sz w:val="32"/>
          <w:szCs w:val="32"/>
          <w:lang w:val="en-US"/>
        </w:rPr>
        <w:t xml:space="preserve"> s1(1) of the (OLA 1957) states</w:t>
      </w:r>
      <w:r w:rsidR="00760DEB">
        <w:rPr>
          <w:sz w:val="32"/>
          <w:szCs w:val="32"/>
          <w:lang w:val="en-US"/>
        </w:rPr>
        <w:t>,</w:t>
      </w:r>
      <w:r w:rsidR="003E2B27">
        <w:rPr>
          <w:sz w:val="32"/>
          <w:szCs w:val="32"/>
          <w:lang w:val="en-US"/>
        </w:rPr>
        <w:t xml:space="preserve"> to govern that a premises occupier </w:t>
      </w:r>
      <w:r w:rsidR="008F028E">
        <w:rPr>
          <w:sz w:val="32"/>
          <w:szCs w:val="32"/>
          <w:lang w:val="en-US"/>
        </w:rPr>
        <w:t>owes to his visitors in the event of hazards posed by the state of the premises or things done or omitted on them</w:t>
      </w:r>
      <w:r w:rsidR="00A7607C">
        <w:rPr>
          <w:sz w:val="32"/>
          <w:szCs w:val="32"/>
          <w:lang w:val="en-US"/>
        </w:rPr>
        <w:t>.</w:t>
      </w:r>
      <w:r w:rsidR="003A2F53" w:rsidRPr="003A2F53">
        <w:rPr>
          <w:sz w:val="32"/>
          <w:szCs w:val="32"/>
          <w:lang w:val="en-US"/>
        </w:rPr>
        <w:t xml:space="preserve"> </w:t>
      </w:r>
    </w:p>
    <w:p w14:paraId="765CCBF8" w14:textId="77777777" w:rsidR="004B5C97" w:rsidRDefault="00062B19" w:rsidP="003A2F53">
      <w:pPr>
        <w:rPr>
          <w:sz w:val="32"/>
          <w:szCs w:val="32"/>
        </w:rPr>
      </w:pPr>
      <w:r w:rsidRPr="00062B19">
        <w:rPr>
          <w:sz w:val="32"/>
          <w:szCs w:val="32"/>
        </w:rPr>
        <w:t>In Wheat v. Lacon (1966), it suggests that an occupier will be a person with sufficient control and therefore in a position to prevent accidents.</w:t>
      </w:r>
      <w:r>
        <w:rPr>
          <w:sz w:val="32"/>
          <w:szCs w:val="32"/>
        </w:rPr>
        <w:t xml:space="preserve"> </w:t>
      </w:r>
    </w:p>
    <w:p w14:paraId="4AC85D75" w14:textId="77777777" w:rsidR="006C1D97" w:rsidRDefault="00D915B2" w:rsidP="003A2F53">
      <w:pPr>
        <w:rPr>
          <w:sz w:val="32"/>
          <w:szCs w:val="32"/>
        </w:rPr>
      </w:pPr>
      <w:r w:rsidRPr="00D915B2">
        <w:rPr>
          <w:sz w:val="32"/>
          <w:szCs w:val="32"/>
        </w:rPr>
        <w:t>As the wooden fence above the concrete walkway was a fixed structure and that it had rotted, this would have presented a danger to Leo. Under section 1 (3) (a) of the (OLA 1957), states</w:t>
      </w:r>
      <w:r w:rsidR="00DB7B16">
        <w:rPr>
          <w:sz w:val="32"/>
          <w:szCs w:val="32"/>
        </w:rPr>
        <w:t xml:space="preserve"> that</w:t>
      </w:r>
      <w:r w:rsidR="009B1488">
        <w:rPr>
          <w:sz w:val="32"/>
          <w:szCs w:val="32"/>
        </w:rPr>
        <w:t xml:space="preserve"> </w:t>
      </w:r>
      <w:r w:rsidR="004B5C97">
        <w:rPr>
          <w:sz w:val="32"/>
          <w:szCs w:val="32"/>
        </w:rPr>
        <w:t>t</w:t>
      </w:r>
      <w:r w:rsidR="00024908" w:rsidRPr="00024908">
        <w:rPr>
          <w:sz w:val="32"/>
          <w:szCs w:val="32"/>
        </w:rPr>
        <w:t>he responsibilities of a person who occupies or controls any fixed or portable structure are outlined in Section 1(3)(a) of the OLA (1957</w:t>
      </w:r>
      <w:r w:rsidR="002767F7" w:rsidRPr="00024908">
        <w:rPr>
          <w:sz w:val="32"/>
          <w:szCs w:val="32"/>
        </w:rPr>
        <w:t>). The</w:t>
      </w:r>
      <w:r w:rsidR="00024908" w:rsidRPr="00024908">
        <w:rPr>
          <w:sz w:val="32"/>
          <w:szCs w:val="32"/>
        </w:rPr>
        <w:t xml:space="preserve"> structure that is fixed, as defined in section 1 (3)(a) of the Occupiers' Liability Act </w:t>
      </w:r>
      <w:r w:rsidR="009B1488" w:rsidRPr="00024908">
        <w:rPr>
          <w:sz w:val="32"/>
          <w:szCs w:val="32"/>
        </w:rPr>
        <w:t>1957, The</w:t>
      </w:r>
      <w:r w:rsidR="00024908" w:rsidRPr="00024908">
        <w:rPr>
          <w:sz w:val="32"/>
          <w:szCs w:val="32"/>
        </w:rPr>
        <w:t xml:space="preserve"> fence was </w:t>
      </w:r>
      <w:r w:rsidR="00DB7B16" w:rsidRPr="00024908">
        <w:rPr>
          <w:sz w:val="32"/>
          <w:szCs w:val="32"/>
        </w:rPr>
        <w:t>fixed,</w:t>
      </w:r>
      <w:r w:rsidR="00024908" w:rsidRPr="00024908">
        <w:rPr>
          <w:sz w:val="32"/>
          <w:szCs w:val="32"/>
        </w:rPr>
        <w:t xml:space="preserve"> and Leo fell over it (Bunker v. Charles Brand (1969). CPL has a common duty of care to visitors as defined in section 2(2) of the Occupiers' Liability Act 1957. Children are less cautious than adults, and the occupier must be aware of children leaning against the fence, as defined in section 2(3)(a) of the OLA 1957.</w:t>
      </w:r>
      <w:r w:rsidR="00024908">
        <w:rPr>
          <w:sz w:val="32"/>
          <w:szCs w:val="32"/>
        </w:rPr>
        <w:t xml:space="preserve"> </w:t>
      </w:r>
    </w:p>
    <w:p w14:paraId="4E85D22C" w14:textId="378D4447" w:rsidR="00EB1EAC" w:rsidRDefault="006C1D97" w:rsidP="003A2F53">
      <w:pPr>
        <w:rPr>
          <w:sz w:val="32"/>
          <w:szCs w:val="32"/>
        </w:rPr>
      </w:pPr>
      <w:r w:rsidRPr="006C1D97">
        <w:rPr>
          <w:sz w:val="32"/>
          <w:szCs w:val="32"/>
        </w:rPr>
        <w:t>Although Leo's parents were with him and would have been responsible for looking after him, as in Phillips v Rochester</w:t>
      </w:r>
      <w:r w:rsidR="001F6F0D">
        <w:rPr>
          <w:sz w:val="32"/>
          <w:szCs w:val="32"/>
        </w:rPr>
        <w:t xml:space="preserve"> </w:t>
      </w:r>
      <w:r w:rsidR="00B406A6">
        <w:rPr>
          <w:sz w:val="32"/>
          <w:szCs w:val="32"/>
        </w:rPr>
        <w:t>(</w:t>
      </w:r>
      <w:r w:rsidR="00F41D8B">
        <w:rPr>
          <w:sz w:val="32"/>
          <w:szCs w:val="32"/>
        </w:rPr>
        <w:t>1955)</w:t>
      </w:r>
      <w:r w:rsidR="007335E8">
        <w:rPr>
          <w:sz w:val="32"/>
          <w:szCs w:val="32"/>
        </w:rPr>
        <w:t>,</w:t>
      </w:r>
      <w:r w:rsidRPr="006C1D97">
        <w:rPr>
          <w:sz w:val="32"/>
          <w:szCs w:val="32"/>
        </w:rPr>
        <w:t xml:space="preserve"> Leo’s parents may not have known the fence was not safe. Leo, who is 8 years of age, did nothing wrong by leaning against the fence. Leo is a child, and the fun house would have been fascinating to him. The fact that Leo is a visitor would give him the right to go to those areas in the theme park.</w:t>
      </w:r>
      <w:r>
        <w:rPr>
          <w:sz w:val="32"/>
          <w:szCs w:val="32"/>
        </w:rPr>
        <w:t xml:space="preserve"> </w:t>
      </w:r>
    </w:p>
    <w:p w14:paraId="347D8460" w14:textId="77777777" w:rsidR="00FA7CF8" w:rsidRDefault="008D4615">
      <w:pPr>
        <w:rPr>
          <w:sz w:val="32"/>
          <w:szCs w:val="32"/>
          <w:lang w:val="en-US"/>
        </w:rPr>
      </w:pPr>
      <w:r>
        <w:rPr>
          <w:sz w:val="32"/>
          <w:szCs w:val="32"/>
          <w:lang w:val="en-US"/>
        </w:rPr>
        <w:t>CPL</w:t>
      </w:r>
      <w:r w:rsidR="005A3829">
        <w:rPr>
          <w:sz w:val="32"/>
          <w:szCs w:val="32"/>
          <w:lang w:val="en-US"/>
        </w:rPr>
        <w:t xml:space="preserve"> have a responsibility</w:t>
      </w:r>
      <w:r w:rsidR="001547F1">
        <w:rPr>
          <w:sz w:val="32"/>
          <w:szCs w:val="32"/>
          <w:lang w:val="en-US"/>
        </w:rPr>
        <w:t xml:space="preserve"> </w:t>
      </w:r>
      <w:r>
        <w:rPr>
          <w:sz w:val="32"/>
          <w:szCs w:val="32"/>
          <w:lang w:val="en-US"/>
        </w:rPr>
        <w:t>for Leo</w:t>
      </w:r>
      <w:r w:rsidR="002A5848">
        <w:rPr>
          <w:sz w:val="32"/>
          <w:szCs w:val="32"/>
          <w:lang w:val="en-US"/>
        </w:rPr>
        <w:t>,</w:t>
      </w:r>
      <w:r>
        <w:rPr>
          <w:sz w:val="32"/>
          <w:szCs w:val="32"/>
          <w:lang w:val="en-US"/>
        </w:rPr>
        <w:t xml:space="preserve"> </w:t>
      </w:r>
      <w:r w:rsidR="001547F1">
        <w:rPr>
          <w:sz w:val="32"/>
          <w:szCs w:val="32"/>
          <w:lang w:val="en-US"/>
        </w:rPr>
        <w:t xml:space="preserve">it would have been wise for CPL to </w:t>
      </w:r>
      <w:r w:rsidR="002A5848">
        <w:rPr>
          <w:sz w:val="32"/>
          <w:szCs w:val="32"/>
          <w:lang w:val="en-US"/>
        </w:rPr>
        <w:t xml:space="preserve">have </w:t>
      </w:r>
      <w:r>
        <w:rPr>
          <w:sz w:val="32"/>
          <w:szCs w:val="32"/>
          <w:lang w:val="en-US"/>
        </w:rPr>
        <w:t xml:space="preserve">put a warning sign to warn people </w:t>
      </w:r>
      <w:r w:rsidR="002A5848">
        <w:rPr>
          <w:sz w:val="32"/>
          <w:szCs w:val="32"/>
          <w:lang w:val="en-US"/>
        </w:rPr>
        <w:t xml:space="preserve">that </w:t>
      </w:r>
      <w:r>
        <w:rPr>
          <w:sz w:val="32"/>
          <w:szCs w:val="32"/>
          <w:lang w:val="en-US"/>
        </w:rPr>
        <w:t xml:space="preserve">the fence was not </w:t>
      </w:r>
      <w:r w:rsidR="009B268E">
        <w:rPr>
          <w:sz w:val="32"/>
          <w:szCs w:val="32"/>
          <w:lang w:val="en-US"/>
        </w:rPr>
        <w:t>safe,</w:t>
      </w:r>
      <w:r w:rsidR="000D7B51">
        <w:rPr>
          <w:sz w:val="32"/>
          <w:szCs w:val="32"/>
          <w:lang w:val="en-US"/>
        </w:rPr>
        <w:t xml:space="preserve"> as defined in </w:t>
      </w:r>
      <w:r w:rsidR="009B268E">
        <w:rPr>
          <w:sz w:val="32"/>
          <w:szCs w:val="32"/>
          <w:lang w:val="en-US"/>
        </w:rPr>
        <w:t>section 2(4</w:t>
      </w:r>
      <w:r w:rsidR="002C7EB8">
        <w:rPr>
          <w:sz w:val="32"/>
          <w:szCs w:val="32"/>
          <w:lang w:val="en-US"/>
        </w:rPr>
        <w:t>)</w:t>
      </w:r>
      <w:r w:rsidR="00AB0B18">
        <w:rPr>
          <w:sz w:val="32"/>
          <w:szCs w:val="32"/>
          <w:lang w:val="en-US"/>
        </w:rPr>
        <w:t xml:space="preserve">(a) </w:t>
      </w:r>
      <w:r w:rsidR="002C7EB8">
        <w:rPr>
          <w:sz w:val="32"/>
          <w:szCs w:val="32"/>
          <w:lang w:val="en-US"/>
        </w:rPr>
        <w:t>of</w:t>
      </w:r>
      <w:r w:rsidR="009B268E">
        <w:rPr>
          <w:sz w:val="32"/>
          <w:szCs w:val="32"/>
          <w:lang w:val="en-US"/>
        </w:rPr>
        <w:t xml:space="preserve"> the </w:t>
      </w:r>
      <w:r w:rsidR="000D7B51">
        <w:rPr>
          <w:sz w:val="32"/>
          <w:szCs w:val="32"/>
          <w:lang w:val="en-US"/>
        </w:rPr>
        <w:t>(O</w:t>
      </w:r>
      <w:r w:rsidR="002C7EB8">
        <w:rPr>
          <w:sz w:val="32"/>
          <w:szCs w:val="32"/>
          <w:lang w:val="en-US"/>
        </w:rPr>
        <w:t>ccupier’s</w:t>
      </w:r>
      <w:r w:rsidR="009B268E">
        <w:rPr>
          <w:sz w:val="32"/>
          <w:szCs w:val="32"/>
          <w:lang w:val="en-US"/>
        </w:rPr>
        <w:t xml:space="preserve"> </w:t>
      </w:r>
      <w:r w:rsidR="000D7B51">
        <w:rPr>
          <w:sz w:val="32"/>
          <w:szCs w:val="32"/>
          <w:lang w:val="en-US"/>
        </w:rPr>
        <w:t>L</w:t>
      </w:r>
      <w:r w:rsidR="009B268E">
        <w:rPr>
          <w:sz w:val="32"/>
          <w:szCs w:val="32"/>
          <w:lang w:val="en-US"/>
        </w:rPr>
        <w:t xml:space="preserve">iability </w:t>
      </w:r>
      <w:r w:rsidR="000D7B51">
        <w:rPr>
          <w:sz w:val="32"/>
          <w:szCs w:val="32"/>
          <w:lang w:val="en-US"/>
        </w:rPr>
        <w:t>A</w:t>
      </w:r>
      <w:r w:rsidR="009B268E">
        <w:rPr>
          <w:sz w:val="32"/>
          <w:szCs w:val="32"/>
          <w:lang w:val="en-US"/>
        </w:rPr>
        <w:t>ct 1957</w:t>
      </w:r>
      <w:r w:rsidR="000D7B51">
        <w:rPr>
          <w:sz w:val="32"/>
          <w:szCs w:val="32"/>
          <w:lang w:val="en-US"/>
        </w:rPr>
        <w:t>)</w:t>
      </w:r>
      <w:r w:rsidR="00DE0A49">
        <w:rPr>
          <w:sz w:val="32"/>
          <w:szCs w:val="32"/>
          <w:lang w:val="en-US"/>
        </w:rPr>
        <w:t>,</w:t>
      </w:r>
      <w:r w:rsidR="009B268E">
        <w:rPr>
          <w:sz w:val="32"/>
          <w:szCs w:val="32"/>
          <w:lang w:val="en-US"/>
        </w:rPr>
        <w:t xml:space="preserve"> and </w:t>
      </w:r>
      <w:r w:rsidR="009B268E">
        <w:rPr>
          <w:sz w:val="32"/>
          <w:szCs w:val="32"/>
          <w:lang w:val="en-US"/>
        </w:rPr>
        <w:lastRenderedPageBreak/>
        <w:t xml:space="preserve">the </w:t>
      </w:r>
      <w:r>
        <w:rPr>
          <w:sz w:val="32"/>
          <w:szCs w:val="32"/>
          <w:lang w:val="en-US"/>
        </w:rPr>
        <w:t>warning must be sufficiently detailed</w:t>
      </w:r>
      <w:r w:rsidR="008407D1">
        <w:rPr>
          <w:sz w:val="32"/>
          <w:szCs w:val="32"/>
          <w:lang w:val="en-US"/>
        </w:rPr>
        <w:t>,</w:t>
      </w:r>
      <w:r w:rsidR="002C7EB8">
        <w:rPr>
          <w:sz w:val="32"/>
          <w:szCs w:val="32"/>
          <w:lang w:val="en-US"/>
        </w:rPr>
        <w:t xml:space="preserve"> </w:t>
      </w:r>
      <w:r w:rsidR="008407D1">
        <w:rPr>
          <w:sz w:val="32"/>
          <w:szCs w:val="32"/>
          <w:lang w:val="en-US"/>
        </w:rPr>
        <w:t xml:space="preserve">and </w:t>
      </w:r>
      <w:r w:rsidR="002C7EB8">
        <w:rPr>
          <w:sz w:val="32"/>
          <w:szCs w:val="32"/>
          <w:lang w:val="en-US"/>
        </w:rPr>
        <w:t>the</w:t>
      </w:r>
      <w:r w:rsidR="004D2F6F">
        <w:rPr>
          <w:sz w:val="32"/>
          <w:szCs w:val="32"/>
          <w:lang w:val="en-US"/>
        </w:rPr>
        <w:t xml:space="preserve"> hase</w:t>
      </w:r>
      <w:r w:rsidR="008D7DFD">
        <w:rPr>
          <w:sz w:val="32"/>
          <w:szCs w:val="32"/>
          <w:lang w:val="en-US"/>
        </w:rPr>
        <w:t xml:space="preserve">ldine v </w:t>
      </w:r>
      <w:r w:rsidR="002C7EB8">
        <w:rPr>
          <w:sz w:val="32"/>
          <w:szCs w:val="32"/>
          <w:lang w:val="en-US"/>
        </w:rPr>
        <w:t xml:space="preserve">Daw </w:t>
      </w:r>
      <w:r w:rsidR="002873AC">
        <w:rPr>
          <w:sz w:val="32"/>
          <w:szCs w:val="32"/>
          <w:lang w:val="en-US"/>
        </w:rPr>
        <w:t xml:space="preserve">(1941) </w:t>
      </w:r>
      <w:r w:rsidR="002C7EB8">
        <w:rPr>
          <w:sz w:val="32"/>
          <w:szCs w:val="32"/>
          <w:lang w:val="en-US"/>
        </w:rPr>
        <w:t>would</w:t>
      </w:r>
      <w:r w:rsidR="008D7DFD">
        <w:rPr>
          <w:sz w:val="32"/>
          <w:szCs w:val="32"/>
          <w:lang w:val="en-US"/>
        </w:rPr>
        <w:t xml:space="preserve"> provide a </w:t>
      </w:r>
      <w:r w:rsidR="002A5848">
        <w:rPr>
          <w:sz w:val="32"/>
          <w:szCs w:val="32"/>
          <w:lang w:val="en-US"/>
        </w:rPr>
        <w:t>defense</w:t>
      </w:r>
      <w:r w:rsidR="008D7DFD">
        <w:rPr>
          <w:sz w:val="32"/>
          <w:szCs w:val="32"/>
          <w:lang w:val="en-US"/>
        </w:rPr>
        <w:t xml:space="preserve"> for the occupier.</w:t>
      </w:r>
      <w:r w:rsidR="00527E81">
        <w:rPr>
          <w:sz w:val="32"/>
          <w:szCs w:val="32"/>
          <w:lang w:val="en-US"/>
        </w:rPr>
        <w:t xml:space="preserve"> </w:t>
      </w:r>
      <w:bookmarkStart w:id="0" w:name="_Hlk91749244"/>
    </w:p>
    <w:p w14:paraId="4C6F8141" w14:textId="77777777" w:rsidR="001C417C" w:rsidRDefault="003548F0">
      <w:pPr>
        <w:rPr>
          <w:sz w:val="32"/>
          <w:szCs w:val="32"/>
        </w:rPr>
      </w:pPr>
      <w:r w:rsidRPr="003548F0">
        <w:rPr>
          <w:sz w:val="32"/>
          <w:szCs w:val="32"/>
        </w:rPr>
        <w:t>The objective standards are considered by the courts to be the nature and characteristics of the entry, the ag e, the nature of the premises and the extent of the risk. This is stated in section 1(4) of OLA 1984. And courts are very particular about the occupier’s liability, so as society changes, the law does as well.</w:t>
      </w:r>
      <w:r>
        <w:rPr>
          <w:sz w:val="32"/>
          <w:szCs w:val="32"/>
        </w:rPr>
        <w:t xml:space="preserve"> </w:t>
      </w:r>
    </w:p>
    <w:p w14:paraId="5B456232" w14:textId="4E0940C0" w:rsidR="005B36CF" w:rsidRDefault="00C15D98">
      <w:pPr>
        <w:rPr>
          <w:sz w:val="32"/>
          <w:szCs w:val="32"/>
        </w:rPr>
      </w:pPr>
      <w:r w:rsidRPr="00C15D98">
        <w:rPr>
          <w:sz w:val="32"/>
          <w:szCs w:val="32"/>
        </w:rPr>
        <w:t>It would have been prudent for CPL to post a notice stating that the fence was not safe to lean on, as defined in section 2(4)(a) of the OLA 1957. This may have prevented Leo from having an accident, or CPL could have offered an alternative root for his visitors; this may have prevented any accidents from occurring and would have offered protection to all visitors, as defined in section 1(3)(c) of the OLA 1984. would also have shown that CPL was taking reasonable care of the visitors. By putting a notice up, it could have given CPL enough time to get the fence fixed</w:t>
      </w:r>
      <w:r w:rsidR="00D628E7">
        <w:rPr>
          <w:sz w:val="32"/>
          <w:szCs w:val="32"/>
        </w:rPr>
        <w:t>. A</w:t>
      </w:r>
      <w:r w:rsidRPr="00C15D98">
        <w:rPr>
          <w:sz w:val="32"/>
          <w:szCs w:val="32"/>
        </w:rPr>
        <w:t xml:space="preserve">s in the Roles v Nathen </w:t>
      </w:r>
      <w:r w:rsidR="00B2717C">
        <w:rPr>
          <w:sz w:val="32"/>
          <w:szCs w:val="32"/>
        </w:rPr>
        <w:t>(</w:t>
      </w:r>
      <w:r w:rsidRPr="00C15D98">
        <w:rPr>
          <w:sz w:val="32"/>
          <w:szCs w:val="32"/>
        </w:rPr>
        <w:t>1963</w:t>
      </w:r>
      <w:r w:rsidR="00B2717C">
        <w:rPr>
          <w:sz w:val="32"/>
          <w:szCs w:val="32"/>
        </w:rPr>
        <w:t>)</w:t>
      </w:r>
      <w:r w:rsidRPr="00C15D98">
        <w:rPr>
          <w:sz w:val="32"/>
          <w:szCs w:val="32"/>
        </w:rPr>
        <w:t xml:space="preserve"> case</w:t>
      </w:r>
      <w:r w:rsidR="005B36CF">
        <w:rPr>
          <w:sz w:val="32"/>
          <w:szCs w:val="32"/>
        </w:rPr>
        <w:t>.</w:t>
      </w:r>
    </w:p>
    <w:p w14:paraId="3533C174" w14:textId="77777777" w:rsidR="00A07E49" w:rsidRDefault="004D00D0">
      <w:pPr>
        <w:rPr>
          <w:sz w:val="32"/>
          <w:szCs w:val="32"/>
        </w:rPr>
      </w:pPr>
      <w:r w:rsidRPr="004D00D0">
        <w:rPr>
          <w:sz w:val="32"/>
          <w:szCs w:val="32"/>
        </w:rPr>
        <w:t>CPL could have done regular checks on the fence to ensure there was no damage to it, which would have been easy for them to do. It does not cost anything to check, and it would have minimised the risk. The roof could have been checked. If CPL is inviting people on to their land, then it should be properly maintained and inspected. As in (Taylor v Glasgow Corporation, 1922).</w:t>
      </w:r>
      <w:r>
        <w:rPr>
          <w:sz w:val="32"/>
          <w:szCs w:val="32"/>
        </w:rPr>
        <w:t xml:space="preserve"> </w:t>
      </w:r>
    </w:p>
    <w:p w14:paraId="567C2546" w14:textId="77777777" w:rsidR="009740CF" w:rsidRDefault="00A07E49">
      <w:r w:rsidRPr="00A07E49">
        <w:rPr>
          <w:sz w:val="32"/>
          <w:szCs w:val="32"/>
        </w:rPr>
        <w:t xml:space="preserve">As defined in section 2(2) of the OLA 1957, the occupier has a common duty of care to ensure that reasonable care is taken in all circumstances to ensure that their premises are reasonably safe for the people whom they invite onto their land. If CPL had put warning signs up, or had done regular checks on the premises, the Tomlinson v Congleton BC, 2003) case would have offered some protection for the occupier, as it would have shown they were taking reasonable care to try to avoid accidents occurring, but because they did nothing to protect Leo, they would have breached their duty of care towards </w:t>
      </w:r>
      <w:r w:rsidRPr="00A07E49">
        <w:rPr>
          <w:sz w:val="32"/>
          <w:szCs w:val="32"/>
        </w:rPr>
        <w:lastRenderedPageBreak/>
        <w:t>Leo.</w:t>
      </w:r>
      <w:r>
        <w:rPr>
          <w:sz w:val="32"/>
          <w:szCs w:val="32"/>
        </w:rPr>
        <w:t xml:space="preserve"> </w:t>
      </w:r>
      <w:r w:rsidR="002D2EA7" w:rsidRPr="002D2EA7">
        <w:rPr>
          <w:sz w:val="32"/>
          <w:szCs w:val="32"/>
        </w:rPr>
        <w:t>The occupier’s liability for Millie would come under section 1(3) of the Occupiers' Liability Act 1984. This is because under this act it states that the occupier must keep the non-visitor reasonably safe. This act is for non-visitors, and Millie is classed as a non-visitor because she sneaked in by climbing the fence to avoid paying.</w:t>
      </w:r>
      <w:r w:rsidR="009740CF" w:rsidRPr="009740CF">
        <w:t xml:space="preserve"> </w:t>
      </w:r>
    </w:p>
    <w:p w14:paraId="5CA96C32" w14:textId="67DE4EA6" w:rsidR="00F26D6A" w:rsidRDefault="009740CF">
      <w:pPr>
        <w:rPr>
          <w:sz w:val="32"/>
          <w:szCs w:val="32"/>
        </w:rPr>
      </w:pPr>
      <w:r w:rsidRPr="009740CF">
        <w:rPr>
          <w:sz w:val="32"/>
          <w:szCs w:val="32"/>
        </w:rPr>
        <w:t>This act is known as a "3-stage test," and all three would have to be proven for Millie to be owed a duty of care. According to section 1(3)(a) of the OLA 1984, if the occupier is aware of any danger or knows of any risk to the premises, as in Ferguson v Welsh 1987, where the danger arose from the condition of the premises, the occupier is liable.</w:t>
      </w:r>
      <w:r>
        <w:rPr>
          <w:sz w:val="32"/>
          <w:szCs w:val="32"/>
        </w:rPr>
        <w:t xml:space="preserve"> </w:t>
      </w:r>
      <w:r w:rsidR="002D2EA7">
        <w:rPr>
          <w:sz w:val="32"/>
          <w:szCs w:val="32"/>
        </w:rPr>
        <w:t xml:space="preserve"> </w:t>
      </w:r>
    </w:p>
    <w:bookmarkEnd w:id="0"/>
    <w:p w14:paraId="0832DA3B" w14:textId="77777777" w:rsidR="00977984" w:rsidRDefault="000F1738">
      <w:pPr>
        <w:rPr>
          <w:sz w:val="32"/>
          <w:szCs w:val="32"/>
          <w:lang w:val="en-US"/>
        </w:rPr>
      </w:pPr>
      <w:r>
        <w:rPr>
          <w:sz w:val="32"/>
          <w:szCs w:val="32"/>
          <w:lang w:val="en-US"/>
        </w:rPr>
        <w:t>The question here is, did CPL know that the lights and the electrics were lo</w:t>
      </w:r>
      <w:r w:rsidR="0033487D">
        <w:rPr>
          <w:sz w:val="32"/>
          <w:szCs w:val="32"/>
          <w:lang w:val="en-US"/>
        </w:rPr>
        <w:t>ose</w:t>
      </w:r>
      <w:r w:rsidR="002D35B2">
        <w:rPr>
          <w:sz w:val="32"/>
          <w:szCs w:val="32"/>
          <w:lang w:val="en-US"/>
        </w:rPr>
        <w:t>?</w:t>
      </w:r>
      <w:r>
        <w:rPr>
          <w:sz w:val="32"/>
          <w:szCs w:val="32"/>
          <w:lang w:val="en-US"/>
        </w:rPr>
        <w:t xml:space="preserve"> if CPL knew that they were lo</w:t>
      </w:r>
      <w:r w:rsidR="0033487D">
        <w:rPr>
          <w:sz w:val="32"/>
          <w:szCs w:val="32"/>
          <w:lang w:val="en-US"/>
        </w:rPr>
        <w:t>ose</w:t>
      </w:r>
      <w:r w:rsidR="00793C84">
        <w:rPr>
          <w:sz w:val="32"/>
          <w:szCs w:val="32"/>
          <w:lang w:val="en-US"/>
        </w:rPr>
        <w:t>,</w:t>
      </w:r>
      <w:r>
        <w:rPr>
          <w:sz w:val="32"/>
          <w:szCs w:val="32"/>
          <w:lang w:val="en-US"/>
        </w:rPr>
        <w:t xml:space="preserve"> then they would </w:t>
      </w:r>
      <w:r w:rsidR="00DE3929">
        <w:rPr>
          <w:sz w:val="32"/>
          <w:szCs w:val="32"/>
          <w:lang w:val="en-US"/>
        </w:rPr>
        <w:t>have</w:t>
      </w:r>
      <w:r>
        <w:rPr>
          <w:sz w:val="32"/>
          <w:szCs w:val="32"/>
          <w:lang w:val="en-US"/>
        </w:rPr>
        <w:t xml:space="preserve"> obviously known that Millie or anyone else would have come into the vicinity of the danger because the lights and the electrics were on the roof above the ride</w:t>
      </w:r>
      <w:r w:rsidR="005858D2">
        <w:rPr>
          <w:sz w:val="32"/>
          <w:szCs w:val="32"/>
          <w:lang w:val="en-US"/>
        </w:rPr>
        <w:t>.</w:t>
      </w:r>
      <w:r>
        <w:rPr>
          <w:sz w:val="32"/>
          <w:szCs w:val="32"/>
          <w:lang w:val="en-US"/>
        </w:rPr>
        <w:t xml:space="preserve"> </w:t>
      </w:r>
    </w:p>
    <w:p w14:paraId="187E1919" w14:textId="77777777" w:rsidR="007D58E7" w:rsidRDefault="00977984">
      <w:pPr>
        <w:rPr>
          <w:sz w:val="32"/>
          <w:szCs w:val="32"/>
        </w:rPr>
      </w:pPr>
      <w:r w:rsidRPr="00977984">
        <w:rPr>
          <w:sz w:val="32"/>
          <w:szCs w:val="32"/>
        </w:rPr>
        <w:t>Millie would have been able to go on that ride. According to section 1(3)(b), the occupier must have known that the non-visitor or visitor might come into contact with the danger, as in (Young v Kent County Council 2005).Furthermore, if CPL had known they could have done something to prevent anyone from being hurt, as section 1(3)(c) states, could the occupier have reasonably offered some protection in all the circumstances of the case, as in Jolley v Sutton London Borough Council 2000).</w:t>
      </w:r>
      <w:r>
        <w:rPr>
          <w:sz w:val="32"/>
          <w:szCs w:val="32"/>
        </w:rPr>
        <w:t xml:space="preserve"> </w:t>
      </w:r>
    </w:p>
    <w:p w14:paraId="578F0A70" w14:textId="3CFBCEE6" w:rsidR="00F75892" w:rsidRDefault="007D58E7">
      <w:pPr>
        <w:rPr>
          <w:sz w:val="32"/>
          <w:szCs w:val="32"/>
        </w:rPr>
      </w:pPr>
      <w:r w:rsidRPr="007D58E7">
        <w:rPr>
          <w:sz w:val="32"/>
          <w:szCs w:val="32"/>
        </w:rPr>
        <w:t xml:space="preserve">CPL could be liable under section 1(3) of the Occupiers' </w:t>
      </w:r>
      <w:r w:rsidR="00F75892" w:rsidRPr="007D58E7">
        <w:rPr>
          <w:sz w:val="32"/>
          <w:szCs w:val="32"/>
        </w:rPr>
        <w:t xml:space="preserve">Liability </w:t>
      </w:r>
      <w:r w:rsidR="00F75892">
        <w:rPr>
          <w:sz w:val="32"/>
          <w:szCs w:val="32"/>
        </w:rPr>
        <w:t>Act</w:t>
      </w:r>
      <w:r w:rsidRPr="007D58E7">
        <w:rPr>
          <w:sz w:val="32"/>
          <w:szCs w:val="32"/>
        </w:rPr>
        <w:t xml:space="preserve"> 1984, so this then would make CPL liable for Millie, and Millie would be able to recover compensation for the injury. However, she would not be able to recover anything for the damage to her sunglasses. As stated in section 1(8) of the Occupier’s Liability Act 1984, the occupier is not in breach of duty for any broken or lost property. under section 1(3) of the</w:t>
      </w:r>
      <w:r w:rsidR="00A87E7E">
        <w:rPr>
          <w:sz w:val="32"/>
          <w:szCs w:val="32"/>
        </w:rPr>
        <w:t xml:space="preserve"> (</w:t>
      </w:r>
      <w:r w:rsidR="00F75892" w:rsidRPr="007D58E7">
        <w:rPr>
          <w:sz w:val="32"/>
          <w:szCs w:val="32"/>
        </w:rPr>
        <w:t>Occupier</w:t>
      </w:r>
      <w:r w:rsidR="009D700C">
        <w:rPr>
          <w:sz w:val="32"/>
          <w:szCs w:val="32"/>
        </w:rPr>
        <w:t xml:space="preserve">s </w:t>
      </w:r>
      <w:r w:rsidRPr="007D58E7">
        <w:rPr>
          <w:sz w:val="32"/>
          <w:szCs w:val="32"/>
        </w:rPr>
        <w:t>liability Act 1984</w:t>
      </w:r>
      <w:r w:rsidR="00A87E7E">
        <w:rPr>
          <w:sz w:val="32"/>
          <w:szCs w:val="32"/>
        </w:rPr>
        <w:t>)</w:t>
      </w:r>
      <w:r w:rsidRPr="007D58E7">
        <w:rPr>
          <w:sz w:val="32"/>
          <w:szCs w:val="32"/>
        </w:rPr>
        <w:t>.</w:t>
      </w:r>
      <w:r>
        <w:rPr>
          <w:sz w:val="32"/>
          <w:szCs w:val="32"/>
        </w:rPr>
        <w:t xml:space="preserve"> </w:t>
      </w:r>
    </w:p>
    <w:p w14:paraId="773F63B4" w14:textId="5FA4FD1C" w:rsidR="005858D2" w:rsidRDefault="00166514">
      <w:pPr>
        <w:rPr>
          <w:sz w:val="32"/>
          <w:szCs w:val="32"/>
          <w:lang w:val="en-US"/>
        </w:rPr>
      </w:pPr>
      <w:r w:rsidRPr="00166514">
        <w:rPr>
          <w:sz w:val="32"/>
          <w:szCs w:val="32"/>
        </w:rPr>
        <w:lastRenderedPageBreak/>
        <w:t>If CPL did not know that the lights and the electricity were loose, then they would not owe Millie a duty of care, as CPL would not have satisfied all three tests of the OLA 1984 s1 (3) (a), (b), and (c). As stated under section 1(1) of the Occupier’s Liability Act 1984, CPL does not have a duty of care for Millie unless the premises are in need of any work or if the state of the premises could cause any harm to the non-visitor.</w:t>
      </w:r>
    </w:p>
    <w:p w14:paraId="59EB1CCB" w14:textId="77777777" w:rsidR="00BB7ACB" w:rsidRDefault="000F1738">
      <w:pPr>
        <w:rPr>
          <w:sz w:val="32"/>
          <w:szCs w:val="32"/>
          <w:lang w:val="en-US"/>
        </w:rPr>
      </w:pPr>
      <w:r>
        <w:rPr>
          <w:sz w:val="32"/>
          <w:szCs w:val="32"/>
          <w:lang w:val="en-US"/>
        </w:rPr>
        <w:t>If CPL did not know that the lights and the electrics were lose, then they would not owe Millie a duty of care</w:t>
      </w:r>
      <w:r w:rsidR="006B5B2E">
        <w:rPr>
          <w:sz w:val="32"/>
          <w:szCs w:val="32"/>
          <w:lang w:val="en-US"/>
        </w:rPr>
        <w:t xml:space="preserve">, </w:t>
      </w:r>
      <w:r>
        <w:rPr>
          <w:sz w:val="32"/>
          <w:szCs w:val="32"/>
          <w:lang w:val="en-US"/>
        </w:rPr>
        <w:t>as CPL would not of satisfied all three test of the OLA 1984 s1(3)(a</w:t>
      </w:r>
      <w:r w:rsidR="00F14EBA">
        <w:rPr>
          <w:sz w:val="32"/>
          <w:szCs w:val="32"/>
          <w:lang w:val="en-US"/>
        </w:rPr>
        <w:t>), (</w:t>
      </w:r>
      <w:r>
        <w:rPr>
          <w:sz w:val="32"/>
          <w:szCs w:val="32"/>
          <w:lang w:val="en-US"/>
        </w:rPr>
        <w:t xml:space="preserve">b) and (c). </w:t>
      </w:r>
      <w:r w:rsidR="006B5B2E">
        <w:rPr>
          <w:sz w:val="32"/>
          <w:szCs w:val="32"/>
          <w:lang w:val="en-US"/>
        </w:rPr>
        <w:t>as stated</w:t>
      </w:r>
      <w:r w:rsidR="00EE7FC3">
        <w:rPr>
          <w:sz w:val="32"/>
          <w:szCs w:val="32"/>
          <w:lang w:val="en-US"/>
        </w:rPr>
        <w:t xml:space="preserve"> u</w:t>
      </w:r>
      <w:r w:rsidR="005F6140">
        <w:rPr>
          <w:sz w:val="32"/>
          <w:szCs w:val="32"/>
          <w:lang w:val="en-US"/>
        </w:rPr>
        <w:t xml:space="preserve">nder section 1(1) of the </w:t>
      </w:r>
      <w:r w:rsidR="00044B7B">
        <w:rPr>
          <w:sz w:val="32"/>
          <w:szCs w:val="32"/>
          <w:lang w:val="en-US"/>
        </w:rPr>
        <w:t>(</w:t>
      </w:r>
      <w:r w:rsidR="006340CF">
        <w:rPr>
          <w:sz w:val="32"/>
          <w:szCs w:val="32"/>
          <w:lang w:val="en-US"/>
        </w:rPr>
        <w:t>occupier’s</w:t>
      </w:r>
      <w:r w:rsidR="005F6140">
        <w:rPr>
          <w:sz w:val="32"/>
          <w:szCs w:val="32"/>
          <w:lang w:val="en-US"/>
        </w:rPr>
        <w:t xml:space="preserve"> liability act 1984</w:t>
      </w:r>
      <w:r w:rsidR="00044B7B">
        <w:rPr>
          <w:sz w:val="32"/>
          <w:szCs w:val="32"/>
          <w:lang w:val="en-US"/>
        </w:rPr>
        <w:t>)</w:t>
      </w:r>
      <w:r w:rsidR="005F6140">
        <w:rPr>
          <w:sz w:val="32"/>
          <w:szCs w:val="32"/>
          <w:lang w:val="en-US"/>
        </w:rPr>
        <w:t xml:space="preserve"> CPL does not have a duty of care for </w:t>
      </w:r>
      <w:r w:rsidR="006340CF">
        <w:rPr>
          <w:sz w:val="32"/>
          <w:szCs w:val="32"/>
          <w:lang w:val="en-US"/>
        </w:rPr>
        <w:t>Millie</w:t>
      </w:r>
      <w:r w:rsidR="005F6140">
        <w:rPr>
          <w:sz w:val="32"/>
          <w:szCs w:val="32"/>
          <w:lang w:val="en-US"/>
        </w:rPr>
        <w:t xml:space="preserve"> unless</w:t>
      </w:r>
      <w:r w:rsidR="00E34AD7">
        <w:rPr>
          <w:sz w:val="32"/>
          <w:szCs w:val="32"/>
          <w:lang w:val="en-US"/>
        </w:rPr>
        <w:t>,</w:t>
      </w:r>
      <w:r w:rsidR="005F6140">
        <w:rPr>
          <w:sz w:val="32"/>
          <w:szCs w:val="32"/>
          <w:lang w:val="en-US"/>
        </w:rPr>
        <w:t xml:space="preserve"> the premises are in need of any work or if the state of the premises could cause any harm to the </w:t>
      </w:r>
      <w:r w:rsidR="006340CF">
        <w:rPr>
          <w:sz w:val="32"/>
          <w:szCs w:val="32"/>
          <w:lang w:val="en-US"/>
        </w:rPr>
        <w:t>non-visitor</w:t>
      </w:r>
      <w:r w:rsidR="00E34AD7">
        <w:rPr>
          <w:sz w:val="32"/>
          <w:szCs w:val="32"/>
          <w:lang w:val="en-US"/>
        </w:rPr>
        <w:t>.</w:t>
      </w:r>
      <w:r w:rsidR="005F6140">
        <w:rPr>
          <w:sz w:val="32"/>
          <w:szCs w:val="32"/>
          <w:lang w:val="en-US"/>
        </w:rPr>
        <w:t xml:space="preserve"> </w:t>
      </w:r>
    </w:p>
    <w:p w14:paraId="4B891159" w14:textId="77777777" w:rsidR="00CE6109" w:rsidRDefault="00BB7ACB">
      <w:pPr>
        <w:rPr>
          <w:sz w:val="32"/>
          <w:szCs w:val="32"/>
        </w:rPr>
      </w:pPr>
      <w:r w:rsidRPr="00BB7ACB">
        <w:rPr>
          <w:sz w:val="32"/>
          <w:szCs w:val="32"/>
        </w:rPr>
        <w:t>As defined in section 1(4) of the OLA 1984, the owner has a duty to non-visitors to ensure they are reasonably safe. This, however, is different to the 1957 OLA, where it says occupants do not have a duty to non-visitors. Section 1(1) which applies to the state of the premises and what the occupier should have done or would have done to make it safe. Section 1(3) of OLA 1984 applies to non-visitors.</w:t>
      </w:r>
      <w:r>
        <w:rPr>
          <w:sz w:val="32"/>
          <w:szCs w:val="32"/>
        </w:rPr>
        <w:t xml:space="preserve"> </w:t>
      </w:r>
    </w:p>
    <w:p w14:paraId="67D00A31" w14:textId="77777777" w:rsidR="00495E4D" w:rsidRDefault="00CE6109">
      <w:pPr>
        <w:rPr>
          <w:sz w:val="32"/>
          <w:szCs w:val="32"/>
        </w:rPr>
      </w:pPr>
      <w:r w:rsidRPr="00CE6109">
        <w:rPr>
          <w:sz w:val="32"/>
          <w:szCs w:val="32"/>
        </w:rPr>
        <w:t>The fact that the lights and the electricity were loose means that Millie may not have suffered any injuries if they were secure. Because it was no fault of Millie's, the lights and the electricity came loose. It may have been due to the vibration of the moving ride, or that they were already loose.</w:t>
      </w:r>
      <w:r>
        <w:rPr>
          <w:sz w:val="32"/>
          <w:szCs w:val="32"/>
        </w:rPr>
        <w:t xml:space="preserve"> </w:t>
      </w:r>
    </w:p>
    <w:p w14:paraId="7FDC55C9" w14:textId="77777777" w:rsidR="009E3FC5" w:rsidRDefault="00495E4D" w:rsidP="00CA23D7">
      <w:pPr>
        <w:rPr>
          <w:sz w:val="32"/>
          <w:szCs w:val="32"/>
        </w:rPr>
      </w:pPr>
      <w:r w:rsidRPr="00495E4D">
        <w:rPr>
          <w:sz w:val="32"/>
          <w:szCs w:val="32"/>
        </w:rPr>
        <w:t xml:space="preserve">When Millie climbed over the fence, she should have been aware of the danger of the moving waltzes, but Millie’s choice was to jump on it. So, it could be argued that, however, if the waltzes were not moving, she may not have suffered any injuries. This is because the </w:t>
      </w:r>
      <w:r w:rsidRPr="00495E4D">
        <w:rPr>
          <w:sz w:val="32"/>
          <w:szCs w:val="32"/>
        </w:rPr>
        <w:lastRenderedPageBreak/>
        <w:t>light came down whilst the waltzes were moving. So, it was partly Millie’s fault that she got injured.</w:t>
      </w:r>
      <w:r>
        <w:rPr>
          <w:sz w:val="32"/>
          <w:szCs w:val="32"/>
        </w:rPr>
        <w:t xml:space="preserve"> </w:t>
      </w:r>
    </w:p>
    <w:p w14:paraId="0DE67000" w14:textId="361FDFE0" w:rsidR="00CA23D7" w:rsidRPr="00CA23D7" w:rsidRDefault="00CA23D7" w:rsidP="00CA23D7">
      <w:pPr>
        <w:rPr>
          <w:sz w:val="32"/>
          <w:szCs w:val="32"/>
        </w:rPr>
      </w:pPr>
      <w:r w:rsidRPr="00CA23D7">
        <w:rPr>
          <w:sz w:val="32"/>
          <w:szCs w:val="32"/>
        </w:rPr>
        <w:t>As there was an accident just a couple of days before the accident occurred with Millie, CLP should have been aware that the fairground was in need of maintenance, and as they had the roof checked after the accident with Leo, they could have had the roof checked on the waltzes, then maybe CLP could have prevented any accidents from occurring after that of Leo.</w:t>
      </w:r>
    </w:p>
    <w:p w14:paraId="74C61169" w14:textId="77777777" w:rsidR="0091487C" w:rsidRDefault="00CA23D7" w:rsidP="00CA23D7">
      <w:pPr>
        <w:rPr>
          <w:sz w:val="32"/>
          <w:szCs w:val="32"/>
        </w:rPr>
      </w:pPr>
      <w:r w:rsidRPr="00CA23D7">
        <w:rPr>
          <w:sz w:val="32"/>
          <w:szCs w:val="32"/>
        </w:rPr>
        <w:t>However, CPL may not have been aware of the lights and electrics at the time of the accident because they only started coming loose when the ride was in progress.</w:t>
      </w:r>
    </w:p>
    <w:p w14:paraId="240B760E" w14:textId="77777777" w:rsidR="0062777C" w:rsidRDefault="0091487C" w:rsidP="00CA23D7">
      <w:pPr>
        <w:rPr>
          <w:sz w:val="32"/>
          <w:szCs w:val="32"/>
        </w:rPr>
      </w:pPr>
      <w:r w:rsidRPr="0091487C">
        <w:rPr>
          <w:sz w:val="32"/>
          <w:szCs w:val="32"/>
        </w:rPr>
        <w:t>CPL should be aware of people climbing over the fence to avoid paying to enter the fairground by putting a warning sign in front of the fence, as stated in section 1(3) of the (occupiers liability act 1984).</w:t>
      </w:r>
      <w:r>
        <w:rPr>
          <w:sz w:val="32"/>
          <w:szCs w:val="32"/>
        </w:rPr>
        <w:t xml:space="preserve"> </w:t>
      </w:r>
    </w:p>
    <w:p w14:paraId="7D26B0FB" w14:textId="288C61DB" w:rsidR="0062777C" w:rsidRPr="00CA23D7" w:rsidRDefault="002F776A" w:rsidP="00CA23D7">
      <w:pPr>
        <w:rPr>
          <w:sz w:val="32"/>
          <w:szCs w:val="32"/>
        </w:rPr>
      </w:pPr>
      <w:r w:rsidRPr="002F776A">
        <w:rPr>
          <w:sz w:val="32"/>
          <w:szCs w:val="32"/>
        </w:rPr>
        <w:t xml:space="preserve">Nia was a visitor to the fairground, so the occupier in section 2(2) (OLA 1957) has a duty of care to make sure Nia was safe while she was in the fairground. It would not be necessary for CPL to have reasonably foreseen any injuries regarding Nia, but rather </w:t>
      </w:r>
      <w:r w:rsidRPr="002F776A">
        <w:rPr>
          <w:sz w:val="32"/>
          <w:szCs w:val="32"/>
        </w:rPr>
        <w:t>Nia’s</w:t>
      </w:r>
      <w:r w:rsidRPr="002F776A">
        <w:rPr>
          <w:sz w:val="32"/>
          <w:szCs w:val="32"/>
        </w:rPr>
        <w:t xml:space="preserve"> injuries were caused by CPL's negligence on the premises. If Nia had been physically injured, she would have been able to recover compensation for her injuries as she was in the danger zone (Page v Smith 1996). If the lights and the electricity were not safe and CPL could foresee the danger, and they still allowed people to come on to the premises, they would be in breach of their duty to care for their visitors. (Meikle 2018).</w:t>
      </w:r>
      <w:r>
        <w:rPr>
          <w:sz w:val="32"/>
          <w:szCs w:val="32"/>
        </w:rPr>
        <w:t xml:space="preserve"> </w:t>
      </w:r>
    </w:p>
    <w:p w14:paraId="78421DA7" w14:textId="4BBA44D6" w:rsidR="005770D8" w:rsidRDefault="001A0188" w:rsidP="00915577">
      <w:pPr>
        <w:rPr>
          <w:sz w:val="32"/>
          <w:szCs w:val="32"/>
          <w:lang w:val="en-US"/>
        </w:rPr>
      </w:pPr>
      <w:bookmarkStart w:id="1" w:name="_Hlk89517415"/>
      <w:r>
        <w:rPr>
          <w:sz w:val="32"/>
          <w:szCs w:val="32"/>
          <w:lang w:val="en-US"/>
        </w:rPr>
        <w:t>However, if CPL was not aware that the lights and the electrics were lo</w:t>
      </w:r>
      <w:r w:rsidR="00A842E5">
        <w:rPr>
          <w:sz w:val="32"/>
          <w:szCs w:val="32"/>
          <w:lang w:val="en-US"/>
        </w:rPr>
        <w:t>ose</w:t>
      </w:r>
      <w:r>
        <w:rPr>
          <w:sz w:val="32"/>
          <w:szCs w:val="32"/>
          <w:lang w:val="en-US"/>
        </w:rPr>
        <w:t xml:space="preserve"> </w:t>
      </w:r>
      <w:r w:rsidR="00026863">
        <w:rPr>
          <w:sz w:val="32"/>
          <w:szCs w:val="32"/>
          <w:lang w:val="en-US"/>
        </w:rPr>
        <w:t xml:space="preserve">and they could not have foreseen the danger, </w:t>
      </w:r>
      <w:r>
        <w:rPr>
          <w:sz w:val="32"/>
          <w:szCs w:val="32"/>
          <w:lang w:val="en-US"/>
        </w:rPr>
        <w:t>they would not be in breach of their duty</w:t>
      </w:r>
      <w:bookmarkEnd w:id="1"/>
      <w:r w:rsidR="00E17447">
        <w:rPr>
          <w:sz w:val="32"/>
          <w:szCs w:val="32"/>
          <w:lang w:val="en-US"/>
        </w:rPr>
        <w:t>.</w:t>
      </w:r>
    </w:p>
    <w:p w14:paraId="64C275C9" w14:textId="77777777" w:rsidR="004F003A" w:rsidRDefault="002B1160">
      <w:pPr>
        <w:rPr>
          <w:sz w:val="32"/>
          <w:szCs w:val="32"/>
          <w:lang w:val="en-US"/>
        </w:rPr>
      </w:pPr>
      <w:r>
        <w:rPr>
          <w:sz w:val="32"/>
          <w:szCs w:val="32"/>
        </w:rPr>
        <w:lastRenderedPageBreak/>
        <w:t xml:space="preserve">In order to have a claim for </w:t>
      </w:r>
      <w:r w:rsidR="00F81A1A">
        <w:rPr>
          <w:sz w:val="32"/>
          <w:szCs w:val="32"/>
        </w:rPr>
        <w:t>psychiatric</w:t>
      </w:r>
      <w:r>
        <w:rPr>
          <w:sz w:val="32"/>
          <w:szCs w:val="32"/>
        </w:rPr>
        <w:t xml:space="preserve"> in</w:t>
      </w:r>
      <w:r w:rsidR="00F81A1A">
        <w:rPr>
          <w:sz w:val="32"/>
          <w:szCs w:val="32"/>
        </w:rPr>
        <w:t>juries without any physical injuries, it would have to be decided whether the claimant is a primary victim or a secondary victim</w:t>
      </w:r>
      <w:r w:rsidR="00927EEA">
        <w:rPr>
          <w:sz w:val="32"/>
          <w:szCs w:val="32"/>
        </w:rPr>
        <w:t>. (Jones</w:t>
      </w:r>
      <w:r w:rsidR="00F21F3E">
        <w:rPr>
          <w:sz w:val="32"/>
          <w:szCs w:val="32"/>
        </w:rPr>
        <w:t>,</w:t>
      </w:r>
      <w:r w:rsidR="00927EEA">
        <w:rPr>
          <w:sz w:val="32"/>
          <w:szCs w:val="32"/>
        </w:rPr>
        <w:t xml:space="preserve"> 2019</w:t>
      </w:r>
      <w:r w:rsidR="00CB1ED8">
        <w:rPr>
          <w:sz w:val="32"/>
          <w:szCs w:val="32"/>
        </w:rPr>
        <w:t>,</w:t>
      </w:r>
      <w:r w:rsidR="00251B44">
        <w:rPr>
          <w:sz w:val="32"/>
          <w:szCs w:val="32"/>
        </w:rPr>
        <w:t xml:space="preserve"> p</w:t>
      </w:r>
      <w:r w:rsidR="00CB1ED8">
        <w:rPr>
          <w:sz w:val="32"/>
          <w:szCs w:val="32"/>
        </w:rPr>
        <w:t>.</w:t>
      </w:r>
      <w:r w:rsidR="00251B44">
        <w:rPr>
          <w:sz w:val="32"/>
          <w:szCs w:val="32"/>
        </w:rPr>
        <w:t xml:space="preserve"> 31</w:t>
      </w:r>
      <w:r w:rsidR="00640A4C">
        <w:rPr>
          <w:sz w:val="32"/>
          <w:szCs w:val="32"/>
        </w:rPr>
        <w:t>).</w:t>
      </w:r>
      <w:r w:rsidR="000754C6">
        <w:rPr>
          <w:sz w:val="32"/>
          <w:szCs w:val="32"/>
          <w:lang w:val="en-US"/>
        </w:rPr>
        <w:t xml:space="preserve"> </w:t>
      </w:r>
    </w:p>
    <w:p w14:paraId="11C9ED0D" w14:textId="77777777" w:rsidR="00444228" w:rsidRDefault="004F003A">
      <w:pPr>
        <w:rPr>
          <w:sz w:val="32"/>
          <w:szCs w:val="32"/>
        </w:rPr>
      </w:pPr>
      <w:r w:rsidRPr="004F003A">
        <w:rPr>
          <w:sz w:val="32"/>
          <w:szCs w:val="32"/>
        </w:rPr>
        <w:t>Primary victims are those who are in the danger zone and have been injured by the fault of someone else. If a person was threatened with being injured, or had reason to believe that they could have been injured at the time of the accident,</w:t>
      </w:r>
      <w:r>
        <w:rPr>
          <w:sz w:val="32"/>
          <w:szCs w:val="32"/>
        </w:rPr>
        <w:t xml:space="preserve"> </w:t>
      </w:r>
    </w:p>
    <w:p w14:paraId="3C9CF561" w14:textId="77777777" w:rsidR="004E70FF" w:rsidRDefault="00DD6A23" w:rsidP="005A7E7E">
      <w:pPr>
        <w:rPr>
          <w:rFonts w:ascii="Times New Roman" w:eastAsia="Times New Roman" w:hAnsi="Times New Roman" w:cs="Times New Roman"/>
          <w:sz w:val="24"/>
          <w:szCs w:val="24"/>
          <w:lang w:eastAsia="en-GB"/>
        </w:rPr>
      </w:pPr>
      <w:r w:rsidRPr="00DD6A23">
        <w:rPr>
          <w:sz w:val="32"/>
          <w:szCs w:val="32"/>
        </w:rPr>
        <w:t>According to Cooke (2018), secondary victims are those who are seen but not in any danger. The courts are very strict on who the secondary victims are. This is to restrict the number of people who will be covered and reduce the potential claims. Some who suffer from psychiatric illness and those suffering from grief are completely different. It would be normal for a person to be depressed and suffer from anxiety when they lose a loved one through having seen them killed in an accident, but anxiety neurosis or reactive depression, on the other hand, is a mental illness. The claimant would have to prove they were suffering from a psychiatric illness and distressed or grieving as part of a normal emotion. (Orr, 2016).</w:t>
      </w:r>
      <w:r w:rsidR="005A7E7E" w:rsidRPr="005A7E7E">
        <w:rPr>
          <w:rFonts w:ascii="Times New Roman" w:eastAsia="Times New Roman" w:hAnsi="Times New Roman" w:cs="Times New Roman"/>
          <w:sz w:val="24"/>
          <w:szCs w:val="24"/>
          <w:lang w:eastAsia="en-GB"/>
        </w:rPr>
        <w:t xml:space="preserve"> </w:t>
      </w:r>
    </w:p>
    <w:p w14:paraId="547B10A8" w14:textId="3C985FB8" w:rsidR="005A7E7E" w:rsidRPr="005A7E7E" w:rsidRDefault="005A7E7E" w:rsidP="005A7E7E">
      <w:pPr>
        <w:rPr>
          <w:sz w:val="32"/>
          <w:szCs w:val="32"/>
        </w:rPr>
      </w:pPr>
      <w:r w:rsidRPr="005A7E7E">
        <w:rPr>
          <w:sz w:val="32"/>
          <w:szCs w:val="32"/>
        </w:rPr>
        <w:t>Owen was at the other end of the fairground, so he was not in any danger himself. Nia is his sister, so they would not be classed as close enough relatives.</w:t>
      </w:r>
    </w:p>
    <w:p w14:paraId="63E0756A" w14:textId="77777777" w:rsidR="00997B2D" w:rsidRDefault="005A7E7E" w:rsidP="005A7E7E">
      <w:r w:rsidRPr="005A7E7E">
        <w:rPr>
          <w:sz w:val="32"/>
          <w:szCs w:val="32"/>
        </w:rPr>
        <w:t>The fact that Nia did not get physically injured, although she was in danger of getting physically injured, means that Owen would be classed as a secondary victim. Because the lighting was not secure, which then caused the fire, the question would be how long was the lighting not safe for. When was it last checked, as in the case (Ward v Tesco Stores, 1976), the claimant would have to prove how long the lighting was a danger for.</w:t>
      </w:r>
      <w:r w:rsidR="00626E05" w:rsidRPr="00626E05">
        <w:t xml:space="preserve"> </w:t>
      </w:r>
    </w:p>
    <w:p w14:paraId="7E9F3962" w14:textId="77777777" w:rsidR="00484159" w:rsidRDefault="00626E05" w:rsidP="005A7E7E">
      <w:pPr>
        <w:rPr>
          <w:sz w:val="32"/>
          <w:szCs w:val="32"/>
        </w:rPr>
      </w:pPr>
      <w:r w:rsidRPr="00626E05">
        <w:rPr>
          <w:sz w:val="32"/>
          <w:szCs w:val="32"/>
        </w:rPr>
        <w:t>A primary victim could recover their loss if the injury was foreseeable, even if they had only suffered psychiatric illness without any physical injury at all. (Furniss 2014).</w:t>
      </w:r>
      <w:r w:rsidR="00997B2D">
        <w:rPr>
          <w:sz w:val="32"/>
          <w:szCs w:val="32"/>
        </w:rPr>
        <w:t xml:space="preserve"> </w:t>
      </w:r>
    </w:p>
    <w:p w14:paraId="57584C89" w14:textId="77777777" w:rsidR="006A0127" w:rsidRDefault="00696198" w:rsidP="005A7E7E">
      <w:pPr>
        <w:rPr>
          <w:sz w:val="32"/>
          <w:szCs w:val="32"/>
        </w:rPr>
      </w:pPr>
      <w:r w:rsidRPr="00696198">
        <w:rPr>
          <w:sz w:val="32"/>
          <w:szCs w:val="32"/>
        </w:rPr>
        <w:lastRenderedPageBreak/>
        <w:t>In order to be able to recover from psychiatric harm for a secondary victim, he or she would have to prove that firstly, they are closely related, such as husband and wife, or a parent, to the injured person; secondly, that they were on the scene of the accident; and thirdly, the cause of the psychiatric illness was through seeing the accident happen. They must also prove that their injury is definitely "nervous shock". (McKinlay, 2021).</w:t>
      </w:r>
      <w:r w:rsidR="00484159">
        <w:rPr>
          <w:sz w:val="32"/>
          <w:szCs w:val="32"/>
        </w:rPr>
        <w:t xml:space="preserve"> </w:t>
      </w:r>
    </w:p>
    <w:p w14:paraId="103AE795" w14:textId="343E5BE6" w:rsidR="005A7E7E" w:rsidRPr="005A7E7E" w:rsidRDefault="006A0127" w:rsidP="005A7E7E">
      <w:pPr>
        <w:rPr>
          <w:sz w:val="32"/>
          <w:szCs w:val="32"/>
        </w:rPr>
      </w:pPr>
      <w:r w:rsidRPr="006A0127">
        <w:rPr>
          <w:sz w:val="32"/>
          <w:szCs w:val="32"/>
        </w:rPr>
        <w:t>However, in the case (McLoughlin v O'Brian 1983), they will assist Owen in trying to recover composition for his psychiatric illness. It was held that even though it is considered when questioning reasonably foreseeable for nervous shock, there are no limits to the relationship of the person who saw the accident, whether they were at the scene of the accident, or the nature of the injuries. Also, in the case of Alcock v. C.C. South Yorkshire 1992, the proximation was based on bonds of love and affection, the closeness of which had to be proven in each case, rather than on specific partnerships such as husband and wife.</w:t>
      </w:r>
      <w:r>
        <w:rPr>
          <w:sz w:val="32"/>
          <w:szCs w:val="32"/>
        </w:rPr>
        <w:t xml:space="preserve"> </w:t>
      </w:r>
    </w:p>
    <w:p w14:paraId="11DA552C" w14:textId="198D4E2B" w:rsidR="00865A0E" w:rsidRPr="00640A4C" w:rsidRDefault="008F6868">
      <w:pPr>
        <w:rPr>
          <w:sz w:val="32"/>
          <w:szCs w:val="32"/>
        </w:rPr>
      </w:pPr>
      <w:r>
        <w:rPr>
          <w:sz w:val="32"/>
          <w:szCs w:val="32"/>
        </w:rPr>
        <w:t xml:space="preserve"> </w:t>
      </w:r>
    </w:p>
    <w:p w14:paraId="7548481E" w14:textId="26561496" w:rsidR="006C0839" w:rsidRDefault="006C0839">
      <w:pPr>
        <w:rPr>
          <w:sz w:val="32"/>
          <w:szCs w:val="32"/>
          <w:lang w:val="en-US"/>
        </w:rPr>
      </w:pPr>
    </w:p>
    <w:p w14:paraId="38860B03" w14:textId="77777777" w:rsidR="00295557" w:rsidRDefault="00295557">
      <w:pPr>
        <w:rPr>
          <w:sz w:val="32"/>
          <w:szCs w:val="32"/>
          <w:lang w:val="en-US"/>
        </w:rPr>
      </w:pPr>
    </w:p>
    <w:p w14:paraId="70B128E9" w14:textId="77777777" w:rsidR="00295557" w:rsidRDefault="00295557">
      <w:pPr>
        <w:rPr>
          <w:sz w:val="32"/>
          <w:szCs w:val="32"/>
          <w:lang w:val="en-US"/>
        </w:rPr>
      </w:pPr>
    </w:p>
    <w:p w14:paraId="58E4B35F" w14:textId="77777777" w:rsidR="006A0127" w:rsidRDefault="006A0127">
      <w:pPr>
        <w:rPr>
          <w:sz w:val="32"/>
          <w:szCs w:val="32"/>
          <w:lang w:val="en-US"/>
        </w:rPr>
      </w:pPr>
    </w:p>
    <w:p w14:paraId="29C4992E" w14:textId="77777777" w:rsidR="006A0127" w:rsidRDefault="006A0127">
      <w:pPr>
        <w:rPr>
          <w:sz w:val="32"/>
          <w:szCs w:val="32"/>
          <w:lang w:val="en-US"/>
        </w:rPr>
      </w:pPr>
    </w:p>
    <w:p w14:paraId="73E7BB84" w14:textId="77777777" w:rsidR="006A0127" w:rsidRDefault="006A0127">
      <w:pPr>
        <w:rPr>
          <w:sz w:val="32"/>
          <w:szCs w:val="32"/>
          <w:lang w:val="en-US"/>
        </w:rPr>
      </w:pPr>
    </w:p>
    <w:p w14:paraId="6E395073" w14:textId="77777777" w:rsidR="006A0127" w:rsidRDefault="006A0127">
      <w:pPr>
        <w:rPr>
          <w:sz w:val="32"/>
          <w:szCs w:val="32"/>
          <w:lang w:val="en-US"/>
        </w:rPr>
      </w:pPr>
    </w:p>
    <w:p w14:paraId="79EEF14F" w14:textId="77777777" w:rsidR="006A0127" w:rsidRDefault="006A0127">
      <w:pPr>
        <w:rPr>
          <w:sz w:val="32"/>
          <w:szCs w:val="32"/>
          <w:lang w:val="en-US"/>
        </w:rPr>
      </w:pPr>
    </w:p>
    <w:p w14:paraId="0DACA50A" w14:textId="77777777" w:rsidR="00EC4559" w:rsidRDefault="00EC4559">
      <w:pPr>
        <w:rPr>
          <w:sz w:val="32"/>
          <w:szCs w:val="32"/>
          <w:lang w:val="en-US"/>
        </w:rPr>
      </w:pPr>
    </w:p>
    <w:p w14:paraId="5877B45A" w14:textId="77777777" w:rsidR="00EC4559" w:rsidRDefault="00EC4559">
      <w:pPr>
        <w:rPr>
          <w:sz w:val="32"/>
          <w:szCs w:val="32"/>
          <w:lang w:val="en-US"/>
        </w:rPr>
      </w:pPr>
    </w:p>
    <w:p w14:paraId="72513AAE" w14:textId="33442622" w:rsidR="00637A5D" w:rsidRPr="008A186F" w:rsidRDefault="00AC3B70">
      <w:pPr>
        <w:rPr>
          <w:rFonts w:ascii="Arial" w:hAnsi="Arial" w:cs="Arial"/>
          <w:color w:val="3D3D3D"/>
          <w:sz w:val="27"/>
          <w:szCs w:val="27"/>
          <w:shd w:val="clear" w:color="auto" w:fill="FFFFFF"/>
        </w:rPr>
      </w:pPr>
      <w:r>
        <w:rPr>
          <w:sz w:val="32"/>
          <w:szCs w:val="32"/>
          <w:lang w:val="en-US"/>
        </w:rPr>
        <w:lastRenderedPageBreak/>
        <w:t>Reference</w:t>
      </w:r>
      <w:r w:rsidR="008A186F">
        <w:rPr>
          <w:sz w:val="32"/>
          <w:szCs w:val="32"/>
          <w:lang w:val="en-US"/>
        </w:rPr>
        <w:t>s</w:t>
      </w:r>
    </w:p>
    <w:p w14:paraId="3000A395" w14:textId="5FC7694B" w:rsidR="00757742" w:rsidRDefault="00757742">
      <w:pPr>
        <w:rPr>
          <w:sz w:val="32"/>
          <w:szCs w:val="32"/>
          <w:lang w:val="en-US"/>
        </w:rPr>
      </w:pPr>
      <w:r>
        <w:rPr>
          <w:sz w:val="32"/>
          <w:szCs w:val="32"/>
          <w:lang w:val="en-US"/>
        </w:rPr>
        <w:t>Cooke, J, (2018) ‘Law  of Tort’ 14</w:t>
      </w:r>
      <w:r w:rsidRPr="00757742">
        <w:rPr>
          <w:sz w:val="32"/>
          <w:szCs w:val="32"/>
          <w:vertAlign w:val="superscript"/>
          <w:lang w:val="en-US"/>
        </w:rPr>
        <w:t>th</w:t>
      </w:r>
      <w:r>
        <w:rPr>
          <w:sz w:val="32"/>
          <w:szCs w:val="32"/>
          <w:lang w:val="en-US"/>
        </w:rPr>
        <w:t xml:space="preserve"> </w:t>
      </w:r>
      <w:r w:rsidR="007C31BB">
        <w:rPr>
          <w:sz w:val="32"/>
          <w:szCs w:val="32"/>
          <w:lang w:val="en-US"/>
        </w:rPr>
        <w:t>edn</w:t>
      </w:r>
      <w:r>
        <w:rPr>
          <w:sz w:val="32"/>
          <w:szCs w:val="32"/>
          <w:lang w:val="en-US"/>
        </w:rPr>
        <w:t xml:space="preserve">, Available at: </w:t>
      </w:r>
      <w:hyperlink r:id="rId7" w:history="1">
        <w:r w:rsidRPr="00626FC2">
          <w:rPr>
            <w:rStyle w:val="Hyperlink"/>
            <w:sz w:val="32"/>
            <w:szCs w:val="32"/>
            <w:lang w:val="en-US"/>
          </w:rPr>
          <w:t>https://ebookcentral.proquest.com/lib/trinity/reader.action?docID=5725744</w:t>
        </w:r>
      </w:hyperlink>
      <w:r>
        <w:rPr>
          <w:sz w:val="32"/>
          <w:szCs w:val="32"/>
          <w:lang w:val="en-US"/>
        </w:rPr>
        <w:t xml:space="preserve"> (Accessed: 01 November 2021).</w:t>
      </w:r>
    </w:p>
    <w:p w14:paraId="001F4288" w14:textId="62BBB3E4" w:rsidR="003847CD" w:rsidRDefault="003847CD">
      <w:pPr>
        <w:rPr>
          <w:sz w:val="32"/>
          <w:szCs w:val="32"/>
          <w:lang w:val="en-US"/>
        </w:rPr>
      </w:pPr>
      <w:r>
        <w:rPr>
          <w:sz w:val="32"/>
          <w:szCs w:val="32"/>
          <w:lang w:val="en-US"/>
        </w:rPr>
        <w:t>Furniss, R. (2014) ‘personal injury</w:t>
      </w:r>
      <w:r w:rsidR="00BE0D16">
        <w:rPr>
          <w:sz w:val="32"/>
          <w:szCs w:val="32"/>
          <w:lang w:val="en-US"/>
        </w:rPr>
        <w:t xml:space="preserve">: nervous shock’ Available at: </w:t>
      </w:r>
      <w:r>
        <w:rPr>
          <w:sz w:val="32"/>
          <w:szCs w:val="32"/>
          <w:lang w:val="en-US"/>
        </w:rPr>
        <w:t xml:space="preserve"> </w:t>
      </w:r>
      <w:hyperlink r:id="rId8" w:history="1">
        <w:r w:rsidR="00BE0D16" w:rsidRPr="00E0695B">
          <w:rPr>
            <w:rStyle w:val="Hyperlink"/>
            <w:sz w:val="32"/>
            <w:szCs w:val="32"/>
            <w:lang w:val="en-US"/>
          </w:rPr>
          <w:t>https://uk.westlaw.com/Document/IBC2EC740931711E380EF8041A50270FE/View/FullText.html?navigationPath=Search%2Fv1%2Fresults%2Fnavigation%2Fi0ad740350000017d873cbeee0c5de9cc%3Fppcid%3D3cadcf3fbed24adbb8543fd466bb4b31%26Nav%3DRESEARCH_COMBINED_WLUK%26fragmentIdentifier%3DIBC2EC740931711E380EF8041A50270FE%26parentRank%3D0%26startIndex%3D1%26contextData%3D%2528sc.Search%2529%26transitionType%3DSearchItem&amp;listSource=Search&amp;listPageSource=5ce274106e68ecd8fa1e56b41595d1e7&amp;list=RESEARCH_COMBINED_WLUK&amp;rank=1&amp;sessionScopeId=54669689132e6894afdc9a0c0754e7a1e3ad848c5cfaea6f9c6848de1cb97693&amp;ppcid=3cadcf3fbed24adbb8543fd466bb4b31&amp;originationContext=Search%20Result&amp;transitionType=SearchItem&amp;contextData=(sc.Search)&amp;comp=wluk&amp;navId=FD8BB17ACCB52911636D59DA452A9613</w:t>
        </w:r>
      </w:hyperlink>
      <w:r w:rsidR="00BE0D16">
        <w:rPr>
          <w:sz w:val="32"/>
          <w:szCs w:val="32"/>
          <w:lang w:val="en-US"/>
        </w:rPr>
        <w:t xml:space="preserve"> (Accessed: 04 December 2021).</w:t>
      </w:r>
    </w:p>
    <w:p w14:paraId="55F117CE" w14:textId="1948E7B8" w:rsidR="00927EEA" w:rsidRDefault="00927EEA">
      <w:pPr>
        <w:rPr>
          <w:sz w:val="32"/>
          <w:szCs w:val="32"/>
          <w:lang w:val="en-US"/>
        </w:rPr>
      </w:pPr>
      <w:r>
        <w:rPr>
          <w:sz w:val="32"/>
          <w:szCs w:val="32"/>
          <w:lang w:val="en-US"/>
        </w:rPr>
        <w:t>Jones, L, (2019) ‘Bu</w:t>
      </w:r>
      <w:r w:rsidR="003F0E64">
        <w:rPr>
          <w:sz w:val="32"/>
          <w:szCs w:val="32"/>
          <w:lang w:val="en-US"/>
        </w:rPr>
        <w:t>siness Law’ 5</w:t>
      </w:r>
      <w:r w:rsidR="003F0E64" w:rsidRPr="003F0E64">
        <w:rPr>
          <w:sz w:val="32"/>
          <w:szCs w:val="32"/>
          <w:vertAlign w:val="superscript"/>
          <w:lang w:val="en-US"/>
        </w:rPr>
        <w:t>th</w:t>
      </w:r>
      <w:r w:rsidR="003F0E64">
        <w:rPr>
          <w:sz w:val="32"/>
          <w:szCs w:val="32"/>
          <w:lang w:val="en-US"/>
        </w:rPr>
        <w:t xml:space="preserve"> edn Oxford: University press.</w:t>
      </w:r>
    </w:p>
    <w:p w14:paraId="52A96BEA" w14:textId="49634D45" w:rsidR="00E873AF" w:rsidRDefault="00E873AF">
      <w:pPr>
        <w:rPr>
          <w:sz w:val="32"/>
          <w:szCs w:val="32"/>
          <w:lang w:val="en-US"/>
        </w:rPr>
      </w:pPr>
      <w:r>
        <w:rPr>
          <w:sz w:val="32"/>
          <w:szCs w:val="32"/>
          <w:lang w:val="en-US"/>
        </w:rPr>
        <w:t xml:space="preserve">McKinlay, K, (2021) ‘personal injury: psychiatric harm’ Available at:  </w:t>
      </w:r>
      <w:hyperlink r:id="rId9" w:history="1">
        <w:r w:rsidRPr="00E0695B">
          <w:rPr>
            <w:rStyle w:val="Hyperlink"/>
            <w:sz w:val="32"/>
            <w:szCs w:val="32"/>
            <w:lang w:val="en-US"/>
          </w:rPr>
          <w:t>https://uk.westlaw.com/Document/I228E8930B19B11E28D2CCE6F95B30AB1/View/FullText.html?originationContext=document&amp;transitionType=DocumentItem&amp;ppcid=9f48e51ee8fc44c78baaa9046e40efc3&amp;contextData=(sc.Search)&amp;comp=wluk&amp;navId=F6C5D23041546DABA4DBCB3DBA48E1CF</w:t>
        </w:r>
      </w:hyperlink>
      <w:r>
        <w:rPr>
          <w:sz w:val="32"/>
          <w:szCs w:val="32"/>
          <w:lang w:val="en-US"/>
        </w:rPr>
        <w:t xml:space="preserve"> (Accessed: 04 December 2021).</w:t>
      </w:r>
    </w:p>
    <w:p w14:paraId="01981DEC" w14:textId="66243464" w:rsidR="001A0188" w:rsidRDefault="001A0188">
      <w:pPr>
        <w:rPr>
          <w:sz w:val="32"/>
          <w:szCs w:val="32"/>
          <w:lang w:val="en-US"/>
        </w:rPr>
      </w:pPr>
      <w:r>
        <w:rPr>
          <w:sz w:val="32"/>
          <w:szCs w:val="32"/>
          <w:lang w:val="en-US"/>
        </w:rPr>
        <w:t>Meikle, I, (2018) ‘Foreseeable’ Available at:</w:t>
      </w:r>
      <w:r w:rsidRPr="001A0188">
        <w:t xml:space="preserve"> </w:t>
      </w:r>
      <w:hyperlink r:id="rId10" w:history="1">
        <w:r w:rsidRPr="00FE4A68">
          <w:rPr>
            <w:rStyle w:val="Hyperlink"/>
            <w:sz w:val="32"/>
            <w:szCs w:val="32"/>
            <w:lang w:val="en-US"/>
          </w:rPr>
          <w:t>https://uk.westlaw.com/Document/IC5B91F80314F11E6BB8ACB178C47E9B1/View/FullText.html?originationContext=document&amp;transitionType=DocumentItem&amp;ppcid=910892eef7ec42bfb38b41e85782f6b</w:t>
        </w:r>
        <w:r w:rsidRPr="00FE4A68">
          <w:rPr>
            <w:rStyle w:val="Hyperlink"/>
            <w:sz w:val="32"/>
            <w:szCs w:val="32"/>
            <w:lang w:val="en-US"/>
          </w:rPr>
          <w:lastRenderedPageBreak/>
          <w:t>7&amp;contextData=(sc.Category)&amp;comp=wluk&amp;navId=2325BA1CD6075FA4341FC63C484C590D</w:t>
        </w:r>
      </w:hyperlink>
      <w:r>
        <w:rPr>
          <w:sz w:val="32"/>
          <w:szCs w:val="32"/>
          <w:lang w:val="en-US"/>
        </w:rPr>
        <w:t xml:space="preserve"> (Accessed: 09 December 2021).</w:t>
      </w:r>
    </w:p>
    <w:p w14:paraId="6E92FF5F" w14:textId="2E92023B" w:rsidR="001C101F" w:rsidRDefault="001C101F">
      <w:pPr>
        <w:rPr>
          <w:sz w:val="32"/>
          <w:szCs w:val="32"/>
          <w:lang w:val="en-US"/>
        </w:rPr>
      </w:pPr>
      <w:r>
        <w:rPr>
          <w:sz w:val="32"/>
          <w:szCs w:val="32"/>
          <w:lang w:val="en-US"/>
        </w:rPr>
        <w:t xml:space="preserve">Occupiers Liability Act 1984, c. 3. Available at: </w:t>
      </w:r>
      <w:hyperlink r:id="rId11" w:history="1">
        <w:r w:rsidRPr="00AA13C3">
          <w:rPr>
            <w:rStyle w:val="Hyperlink"/>
            <w:sz w:val="32"/>
            <w:szCs w:val="32"/>
            <w:lang w:val="en-US"/>
          </w:rPr>
          <w:t>https://www.legislation.gov.uk/ukpga/1984/3/section/1</w:t>
        </w:r>
      </w:hyperlink>
      <w:r>
        <w:rPr>
          <w:sz w:val="32"/>
          <w:szCs w:val="32"/>
          <w:lang w:val="en-US"/>
        </w:rPr>
        <w:t xml:space="preserve"> (Accessed: 30 November 2021).</w:t>
      </w:r>
    </w:p>
    <w:p w14:paraId="3B4D5233" w14:textId="573443B2" w:rsidR="00637A5D" w:rsidRDefault="00384975">
      <w:pPr>
        <w:rPr>
          <w:sz w:val="32"/>
          <w:szCs w:val="32"/>
          <w:lang w:val="en-US"/>
        </w:rPr>
      </w:pPr>
      <w:r>
        <w:rPr>
          <w:sz w:val="32"/>
          <w:szCs w:val="32"/>
          <w:lang w:val="en-US"/>
        </w:rPr>
        <w:t xml:space="preserve">Occupiers </w:t>
      </w:r>
      <w:r w:rsidR="00EB0E33">
        <w:rPr>
          <w:sz w:val="32"/>
          <w:szCs w:val="32"/>
          <w:lang w:val="en-US"/>
        </w:rPr>
        <w:t>L</w:t>
      </w:r>
      <w:r>
        <w:rPr>
          <w:sz w:val="32"/>
          <w:szCs w:val="32"/>
          <w:lang w:val="en-US"/>
        </w:rPr>
        <w:t xml:space="preserve">iability </w:t>
      </w:r>
      <w:r w:rsidR="00EB0E33">
        <w:rPr>
          <w:sz w:val="32"/>
          <w:szCs w:val="32"/>
          <w:lang w:val="en-US"/>
        </w:rPr>
        <w:t>A</w:t>
      </w:r>
      <w:r>
        <w:rPr>
          <w:sz w:val="32"/>
          <w:szCs w:val="32"/>
          <w:lang w:val="en-US"/>
        </w:rPr>
        <w:t>ct 1957</w:t>
      </w:r>
      <w:r w:rsidR="00EB0E33">
        <w:rPr>
          <w:sz w:val="32"/>
          <w:szCs w:val="32"/>
          <w:lang w:val="en-US"/>
        </w:rPr>
        <w:t xml:space="preserve">, c. 31. Available at: </w:t>
      </w:r>
      <w:hyperlink r:id="rId12" w:history="1">
        <w:r w:rsidR="00EB0E33" w:rsidRPr="00AA13C3">
          <w:rPr>
            <w:rStyle w:val="Hyperlink"/>
            <w:sz w:val="32"/>
            <w:szCs w:val="32"/>
            <w:lang w:val="en-US"/>
          </w:rPr>
          <w:t>https://www.legislation.gov.uk/ukpga/Eliz2/5-6/31/section/2</w:t>
        </w:r>
      </w:hyperlink>
      <w:r w:rsidR="00637A5D">
        <w:rPr>
          <w:sz w:val="32"/>
          <w:szCs w:val="32"/>
          <w:lang w:val="en-US"/>
        </w:rPr>
        <w:t xml:space="preserve"> (Accessed: 29 November 2021).</w:t>
      </w:r>
    </w:p>
    <w:p w14:paraId="0B15DE08" w14:textId="4E92BE06" w:rsidR="00686320" w:rsidRDefault="00686320">
      <w:pPr>
        <w:rPr>
          <w:sz w:val="32"/>
          <w:szCs w:val="32"/>
          <w:lang w:val="en-US"/>
        </w:rPr>
      </w:pPr>
      <w:r>
        <w:rPr>
          <w:sz w:val="32"/>
          <w:szCs w:val="32"/>
          <w:lang w:val="en-US"/>
        </w:rPr>
        <w:t xml:space="preserve">Orr, R, (2016, </w:t>
      </w:r>
      <w:r w:rsidR="007C31BB">
        <w:rPr>
          <w:sz w:val="32"/>
          <w:szCs w:val="32"/>
          <w:lang w:val="en-US"/>
        </w:rPr>
        <w:t>pp. 547¬565</w:t>
      </w:r>
      <w:r>
        <w:rPr>
          <w:sz w:val="32"/>
          <w:szCs w:val="32"/>
          <w:lang w:val="en-US"/>
        </w:rPr>
        <w:t xml:space="preserve">) </w:t>
      </w:r>
      <w:r w:rsidR="007C31BB">
        <w:rPr>
          <w:sz w:val="32"/>
          <w:szCs w:val="32"/>
          <w:lang w:val="en-US"/>
        </w:rPr>
        <w:t xml:space="preserve">vol 36, </w:t>
      </w:r>
      <w:r>
        <w:rPr>
          <w:sz w:val="32"/>
          <w:szCs w:val="32"/>
          <w:lang w:val="en-US"/>
        </w:rPr>
        <w:t xml:space="preserve">‘Speaking with different voices: the problems with English law and psychiatric injury’ </w:t>
      </w:r>
      <w:r w:rsidR="007C31BB">
        <w:rPr>
          <w:sz w:val="32"/>
          <w:szCs w:val="32"/>
          <w:lang w:val="en-US"/>
        </w:rPr>
        <w:t xml:space="preserve">Available at: </w:t>
      </w:r>
      <w:hyperlink r:id="rId13" w:history="1">
        <w:r w:rsidR="007C31BB" w:rsidRPr="00626FC2">
          <w:rPr>
            <w:rStyle w:val="Hyperlink"/>
            <w:sz w:val="32"/>
            <w:szCs w:val="32"/>
            <w:lang w:val="en-US"/>
          </w:rPr>
          <w:t>https://www-cambridge-org.ezproxy.uwtsd.ac.uk/core/services/aop-cambridge-core/content/view/111364114CD9092B262B04AD6187F199/S0261387500001045a.pdf/speaking-with-different-voices-the-problems-with-english-law-and-psychiatric-injury.pdf</w:t>
        </w:r>
      </w:hyperlink>
      <w:r w:rsidR="007C31BB">
        <w:rPr>
          <w:sz w:val="32"/>
          <w:szCs w:val="32"/>
          <w:lang w:val="en-US"/>
        </w:rPr>
        <w:t xml:space="preserve"> (Accessed: 01 November 2021).</w:t>
      </w:r>
    </w:p>
    <w:p w14:paraId="7A913DEA" w14:textId="31012EBF" w:rsidR="00AC3B70" w:rsidRDefault="00AC3B70">
      <w:pPr>
        <w:rPr>
          <w:sz w:val="32"/>
          <w:szCs w:val="32"/>
          <w:lang w:val="en-US"/>
        </w:rPr>
      </w:pPr>
    </w:p>
    <w:p w14:paraId="156B2F3B" w14:textId="4BFF95BE" w:rsidR="00AC3B70" w:rsidRDefault="00AC3B70">
      <w:pPr>
        <w:rPr>
          <w:sz w:val="32"/>
          <w:szCs w:val="32"/>
          <w:lang w:val="en-US"/>
        </w:rPr>
      </w:pPr>
    </w:p>
    <w:p w14:paraId="2720736A" w14:textId="22F877BC" w:rsidR="00AC3B70" w:rsidRDefault="00AC3B70">
      <w:pPr>
        <w:rPr>
          <w:sz w:val="32"/>
          <w:szCs w:val="32"/>
          <w:lang w:val="en-US"/>
        </w:rPr>
      </w:pPr>
    </w:p>
    <w:p w14:paraId="3116330D" w14:textId="3BB145B3" w:rsidR="00AC3B70" w:rsidRDefault="00AC3B70">
      <w:pPr>
        <w:rPr>
          <w:sz w:val="32"/>
          <w:szCs w:val="32"/>
          <w:lang w:val="en-US"/>
        </w:rPr>
      </w:pPr>
    </w:p>
    <w:p w14:paraId="1ACBC4EA" w14:textId="164DF32B" w:rsidR="00AC3B70" w:rsidRDefault="00AC3B70">
      <w:pPr>
        <w:rPr>
          <w:sz w:val="32"/>
          <w:szCs w:val="32"/>
          <w:lang w:val="en-US"/>
        </w:rPr>
      </w:pPr>
    </w:p>
    <w:p w14:paraId="477667E7" w14:textId="247CD400" w:rsidR="00AC3B70" w:rsidRDefault="00AC3B70">
      <w:pPr>
        <w:rPr>
          <w:sz w:val="32"/>
          <w:szCs w:val="32"/>
          <w:lang w:val="en-US"/>
        </w:rPr>
      </w:pPr>
    </w:p>
    <w:p w14:paraId="63DDB7A0" w14:textId="4BDA54BC" w:rsidR="00AC3B70" w:rsidRDefault="00AC3B70">
      <w:pPr>
        <w:rPr>
          <w:sz w:val="32"/>
          <w:szCs w:val="32"/>
          <w:lang w:val="en-US"/>
        </w:rPr>
      </w:pPr>
    </w:p>
    <w:p w14:paraId="1B734E68" w14:textId="77777777" w:rsidR="008629C2" w:rsidRDefault="008629C2">
      <w:pPr>
        <w:rPr>
          <w:sz w:val="32"/>
          <w:szCs w:val="32"/>
          <w:lang w:val="en-US"/>
        </w:rPr>
      </w:pPr>
    </w:p>
    <w:p w14:paraId="083CE74F" w14:textId="77777777" w:rsidR="002234A1" w:rsidRDefault="002234A1">
      <w:pPr>
        <w:rPr>
          <w:sz w:val="32"/>
          <w:szCs w:val="32"/>
          <w:lang w:val="en-US"/>
        </w:rPr>
      </w:pPr>
    </w:p>
    <w:p w14:paraId="6129163F" w14:textId="77777777" w:rsidR="002234A1" w:rsidRDefault="002234A1">
      <w:pPr>
        <w:rPr>
          <w:sz w:val="32"/>
          <w:szCs w:val="32"/>
          <w:lang w:val="en-US"/>
        </w:rPr>
      </w:pPr>
    </w:p>
    <w:p w14:paraId="5D873796" w14:textId="77777777" w:rsidR="00531937" w:rsidRDefault="00531937">
      <w:pPr>
        <w:rPr>
          <w:sz w:val="32"/>
          <w:szCs w:val="32"/>
          <w:lang w:val="en-US"/>
        </w:rPr>
      </w:pPr>
    </w:p>
    <w:p w14:paraId="16C39F29" w14:textId="3C387903" w:rsidR="00AC3B70" w:rsidRDefault="00AC3B70">
      <w:pPr>
        <w:rPr>
          <w:sz w:val="32"/>
          <w:szCs w:val="32"/>
          <w:lang w:val="en-US"/>
        </w:rPr>
      </w:pPr>
      <w:r>
        <w:rPr>
          <w:sz w:val="32"/>
          <w:szCs w:val="32"/>
          <w:lang w:val="en-US"/>
        </w:rPr>
        <w:lastRenderedPageBreak/>
        <w:t>Case law</w:t>
      </w:r>
    </w:p>
    <w:p w14:paraId="4CD5254D" w14:textId="59C1E1E7" w:rsidR="00926E6E" w:rsidRDefault="00926E6E">
      <w:pPr>
        <w:rPr>
          <w:sz w:val="32"/>
          <w:szCs w:val="32"/>
          <w:lang w:val="en-US"/>
        </w:rPr>
      </w:pPr>
      <w:r>
        <w:rPr>
          <w:sz w:val="32"/>
          <w:szCs w:val="32"/>
          <w:lang w:val="en-US"/>
        </w:rPr>
        <w:t>Alcock v Chief Constable</w:t>
      </w:r>
      <w:r w:rsidR="00BD33DA">
        <w:rPr>
          <w:sz w:val="32"/>
          <w:szCs w:val="32"/>
          <w:lang w:val="en-US"/>
        </w:rPr>
        <w:t xml:space="preserve"> of South Yorkshire (1992) 1 A.C. 310.</w:t>
      </w:r>
    </w:p>
    <w:p w14:paraId="754D9284" w14:textId="2FCD2C28" w:rsidR="00A95AD3" w:rsidRDefault="00A95AD3">
      <w:pPr>
        <w:rPr>
          <w:sz w:val="32"/>
          <w:szCs w:val="32"/>
          <w:lang w:val="en-US"/>
        </w:rPr>
      </w:pPr>
      <w:r>
        <w:rPr>
          <w:sz w:val="32"/>
          <w:szCs w:val="32"/>
          <w:lang w:val="en-US"/>
        </w:rPr>
        <w:t xml:space="preserve">Bunker v </w:t>
      </w:r>
      <w:r w:rsidR="005D07D9">
        <w:rPr>
          <w:sz w:val="32"/>
          <w:szCs w:val="32"/>
          <w:lang w:val="en-US"/>
        </w:rPr>
        <w:t xml:space="preserve">Charles Brand &amp; Son </w:t>
      </w:r>
      <w:r w:rsidR="005D11DF">
        <w:rPr>
          <w:sz w:val="32"/>
          <w:szCs w:val="32"/>
          <w:lang w:val="en-US"/>
        </w:rPr>
        <w:t xml:space="preserve">Ltd </w:t>
      </w:r>
      <w:r w:rsidR="00D352A8">
        <w:rPr>
          <w:sz w:val="32"/>
          <w:szCs w:val="32"/>
          <w:lang w:val="en-US"/>
        </w:rPr>
        <w:t>(1969) 2 Q.B.</w:t>
      </w:r>
      <w:r w:rsidR="005A070E">
        <w:rPr>
          <w:sz w:val="32"/>
          <w:szCs w:val="32"/>
          <w:lang w:val="en-US"/>
        </w:rPr>
        <w:t xml:space="preserve"> 480.</w:t>
      </w:r>
    </w:p>
    <w:p w14:paraId="107AD736" w14:textId="2D989579" w:rsidR="00BD0E07" w:rsidRDefault="00BD0E07">
      <w:pPr>
        <w:rPr>
          <w:sz w:val="32"/>
          <w:szCs w:val="32"/>
          <w:lang w:val="en-US"/>
        </w:rPr>
      </w:pPr>
      <w:r>
        <w:rPr>
          <w:sz w:val="32"/>
          <w:szCs w:val="32"/>
          <w:lang w:val="en-US"/>
        </w:rPr>
        <w:t>Ferguson v Welsh</w:t>
      </w:r>
      <w:r w:rsidR="00915706">
        <w:rPr>
          <w:sz w:val="32"/>
          <w:szCs w:val="32"/>
          <w:lang w:val="en-US"/>
        </w:rPr>
        <w:t xml:space="preserve"> (1987) </w:t>
      </w:r>
      <w:r w:rsidR="00DB0017">
        <w:rPr>
          <w:sz w:val="32"/>
          <w:szCs w:val="32"/>
          <w:lang w:val="en-US"/>
        </w:rPr>
        <w:t>1 W.L.R. 1553.</w:t>
      </w:r>
    </w:p>
    <w:p w14:paraId="527BDE5D" w14:textId="77777777" w:rsidR="00EF3D10" w:rsidRDefault="005E5DF0" w:rsidP="00EF3D10">
      <w:pPr>
        <w:rPr>
          <w:sz w:val="32"/>
          <w:szCs w:val="32"/>
          <w:lang w:val="en-US"/>
        </w:rPr>
      </w:pPr>
      <w:r>
        <w:rPr>
          <w:sz w:val="32"/>
          <w:szCs w:val="32"/>
          <w:lang w:val="en-US"/>
        </w:rPr>
        <w:t xml:space="preserve">Haseldine v </w:t>
      </w:r>
      <w:r w:rsidR="00FA060C">
        <w:rPr>
          <w:sz w:val="32"/>
          <w:szCs w:val="32"/>
          <w:lang w:val="en-US"/>
        </w:rPr>
        <w:t xml:space="preserve">Daw &amp; Son Ltd (1941) </w:t>
      </w:r>
      <w:r w:rsidR="00B2179C">
        <w:rPr>
          <w:sz w:val="32"/>
          <w:szCs w:val="32"/>
          <w:lang w:val="en-US"/>
        </w:rPr>
        <w:t>2 K. B. 343.</w:t>
      </w:r>
      <w:r w:rsidR="00EF3D10" w:rsidRPr="00EF3D10">
        <w:rPr>
          <w:sz w:val="32"/>
          <w:szCs w:val="32"/>
          <w:lang w:val="en-US"/>
        </w:rPr>
        <w:t xml:space="preserve"> </w:t>
      </w:r>
    </w:p>
    <w:p w14:paraId="4625F5ED" w14:textId="451DD968" w:rsidR="00EF3D10" w:rsidRDefault="00EF3D10" w:rsidP="00EF3D10">
      <w:pPr>
        <w:rPr>
          <w:sz w:val="32"/>
          <w:szCs w:val="32"/>
          <w:lang w:val="en-US"/>
        </w:rPr>
      </w:pPr>
      <w:r>
        <w:rPr>
          <w:sz w:val="32"/>
          <w:szCs w:val="32"/>
          <w:lang w:val="en-US"/>
        </w:rPr>
        <w:t>Jolley v Sutton London Borough Council (2000)</w:t>
      </w:r>
      <w:r w:rsidR="00F91EC1">
        <w:rPr>
          <w:sz w:val="32"/>
          <w:szCs w:val="32"/>
          <w:lang w:val="en-US"/>
        </w:rPr>
        <w:t xml:space="preserve"> </w:t>
      </w:r>
      <w:r w:rsidR="00180988">
        <w:rPr>
          <w:sz w:val="32"/>
          <w:szCs w:val="32"/>
          <w:lang w:val="en-US"/>
        </w:rPr>
        <w:t>1 W.L.R. 1082.</w:t>
      </w:r>
    </w:p>
    <w:p w14:paraId="7E043414" w14:textId="7B862F76" w:rsidR="00E14DA8" w:rsidRDefault="00E14DA8">
      <w:pPr>
        <w:rPr>
          <w:sz w:val="32"/>
          <w:szCs w:val="32"/>
          <w:lang w:val="en-US"/>
        </w:rPr>
      </w:pPr>
      <w:r>
        <w:rPr>
          <w:sz w:val="32"/>
          <w:szCs w:val="32"/>
          <w:lang w:val="en-US"/>
        </w:rPr>
        <w:t>McLoughlin v O`Brian (1983) 1 A.C. 410.</w:t>
      </w:r>
    </w:p>
    <w:p w14:paraId="7CBE8A8A" w14:textId="38585B1A" w:rsidR="00BF7C80" w:rsidRDefault="00BF7C80">
      <w:pPr>
        <w:rPr>
          <w:sz w:val="32"/>
          <w:szCs w:val="32"/>
          <w:lang w:val="en-US"/>
        </w:rPr>
      </w:pPr>
      <w:r>
        <w:rPr>
          <w:sz w:val="32"/>
          <w:szCs w:val="32"/>
          <w:lang w:val="en-US"/>
        </w:rPr>
        <w:t>Page v Smith (1996) A.C. 155</w:t>
      </w:r>
    </w:p>
    <w:p w14:paraId="71B15F93" w14:textId="3BA32B7A" w:rsidR="00054C73" w:rsidRDefault="00054C73">
      <w:pPr>
        <w:rPr>
          <w:sz w:val="32"/>
          <w:szCs w:val="32"/>
          <w:lang w:val="en-US"/>
        </w:rPr>
      </w:pPr>
      <w:r>
        <w:rPr>
          <w:sz w:val="32"/>
          <w:szCs w:val="32"/>
          <w:lang w:val="en-US"/>
        </w:rPr>
        <w:t>Phipps v Rochester</w:t>
      </w:r>
      <w:r w:rsidR="00BD51CD">
        <w:rPr>
          <w:sz w:val="32"/>
          <w:szCs w:val="32"/>
          <w:lang w:val="en-US"/>
        </w:rPr>
        <w:t xml:space="preserve"> Corp (1955)</w:t>
      </w:r>
      <w:r w:rsidR="009F751D">
        <w:rPr>
          <w:sz w:val="32"/>
          <w:szCs w:val="32"/>
          <w:lang w:val="en-US"/>
        </w:rPr>
        <w:t xml:space="preserve"> 1 Q.B. 450.</w:t>
      </w:r>
    </w:p>
    <w:p w14:paraId="3C0D79C5" w14:textId="31B8AE14" w:rsidR="0011191B" w:rsidRDefault="0011191B">
      <w:pPr>
        <w:rPr>
          <w:sz w:val="32"/>
          <w:szCs w:val="32"/>
          <w:lang w:val="en-US"/>
        </w:rPr>
      </w:pPr>
      <w:r>
        <w:rPr>
          <w:sz w:val="32"/>
          <w:szCs w:val="32"/>
          <w:lang w:val="en-US"/>
        </w:rPr>
        <w:t xml:space="preserve">Roles v Nathen </w:t>
      </w:r>
      <w:r w:rsidR="008D244F">
        <w:rPr>
          <w:sz w:val="32"/>
          <w:szCs w:val="32"/>
          <w:lang w:val="en-US"/>
        </w:rPr>
        <w:t xml:space="preserve">(1963) 1 W.L.R. </w:t>
      </w:r>
      <w:r w:rsidR="007E4972">
        <w:rPr>
          <w:sz w:val="32"/>
          <w:szCs w:val="32"/>
          <w:lang w:val="en-US"/>
        </w:rPr>
        <w:t>1117.</w:t>
      </w:r>
    </w:p>
    <w:p w14:paraId="7BCA8FA5" w14:textId="51A6EFFD" w:rsidR="007E4972" w:rsidRDefault="007E4972">
      <w:pPr>
        <w:rPr>
          <w:sz w:val="32"/>
          <w:szCs w:val="32"/>
          <w:lang w:val="en-US"/>
        </w:rPr>
      </w:pPr>
      <w:r>
        <w:rPr>
          <w:sz w:val="32"/>
          <w:szCs w:val="32"/>
          <w:lang w:val="en-US"/>
        </w:rPr>
        <w:t xml:space="preserve">Taylor v </w:t>
      </w:r>
      <w:r w:rsidR="00007025">
        <w:rPr>
          <w:sz w:val="32"/>
          <w:szCs w:val="32"/>
          <w:lang w:val="en-US"/>
        </w:rPr>
        <w:t xml:space="preserve">Glasgow City Council (1922) </w:t>
      </w:r>
      <w:r w:rsidR="001367CF">
        <w:rPr>
          <w:sz w:val="32"/>
          <w:szCs w:val="32"/>
          <w:lang w:val="en-US"/>
        </w:rPr>
        <w:t>1 A.C. 44.</w:t>
      </w:r>
    </w:p>
    <w:p w14:paraId="54624F94" w14:textId="2BA9F882" w:rsidR="00F458E6" w:rsidRDefault="00F458E6">
      <w:pPr>
        <w:rPr>
          <w:sz w:val="32"/>
          <w:szCs w:val="32"/>
          <w:lang w:val="en-US"/>
        </w:rPr>
      </w:pPr>
      <w:r>
        <w:rPr>
          <w:sz w:val="32"/>
          <w:szCs w:val="32"/>
          <w:lang w:val="en-US"/>
        </w:rPr>
        <w:t>Tomlinson v Congleton bc (2003)</w:t>
      </w:r>
      <w:r w:rsidR="002D4B24">
        <w:rPr>
          <w:sz w:val="32"/>
          <w:szCs w:val="32"/>
          <w:lang w:val="en-US"/>
        </w:rPr>
        <w:t xml:space="preserve"> 3 W.L.R. 705.</w:t>
      </w:r>
    </w:p>
    <w:p w14:paraId="32AF626D" w14:textId="5785982A" w:rsidR="00887691" w:rsidRDefault="00887691">
      <w:pPr>
        <w:rPr>
          <w:sz w:val="32"/>
          <w:szCs w:val="32"/>
          <w:lang w:val="en-US"/>
        </w:rPr>
      </w:pPr>
      <w:r>
        <w:rPr>
          <w:sz w:val="32"/>
          <w:szCs w:val="32"/>
          <w:lang w:val="en-US"/>
        </w:rPr>
        <w:t>Ward v Tesco Stores (1976) 1 W.L.R. 810.</w:t>
      </w:r>
    </w:p>
    <w:p w14:paraId="0C09A83F" w14:textId="63F905B8" w:rsidR="00C671E0" w:rsidRDefault="00C671E0">
      <w:pPr>
        <w:rPr>
          <w:sz w:val="32"/>
          <w:szCs w:val="32"/>
          <w:lang w:val="en-US"/>
        </w:rPr>
      </w:pPr>
      <w:r>
        <w:rPr>
          <w:sz w:val="32"/>
          <w:szCs w:val="32"/>
          <w:lang w:val="en-US"/>
        </w:rPr>
        <w:t>Wheat v Lacon (1966) 2 W.L.R. 581</w:t>
      </w:r>
      <w:r w:rsidR="002D4B24">
        <w:rPr>
          <w:sz w:val="32"/>
          <w:szCs w:val="32"/>
          <w:lang w:val="en-US"/>
        </w:rPr>
        <w:t>.</w:t>
      </w:r>
    </w:p>
    <w:p w14:paraId="30CEF866" w14:textId="252A3E67" w:rsidR="001367CF" w:rsidRPr="00D411D8" w:rsidRDefault="001367CF">
      <w:pPr>
        <w:rPr>
          <w:sz w:val="32"/>
          <w:szCs w:val="32"/>
          <w:lang w:val="en-US"/>
        </w:rPr>
      </w:pPr>
      <w:r>
        <w:rPr>
          <w:sz w:val="32"/>
          <w:szCs w:val="32"/>
          <w:lang w:val="en-US"/>
        </w:rPr>
        <w:t xml:space="preserve">Young v </w:t>
      </w:r>
      <w:r w:rsidR="00BA0B0F">
        <w:rPr>
          <w:sz w:val="32"/>
          <w:szCs w:val="32"/>
          <w:lang w:val="en-US"/>
        </w:rPr>
        <w:t>Kent</w:t>
      </w:r>
      <w:r w:rsidR="00180988">
        <w:rPr>
          <w:sz w:val="32"/>
          <w:szCs w:val="32"/>
          <w:lang w:val="en-US"/>
        </w:rPr>
        <w:t xml:space="preserve"> </w:t>
      </w:r>
      <w:r w:rsidR="00BA0B0F">
        <w:rPr>
          <w:sz w:val="32"/>
          <w:szCs w:val="32"/>
          <w:lang w:val="en-US"/>
        </w:rPr>
        <w:t xml:space="preserve">County Council (2005) </w:t>
      </w:r>
      <w:r w:rsidR="001040CC">
        <w:rPr>
          <w:sz w:val="32"/>
          <w:szCs w:val="32"/>
          <w:lang w:val="en-US"/>
        </w:rPr>
        <w:t>EWHC 13</w:t>
      </w:r>
      <w:r w:rsidR="00F91EC1">
        <w:rPr>
          <w:sz w:val="32"/>
          <w:szCs w:val="32"/>
          <w:lang w:val="en-US"/>
        </w:rPr>
        <w:t>42 (QB).</w:t>
      </w:r>
    </w:p>
    <w:sectPr w:rsidR="001367CF" w:rsidRPr="00D411D8" w:rsidSect="00F748E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3B3"/>
    <w:rsid w:val="00006574"/>
    <w:rsid w:val="00007025"/>
    <w:rsid w:val="00007F7A"/>
    <w:rsid w:val="0002054F"/>
    <w:rsid w:val="00021A3F"/>
    <w:rsid w:val="00024908"/>
    <w:rsid w:val="00026863"/>
    <w:rsid w:val="000270F9"/>
    <w:rsid w:val="00040AAA"/>
    <w:rsid w:val="000416EA"/>
    <w:rsid w:val="00043936"/>
    <w:rsid w:val="00044B7B"/>
    <w:rsid w:val="00046F2F"/>
    <w:rsid w:val="00054C73"/>
    <w:rsid w:val="00057EC8"/>
    <w:rsid w:val="000604D0"/>
    <w:rsid w:val="00061075"/>
    <w:rsid w:val="00062B19"/>
    <w:rsid w:val="00064686"/>
    <w:rsid w:val="000754C6"/>
    <w:rsid w:val="00077E36"/>
    <w:rsid w:val="000817D0"/>
    <w:rsid w:val="00081B26"/>
    <w:rsid w:val="00081DDD"/>
    <w:rsid w:val="00092A4E"/>
    <w:rsid w:val="00092D47"/>
    <w:rsid w:val="000A3D9B"/>
    <w:rsid w:val="000B0FE6"/>
    <w:rsid w:val="000B2F97"/>
    <w:rsid w:val="000C4E05"/>
    <w:rsid w:val="000C6DE7"/>
    <w:rsid w:val="000D6544"/>
    <w:rsid w:val="000D711B"/>
    <w:rsid w:val="000D7B51"/>
    <w:rsid w:val="000E0EE0"/>
    <w:rsid w:val="000E4C71"/>
    <w:rsid w:val="000F1738"/>
    <w:rsid w:val="001040CC"/>
    <w:rsid w:val="00106AB7"/>
    <w:rsid w:val="0011191B"/>
    <w:rsid w:val="001152C6"/>
    <w:rsid w:val="001272BF"/>
    <w:rsid w:val="00130B53"/>
    <w:rsid w:val="00132B58"/>
    <w:rsid w:val="00133EA7"/>
    <w:rsid w:val="00135C78"/>
    <w:rsid w:val="001367CF"/>
    <w:rsid w:val="001401B6"/>
    <w:rsid w:val="00143DB9"/>
    <w:rsid w:val="001547F1"/>
    <w:rsid w:val="00161BBE"/>
    <w:rsid w:val="00166514"/>
    <w:rsid w:val="00180988"/>
    <w:rsid w:val="001859C8"/>
    <w:rsid w:val="001A0188"/>
    <w:rsid w:val="001A2D14"/>
    <w:rsid w:val="001A32DC"/>
    <w:rsid w:val="001A5306"/>
    <w:rsid w:val="001A5816"/>
    <w:rsid w:val="001A708B"/>
    <w:rsid w:val="001B07CB"/>
    <w:rsid w:val="001B0BA4"/>
    <w:rsid w:val="001C101F"/>
    <w:rsid w:val="001C2597"/>
    <w:rsid w:val="001C2F71"/>
    <w:rsid w:val="001C417C"/>
    <w:rsid w:val="001D26ED"/>
    <w:rsid w:val="001D5EBA"/>
    <w:rsid w:val="001E2AA9"/>
    <w:rsid w:val="001E57E0"/>
    <w:rsid w:val="001F218B"/>
    <w:rsid w:val="001F62E5"/>
    <w:rsid w:val="001F6F0D"/>
    <w:rsid w:val="00214E06"/>
    <w:rsid w:val="002234A1"/>
    <w:rsid w:val="002409A1"/>
    <w:rsid w:val="0024626E"/>
    <w:rsid w:val="00251B44"/>
    <w:rsid w:val="00253AF2"/>
    <w:rsid w:val="00253CBF"/>
    <w:rsid w:val="00253D3C"/>
    <w:rsid w:val="00272539"/>
    <w:rsid w:val="002767F7"/>
    <w:rsid w:val="002873AC"/>
    <w:rsid w:val="00293B85"/>
    <w:rsid w:val="00295557"/>
    <w:rsid w:val="002A5848"/>
    <w:rsid w:val="002B1160"/>
    <w:rsid w:val="002B4D42"/>
    <w:rsid w:val="002C1A42"/>
    <w:rsid w:val="002C7EB8"/>
    <w:rsid w:val="002D11EB"/>
    <w:rsid w:val="002D2EA7"/>
    <w:rsid w:val="002D35B2"/>
    <w:rsid w:val="002D4B24"/>
    <w:rsid w:val="002D6C6F"/>
    <w:rsid w:val="002E0126"/>
    <w:rsid w:val="002F227A"/>
    <w:rsid w:val="002F274A"/>
    <w:rsid w:val="002F4491"/>
    <w:rsid w:val="002F776A"/>
    <w:rsid w:val="00300BA4"/>
    <w:rsid w:val="00301651"/>
    <w:rsid w:val="003019A1"/>
    <w:rsid w:val="00306BD3"/>
    <w:rsid w:val="00313296"/>
    <w:rsid w:val="003230AA"/>
    <w:rsid w:val="0033487D"/>
    <w:rsid w:val="00341B3F"/>
    <w:rsid w:val="00341F03"/>
    <w:rsid w:val="00352BA2"/>
    <w:rsid w:val="0035397B"/>
    <w:rsid w:val="003548F0"/>
    <w:rsid w:val="00365ECC"/>
    <w:rsid w:val="00366E4A"/>
    <w:rsid w:val="00370DBC"/>
    <w:rsid w:val="003719F2"/>
    <w:rsid w:val="00374A41"/>
    <w:rsid w:val="003847CD"/>
    <w:rsid w:val="00384975"/>
    <w:rsid w:val="00392970"/>
    <w:rsid w:val="003A2F53"/>
    <w:rsid w:val="003A70BA"/>
    <w:rsid w:val="003B1F2D"/>
    <w:rsid w:val="003B4771"/>
    <w:rsid w:val="003D7B48"/>
    <w:rsid w:val="003E0CC4"/>
    <w:rsid w:val="003E2B27"/>
    <w:rsid w:val="003E48C2"/>
    <w:rsid w:val="003E4EE6"/>
    <w:rsid w:val="003E536A"/>
    <w:rsid w:val="003E5AD3"/>
    <w:rsid w:val="003F05FC"/>
    <w:rsid w:val="003F0E64"/>
    <w:rsid w:val="00407539"/>
    <w:rsid w:val="00412E16"/>
    <w:rsid w:val="00416BBD"/>
    <w:rsid w:val="00424D8C"/>
    <w:rsid w:val="00425D2B"/>
    <w:rsid w:val="00434D83"/>
    <w:rsid w:val="004369BB"/>
    <w:rsid w:val="00442CB0"/>
    <w:rsid w:val="00444228"/>
    <w:rsid w:val="004521B1"/>
    <w:rsid w:val="00464216"/>
    <w:rsid w:val="00484159"/>
    <w:rsid w:val="00495E4D"/>
    <w:rsid w:val="004B09C0"/>
    <w:rsid w:val="004B18B5"/>
    <w:rsid w:val="004B5C97"/>
    <w:rsid w:val="004C640F"/>
    <w:rsid w:val="004C7D37"/>
    <w:rsid w:val="004D00D0"/>
    <w:rsid w:val="004D2F6F"/>
    <w:rsid w:val="004E70FF"/>
    <w:rsid w:val="004F003A"/>
    <w:rsid w:val="00501FCA"/>
    <w:rsid w:val="00502488"/>
    <w:rsid w:val="005174D5"/>
    <w:rsid w:val="00527E81"/>
    <w:rsid w:val="00531937"/>
    <w:rsid w:val="00543555"/>
    <w:rsid w:val="00543964"/>
    <w:rsid w:val="00560260"/>
    <w:rsid w:val="00560462"/>
    <w:rsid w:val="00561C81"/>
    <w:rsid w:val="00565E06"/>
    <w:rsid w:val="0057244B"/>
    <w:rsid w:val="005770D8"/>
    <w:rsid w:val="00584A12"/>
    <w:rsid w:val="005858D2"/>
    <w:rsid w:val="00585A44"/>
    <w:rsid w:val="005931AD"/>
    <w:rsid w:val="0059448B"/>
    <w:rsid w:val="005A070E"/>
    <w:rsid w:val="005A2A8C"/>
    <w:rsid w:val="005A3829"/>
    <w:rsid w:val="005A5953"/>
    <w:rsid w:val="005A5DC2"/>
    <w:rsid w:val="005A7E7E"/>
    <w:rsid w:val="005B36CF"/>
    <w:rsid w:val="005D07D9"/>
    <w:rsid w:val="005D11DF"/>
    <w:rsid w:val="005D20E7"/>
    <w:rsid w:val="005D488B"/>
    <w:rsid w:val="005D4C21"/>
    <w:rsid w:val="005E5DF0"/>
    <w:rsid w:val="005F6140"/>
    <w:rsid w:val="006003FC"/>
    <w:rsid w:val="0061260C"/>
    <w:rsid w:val="00623F96"/>
    <w:rsid w:val="00626E05"/>
    <w:rsid w:val="0062777C"/>
    <w:rsid w:val="00627FD5"/>
    <w:rsid w:val="00631097"/>
    <w:rsid w:val="006340CF"/>
    <w:rsid w:val="00637A5D"/>
    <w:rsid w:val="00640A4C"/>
    <w:rsid w:val="006522F3"/>
    <w:rsid w:val="0066605B"/>
    <w:rsid w:val="006662A4"/>
    <w:rsid w:val="00671418"/>
    <w:rsid w:val="00671D65"/>
    <w:rsid w:val="00676A51"/>
    <w:rsid w:val="0068387E"/>
    <w:rsid w:val="006856F9"/>
    <w:rsid w:val="00686320"/>
    <w:rsid w:val="0068688E"/>
    <w:rsid w:val="00693EDF"/>
    <w:rsid w:val="00696198"/>
    <w:rsid w:val="006A0127"/>
    <w:rsid w:val="006B2760"/>
    <w:rsid w:val="006B3ACB"/>
    <w:rsid w:val="006B5B2E"/>
    <w:rsid w:val="006B5ED9"/>
    <w:rsid w:val="006B7FB1"/>
    <w:rsid w:val="006C0839"/>
    <w:rsid w:val="006C1D97"/>
    <w:rsid w:val="006D3520"/>
    <w:rsid w:val="006E3E79"/>
    <w:rsid w:val="006E6511"/>
    <w:rsid w:val="006F0F43"/>
    <w:rsid w:val="006F526F"/>
    <w:rsid w:val="00701950"/>
    <w:rsid w:val="0070786A"/>
    <w:rsid w:val="00722E21"/>
    <w:rsid w:val="007257D7"/>
    <w:rsid w:val="0073019C"/>
    <w:rsid w:val="007335E8"/>
    <w:rsid w:val="00744370"/>
    <w:rsid w:val="0074484C"/>
    <w:rsid w:val="0074556F"/>
    <w:rsid w:val="00754408"/>
    <w:rsid w:val="00757742"/>
    <w:rsid w:val="00760DEB"/>
    <w:rsid w:val="00784397"/>
    <w:rsid w:val="00793C84"/>
    <w:rsid w:val="00797A3B"/>
    <w:rsid w:val="007A40EE"/>
    <w:rsid w:val="007A4FB8"/>
    <w:rsid w:val="007C31BB"/>
    <w:rsid w:val="007D57E5"/>
    <w:rsid w:val="007D58E7"/>
    <w:rsid w:val="007E4972"/>
    <w:rsid w:val="007E71A6"/>
    <w:rsid w:val="007F07F7"/>
    <w:rsid w:val="007F29CF"/>
    <w:rsid w:val="0080249A"/>
    <w:rsid w:val="00803609"/>
    <w:rsid w:val="00805214"/>
    <w:rsid w:val="0081429E"/>
    <w:rsid w:val="0081758F"/>
    <w:rsid w:val="00822027"/>
    <w:rsid w:val="008255A5"/>
    <w:rsid w:val="00832146"/>
    <w:rsid w:val="008407D1"/>
    <w:rsid w:val="00847DC2"/>
    <w:rsid w:val="0085095D"/>
    <w:rsid w:val="00852037"/>
    <w:rsid w:val="008535F9"/>
    <w:rsid w:val="008629C2"/>
    <w:rsid w:val="00865A0E"/>
    <w:rsid w:val="008758A9"/>
    <w:rsid w:val="00884893"/>
    <w:rsid w:val="008875C2"/>
    <w:rsid w:val="00887691"/>
    <w:rsid w:val="00887A75"/>
    <w:rsid w:val="008A186F"/>
    <w:rsid w:val="008A70C3"/>
    <w:rsid w:val="008B1939"/>
    <w:rsid w:val="008B6144"/>
    <w:rsid w:val="008B7213"/>
    <w:rsid w:val="008C03B3"/>
    <w:rsid w:val="008D05EC"/>
    <w:rsid w:val="008D0F90"/>
    <w:rsid w:val="008D244F"/>
    <w:rsid w:val="008D24F1"/>
    <w:rsid w:val="008D4615"/>
    <w:rsid w:val="008D7DFD"/>
    <w:rsid w:val="008E3E13"/>
    <w:rsid w:val="008F028E"/>
    <w:rsid w:val="008F2BF1"/>
    <w:rsid w:val="008F6868"/>
    <w:rsid w:val="00911FF9"/>
    <w:rsid w:val="0091487C"/>
    <w:rsid w:val="00915577"/>
    <w:rsid w:val="00915706"/>
    <w:rsid w:val="0091760E"/>
    <w:rsid w:val="009213EC"/>
    <w:rsid w:val="00922A82"/>
    <w:rsid w:val="00925418"/>
    <w:rsid w:val="00926E6E"/>
    <w:rsid w:val="00927EEA"/>
    <w:rsid w:val="00945F85"/>
    <w:rsid w:val="00966348"/>
    <w:rsid w:val="00971474"/>
    <w:rsid w:val="009740CF"/>
    <w:rsid w:val="00976746"/>
    <w:rsid w:val="00977984"/>
    <w:rsid w:val="00997B2D"/>
    <w:rsid w:val="00997E9D"/>
    <w:rsid w:val="009A0761"/>
    <w:rsid w:val="009A5E21"/>
    <w:rsid w:val="009B1488"/>
    <w:rsid w:val="009B268E"/>
    <w:rsid w:val="009C58B1"/>
    <w:rsid w:val="009D35E3"/>
    <w:rsid w:val="009D42DA"/>
    <w:rsid w:val="009D700C"/>
    <w:rsid w:val="009D75D9"/>
    <w:rsid w:val="009E3FC5"/>
    <w:rsid w:val="009F751D"/>
    <w:rsid w:val="00A07E49"/>
    <w:rsid w:val="00A11523"/>
    <w:rsid w:val="00A2123B"/>
    <w:rsid w:val="00A36210"/>
    <w:rsid w:val="00A46CF2"/>
    <w:rsid w:val="00A50556"/>
    <w:rsid w:val="00A606C3"/>
    <w:rsid w:val="00A6308A"/>
    <w:rsid w:val="00A63DCD"/>
    <w:rsid w:val="00A6593E"/>
    <w:rsid w:val="00A725E1"/>
    <w:rsid w:val="00A7607C"/>
    <w:rsid w:val="00A80748"/>
    <w:rsid w:val="00A81A0D"/>
    <w:rsid w:val="00A842E5"/>
    <w:rsid w:val="00A85EBF"/>
    <w:rsid w:val="00A85F24"/>
    <w:rsid w:val="00A87146"/>
    <w:rsid w:val="00A875D5"/>
    <w:rsid w:val="00A87E7E"/>
    <w:rsid w:val="00A90A1A"/>
    <w:rsid w:val="00A9287E"/>
    <w:rsid w:val="00A95AD3"/>
    <w:rsid w:val="00AB0B18"/>
    <w:rsid w:val="00AB3891"/>
    <w:rsid w:val="00AC3B70"/>
    <w:rsid w:val="00AE03DD"/>
    <w:rsid w:val="00AE6136"/>
    <w:rsid w:val="00B049A1"/>
    <w:rsid w:val="00B07230"/>
    <w:rsid w:val="00B07BD9"/>
    <w:rsid w:val="00B1684A"/>
    <w:rsid w:val="00B2179C"/>
    <w:rsid w:val="00B22802"/>
    <w:rsid w:val="00B2499E"/>
    <w:rsid w:val="00B2717C"/>
    <w:rsid w:val="00B302D8"/>
    <w:rsid w:val="00B3514E"/>
    <w:rsid w:val="00B37B64"/>
    <w:rsid w:val="00B406A6"/>
    <w:rsid w:val="00B54333"/>
    <w:rsid w:val="00B623CC"/>
    <w:rsid w:val="00B637AA"/>
    <w:rsid w:val="00B7387D"/>
    <w:rsid w:val="00B74047"/>
    <w:rsid w:val="00B77A1C"/>
    <w:rsid w:val="00B83FD8"/>
    <w:rsid w:val="00B85416"/>
    <w:rsid w:val="00BA0B0F"/>
    <w:rsid w:val="00BA1662"/>
    <w:rsid w:val="00BB0098"/>
    <w:rsid w:val="00BB27F0"/>
    <w:rsid w:val="00BB7ACB"/>
    <w:rsid w:val="00BC2D32"/>
    <w:rsid w:val="00BC3EA7"/>
    <w:rsid w:val="00BD0E07"/>
    <w:rsid w:val="00BD33DA"/>
    <w:rsid w:val="00BD51CD"/>
    <w:rsid w:val="00BE0D16"/>
    <w:rsid w:val="00BF301C"/>
    <w:rsid w:val="00BF7C80"/>
    <w:rsid w:val="00C00AAF"/>
    <w:rsid w:val="00C0153F"/>
    <w:rsid w:val="00C15D98"/>
    <w:rsid w:val="00C16AC7"/>
    <w:rsid w:val="00C17883"/>
    <w:rsid w:val="00C20038"/>
    <w:rsid w:val="00C22861"/>
    <w:rsid w:val="00C329D5"/>
    <w:rsid w:val="00C43CA1"/>
    <w:rsid w:val="00C45A5F"/>
    <w:rsid w:val="00C5305B"/>
    <w:rsid w:val="00C671E0"/>
    <w:rsid w:val="00C67C2D"/>
    <w:rsid w:val="00C904DB"/>
    <w:rsid w:val="00CA16FE"/>
    <w:rsid w:val="00CA23D7"/>
    <w:rsid w:val="00CA5ECC"/>
    <w:rsid w:val="00CA6D6F"/>
    <w:rsid w:val="00CA736F"/>
    <w:rsid w:val="00CB1C8B"/>
    <w:rsid w:val="00CB1E57"/>
    <w:rsid w:val="00CB1ED8"/>
    <w:rsid w:val="00CB4DB1"/>
    <w:rsid w:val="00CD43C2"/>
    <w:rsid w:val="00CE3757"/>
    <w:rsid w:val="00CE6109"/>
    <w:rsid w:val="00CE6A43"/>
    <w:rsid w:val="00CF0DBF"/>
    <w:rsid w:val="00CF7977"/>
    <w:rsid w:val="00D037A8"/>
    <w:rsid w:val="00D03BB4"/>
    <w:rsid w:val="00D20172"/>
    <w:rsid w:val="00D21D94"/>
    <w:rsid w:val="00D23960"/>
    <w:rsid w:val="00D25833"/>
    <w:rsid w:val="00D275B7"/>
    <w:rsid w:val="00D352A8"/>
    <w:rsid w:val="00D36E07"/>
    <w:rsid w:val="00D411D8"/>
    <w:rsid w:val="00D628E7"/>
    <w:rsid w:val="00D64867"/>
    <w:rsid w:val="00D7711C"/>
    <w:rsid w:val="00D8184F"/>
    <w:rsid w:val="00D858DD"/>
    <w:rsid w:val="00D8610B"/>
    <w:rsid w:val="00D915B2"/>
    <w:rsid w:val="00D979F5"/>
    <w:rsid w:val="00DA1681"/>
    <w:rsid w:val="00DB0017"/>
    <w:rsid w:val="00DB7B16"/>
    <w:rsid w:val="00DC1DB1"/>
    <w:rsid w:val="00DC35A3"/>
    <w:rsid w:val="00DC6317"/>
    <w:rsid w:val="00DC7D2A"/>
    <w:rsid w:val="00DD12C3"/>
    <w:rsid w:val="00DD45FF"/>
    <w:rsid w:val="00DD6A23"/>
    <w:rsid w:val="00DE0A49"/>
    <w:rsid w:val="00DE3929"/>
    <w:rsid w:val="00DF15F4"/>
    <w:rsid w:val="00DF6AD1"/>
    <w:rsid w:val="00E07BFE"/>
    <w:rsid w:val="00E12FB0"/>
    <w:rsid w:val="00E14DA8"/>
    <w:rsid w:val="00E17447"/>
    <w:rsid w:val="00E20862"/>
    <w:rsid w:val="00E273EA"/>
    <w:rsid w:val="00E33CB5"/>
    <w:rsid w:val="00E344F7"/>
    <w:rsid w:val="00E34AD7"/>
    <w:rsid w:val="00E617BA"/>
    <w:rsid w:val="00E656A0"/>
    <w:rsid w:val="00E70C6F"/>
    <w:rsid w:val="00E74C29"/>
    <w:rsid w:val="00E873AF"/>
    <w:rsid w:val="00EA1383"/>
    <w:rsid w:val="00EB0E33"/>
    <w:rsid w:val="00EB1EAC"/>
    <w:rsid w:val="00EC4559"/>
    <w:rsid w:val="00ED6916"/>
    <w:rsid w:val="00EE24DA"/>
    <w:rsid w:val="00EE3FE8"/>
    <w:rsid w:val="00EE7FC3"/>
    <w:rsid w:val="00EF3D10"/>
    <w:rsid w:val="00EF3E3E"/>
    <w:rsid w:val="00F14EBA"/>
    <w:rsid w:val="00F159B9"/>
    <w:rsid w:val="00F21F3E"/>
    <w:rsid w:val="00F26D6A"/>
    <w:rsid w:val="00F327C6"/>
    <w:rsid w:val="00F41D8B"/>
    <w:rsid w:val="00F42D78"/>
    <w:rsid w:val="00F458E6"/>
    <w:rsid w:val="00F46527"/>
    <w:rsid w:val="00F47B9D"/>
    <w:rsid w:val="00F52423"/>
    <w:rsid w:val="00F66A5A"/>
    <w:rsid w:val="00F7235D"/>
    <w:rsid w:val="00F748EE"/>
    <w:rsid w:val="00F75892"/>
    <w:rsid w:val="00F81A1A"/>
    <w:rsid w:val="00F91EC1"/>
    <w:rsid w:val="00F927D8"/>
    <w:rsid w:val="00FA060C"/>
    <w:rsid w:val="00FA64EE"/>
    <w:rsid w:val="00FA6E82"/>
    <w:rsid w:val="00FA7CF8"/>
    <w:rsid w:val="00FB01B8"/>
    <w:rsid w:val="00FB6630"/>
    <w:rsid w:val="00FF2BC8"/>
    <w:rsid w:val="00FF4836"/>
    <w:rsid w:val="00FF5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59227"/>
  <w15:chartTrackingRefBased/>
  <w15:docId w15:val="{34C51DE0-24DA-408F-A03A-145EE6A0B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2C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7A5D"/>
    <w:rPr>
      <w:color w:val="0563C1" w:themeColor="hyperlink"/>
      <w:u w:val="single"/>
    </w:rPr>
  </w:style>
  <w:style w:type="character" w:styleId="UnresolvedMention">
    <w:name w:val="Unresolved Mention"/>
    <w:basedOn w:val="DefaultParagraphFont"/>
    <w:uiPriority w:val="99"/>
    <w:semiHidden/>
    <w:unhideWhenUsed/>
    <w:rsid w:val="00637A5D"/>
    <w:rPr>
      <w:color w:val="605E5C"/>
      <w:shd w:val="clear" w:color="auto" w:fill="E1DFDD"/>
    </w:rPr>
  </w:style>
  <w:style w:type="paragraph" w:styleId="NoSpacing">
    <w:name w:val="No Spacing"/>
    <w:link w:val="NoSpacingChar"/>
    <w:uiPriority w:val="1"/>
    <w:qFormat/>
    <w:rsid w:val="00F748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748E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90381">
      <w:bodyDiv w:val="1"/>
      <w:marLeft w:val="0"/>
      <w:marRight w:val="0"/>
      <w:marTop w:val="0"/>
      <w:marBottom w:val="0"/>
      <w:divBdr>
        <w:top w:val="none" w:sz="0" w:space="0" w:color="auto"/>
        <w:left w:val="none" w:sz="0" w:space="0" w:color="auto"/>
        <w:bottom w:val="none" w:sz="0" w:space="0" w:color="auto"/>
        <w:right w:val="none" w:sz="0" w:space="0" w:color="auto"/>
      </w:divBdr>
    </w:div>
    <w:div w:id="962080905">
      <w:bodyDiv w:val="1"/>
      <w:marLeft w:val="0"/>
      <w:marRight w:val="0"/>
      <w:marTop w:val="0"/>
      <w:marBottom w:val="0"/>
      <w:divBdr>
        <w:top w:val="none" w:sz="0" w:space="0" w:color="auto"/>
        <w:left w:val="none" w:sz="0" w:space="0" w:color="auto"/>
        <w:bottom w:val="none" w:sz="0" w:space="0" w:color="auto"/>
        <w:right w:val="none" w:sz="0" w:space="0" w:color="auto"/>
      </w:divBdr>
    </w:div>
    <w:div w:id="17190116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westlaw.com/Document/IBC2EC740931711E380EF8041A50270FE/View/FullText.html?navigationPath=Search%2Fv1%2Fresults%2Fnavigation%2Fi0ad740350000017d873cbeee0c5de9cc%3Fppcid%3D3cadcf3fbed24adbb8543fd466bb4b31%26Nav%3DRESEARCH_COMBINED_WLUK%26fragmentIdentifier%3DIBC2EC740931711E380EF8041A50270FE%26parentRank%3D0%26startIndex%3D1%26contextData%3D%2528sc.Search%2529%26transitionType%3DSearchItem&amp;listSource=Search&amp;listPageSource=5ce274106e68ecd8fa1e56b41595d1e7&amp;list=RESEARCH_COMBINED_WLUK&amp;rank=1&amp;sessionScopeId=54669689132e6894afdc9a0c0754e7a1e3ad848c5cfaea6f9c6848de1cb97693&amp;ppcid=3cadcf3fbed24adbb8543fd466bb4b31&amp;originationContext=Search%20Result&amp;transitionType=SearchItem&amp;contextData=(sc.Search)&amp;comp=wluk&amp;navId=FD8BB17ACCB52911636D59DA452A9613" TargetMode="External"/><Relationship Id="rId13" Type="http://schemas.openxmlformats.org/officeDocument/2006/relationships/hyperlink" Target="https://www-cambridge-org.ezproxy.uwtsd.ac.uk/core/services/aop-cambridge-core/content/view/111364114CD9092B262B04AD6187F199/S0261387500001045a.pdf/speaking-with-different-voices-the-problems-with-english-law-and-psychiatric-injury.pdf" TargetMode="External"/><Relationship Id="rId3" Type="http://schemas.openxmlformats.org/officeDocument/2006/relationships/settings" Target="settings.xml"/><Relationship Id="rId7" Type="http://schemas.openxmlformats.org/officeDocument/2006/relationships/hyperlink" Target="https://ebookcentral.proquest.com/lib/trinity/reader.action?docID=5725744" TargetMode="External"/><Relationship Id="rId12" Type="http://schemas.openxmlformats.org/officeDocument/2006/relationships/hyperlink" Target="https://www.legislation.gov.uk/ukpga/Eliz2/5-6/31/section/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legislation.gov.uk/ukpga/1984/3/section/1" TargetMode="External"/><Relationship Id="rId5" Type="http://schemas.openxmlformats.org/officeDocument/2006/relationships/image" Target="media/image1.png"/><Relationship Id="rId15" Type="http://schemas.openxmlformats.org/officeDocument/2006/relationships/glossaryDocument" Target="glossary/document.xml"/><Relationship Id="rId10" Type="http://schemas.openxmlformats.org/officeDocument/2006/relationships/hyperlink" Target="https://uk.westlaw.com/Document/IC5B91F80314F11E6BB8ACB178C47E9B1/View/FullText.html?originationContext=document&amp;transitionType=DocumentItem&amp;ppcid=910892eef7ec42bfb38b41e85782f6b7&amp;contextData=(sc.Category)&amp;comp=wluk&amp;navId=2325BA1CD6075FA4341FC63C484C590D" TargetMode="External"/><Relationship Id="rId4" Type="http://schemas.openxmlformats.org/officeDocument/2006/relationships/webSettings" Target="webSettings.xml"/><Relationship Id="rId9" Type="http://schemas.openxmlformats.org/officeDocument/2006/relationships/hyperlink" Target="https://uk.westlaw.com/Document/I228E8930B19B11E28D2CCE6F95B30AB1/View/FullText.html?originationContext=document&amp;transitionType=DocumentItem&amp;ppcid=9f48e51ee8fc44c78baaa9046e40efc3&amp;contextData=(sc.Search)&amp;comp=wluk&amp;navId=F6C5D23041546DABA4DBCB3DBA48E1C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26A9648DC54FFEA4E2AD815868B107"/>
        <w:category>
          <w:name w:val="General"/>
          <w:gallery w:val="placeholder"/>
        </w:category>
        <w:types>
          <w:type w:val="bbPlcHdr"/>
        </w:types>
        <w:behaviors>
          <w:behavior w:val="content"/>
        </w:behaviors>
        <w:guid w:val="{FDE52D50-A096-4713-822F-165E62F7BF1F}"/>
      </w:docPartPr>
      <w:docPartBody>
        <w:p w:rsidR="00000000" w:rsidRDefault="00CB01CE" w:rsidP="00CB01CE">
          <w:pPr>
            <w:pStyle w:val="D826A9648DC54FFEA4E2AD815868B107"/>
          </w:pPr>
          <w:r>
            <w:rPr>
              <w:rFonts w:asciiTheme="majorHAnsi" w:eastAsiaTheme="majorEastAsia" w:hAnsiTheme="majorHAnsi" w:cstheme="majorBidi"/>
              <w:caps/>
              <w:color w:val="4472C4" w:themeColor="accent1"/>
              <w:sz w:val="80"/>
              <w:szCs w:val="80"/>
            </w:rPr>
            <w:t>[Document title]</w:t>
          </w:r>
        </w:p>
      </w:docPartBody>
    </w:docPart>
    <w:docPart>
      <w:docPartPr>
        <w:name w:val="FA75381CCEDD4C0BA0D84DC43F1B861F"/>
        <w:category>
          <w:name w:val="General"/>
          <w:gallery w:val="placeholder"/>
        </w:category>
        <w:types>
          <w:type w:val="bbPlcHdr"/>
        </w:types>
        <w:behaviors>
          <w:behavior w:val="content"/>
        </w:behaviors>
        <w:guid w:val="{AD7F74A3-609B-4284-AC87-AAB0B2E62FEB}"/>
      </w:docPartPr>
      <w:docPartBody>
        <w:p w:rsidR="00000000" w:rsidRDefault="00CB01CE" w:rsidP="00CB01CE">
          <w:pPr>
            <w:pStyle w:val="FA75381CCEDD4C0BA0D84DC43F1B86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1CE"/>
    <w:rsid w:val="00B169D2"/>
    <w:rsid w:val="00CB0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26A9648DC54FFEA4E2AD815868B107">
    <w:name w:val="D826A9648DC54FFEA4E2AD815868B107"/>
    <w:rsid w:val="00CB01CE"/>
  </w:style>
  <w:style w:type="paragraph" w:customStyle="1" w:styleId="FA75381CCEDD4C0BA0D84DC43F1B861F">
    <w:name w:val="FA75381CCEDD4C0BA0D84DC43F1B861F"/>
    <w:rsid w:val="00CB01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2022-01-01T00:00:00</PublishDate>
  <Abstract/>
  <CompanyAddress>07¬01¬2022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6793</TotalTime>
  <Pages>11</Pages>
  <Words>2593</Words>
  <Characters>14785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Beverly Evans</Company>
  <LinksUpToDate>false</LinksUpToDate>
  <CharactersWithSpaces>17344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Occupiers liability and psychiatric harm</dc:title>
  <dc:subject/>
  <dc:creator>Beverly Evans</dc:creator>
  <cp:keywords/>
  <dc:description/>
  <cp:lastModifiedBy>Beverly Evans</cp:lastModifiedBy>
  <cp:revision>240</cp:revision>
  <dcterms:created xsi:type="dcterms:W3CDTF">2021-11-28T12:10:00Z</dcterms:created>
  <dcterms:modified xsi:type="dcterms:W3CDTF">2021-12-31T00:51:00Z</dcterms:modified>
</cp:coreProperties>
</file>