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F2730A" w14:textId="6394FA3C" w:rsidR="00B3173B" w:rsidRPr="007C4F28" w:rsidRDefault="00B3173B" w:rsidP="00B3173B">
      <w:pPr>
        <w:pStyle w:val="ListParagraph"/>
        <w:numPr>
          <w:ilvl w:val="0"/>
          <w:numId w:val="8"/>
        </w:numPr>
      </w:pPr>
      <w:r w:rsidRPr="007C4F28">
        <w:t>Compare and contrast two different play-based approaches, you should include a critical analysis of the curricula guidance.</w:t>
      </w:r>
    </w:p>
    <w:p w14:paraId="6903BFF5" w14:textId="77777777" w:rsidR="009B4A85" w:rsidRPr="009B4A85" w:rsidRDefault="009B4A85" w:rsidP="009B4A85">
      <w:pPr>
        <w:rPr>
          <w:b/>
          <w:bCs/>
          <w:u w:val="single"/>
        </w:rPr>
      </w:pPr>
      <w:r w:rsidRPr="009B4A85">
        <w:rPr>
          <w:b/>
          <w:bCs/>
          <w:u w:val="single"/>
        </w:rPr>
        <w:t>Introduction</w:t>
      </w:r>
    </w:p>
    <w:p w14:paraId="10F851D7" w14:textId="22FF816B" w:rsidR="009B4A85" w:rsidRDefault="009B4A85" w:rsidP="009B4A85">
      <w:r>
        <w:t>Over the last twenty years, education in Wales has undergone substantial transformation. One of the most significant developments has been the replacement of the Foundation Phase (FP)</w:t>
      </w:r>
      <w:r w:rsidR="00843E8D">
        <w:t xml:space="preserve"> </w:t>
      </w:r>
      <w:r>
        <w:t>a play-based curriculum for children aged 3 to 7</w:t>
      </w:r>
      <w:r w:rsidR="00843E8D">
        <w:t xml:space="preserve">, </w:t>
      </w:r>
      <w:r>
        <w:t>with the Curriculum for Wales (</w:t>
      </w:r>
      <w:proofErr w:type="spellStart"/>
      <w:r>
        <w:t>CfW</w:t>
      </w:r>
      <w:proofErr w:type="spellEnd"/>
      <w:r>
        <w:t>), a more cohesive framework covering learners from age 3 to 16. While both curricula advocate for holistic, child-centred education, they diverge in structure, pedagogical philosophy, and practical implementation.</w:t>
      </w:r>
      <w:r w:rsidR="004B429B">
        <w:t>(</w:t>
      </w:r>
      <w:r w:rsidR="004B429B" w:rsidRPr="004B429B">
        <w:t xml:space="preserve">Macdonald,2018) </w:t>
      </w:r>
      <w:r>
        <w:t xml:space="preserve">This essay compares the two curricular models with a specific focus on play-based learning. It explores the successes and limitations of the FP, the rationale for reform as outlined in Professor Graham Donaldson’s Successful Futures report, and the benefits and challenges of the </w:t>
      </w:r>
      <w:proofErr w:type="spellStart"/>
      <w:r>
        <w:t>CfW</w:t>
      </w:r>
      <w:proofErr w:type="spellEnd"/>
      <w:r>
        <w:t xml:space="preserve"> in sustaining and evolving the use of play as a pedagogical strategy.</w:t>
      </w:r>
    </w:p>
    <w:p w14:paraId="21686EFD" w14:textId="77777777" w:rsidR="009B4A85" w:rsidRPr="009B4A85" w:rsidRDefault="009B4A85" w:rsidP="009B4A85">
      <w:pPr>
        <w:rPr>
          <w:b/>
          <w:bCs/>
          <w:u w:val="single"/>
        </w:rPr>
      </w:pPr>
      <w:r w:rsidRPr="009B4A85">
        <w:rPr>
          <w:b/>
          <w:bCs/>
          <w:u w:val="single"/>
        </w:rPr>
        <w:t>The Foundation Phase: A Play-Based Pedagogical Innovation</w:t>
      </w:r>
    </w:p>
    <w:p w14:paraId="6690C82B" w14:textId="4C39EBC7" w:rsidR="009B4A85" w:rsidRDefault="009B4A85" w:rsidP="009B4A85">
      <w:r>
        <w:t>Introduced in 2008 and made statutory in 2010, the Foundation Phase marked a transformative approach to early years education in Wales. Influenced by Scandinavian education systems, it championed developmentally appropriate practice and placed play at the heart of learning. Through hands-on, experiential activities, the FP aimed to meet the physical, emotional, and cognitive needs of young children. The curriculum was structured around seven Areas of Learning, including domains such as Personal and Social Development, Wellbeing and Cultural Diversity, and Knowledge and Understanding of the World.</w:t>
      </w:r>
      <w:r w:rsidR="004B429B">
        <w:t>(</w:t>
      </w:r>
      <w:r w:rsidR="004B429B" w:rsidRPr="004B429B">
        <w:t xml:space="preserve">Donaldson, 2015) </w:t>
      </w:r>
      <w:r>
        <w:t xml:space="preserve"> Within this model, play was not seen as supplementary but as the principal vehicle for learning. Classrooms became more informal and child-led, with teaching assistants playing a vital role in facilitating learning alongside teachers.</w:t>
      </w:r>
      <w:r w:rsidR="004B429B">
        <w:t>(</w:t>
      </w:r>
      <w:r w:rsidR="004B429B" w:rsidRPr="004B429B">
        <w:t>OECD</w:t>
      </w:r>
      <w:r w:rsidR="004B429B">
        <w:t>,</w:t>
      </w:r>
      <w:r w:rsidR="004B429B" w:rsidRPr="004B429B">
        <w:t>2017)</w:t>
      </w:r>
    </w:p>
    <w:p w14:paraId="5B5C0B23" w14:textId="77777777" w:rsidR="009B4A85" w:rsidRPr="009B4A85" w:rsidRDefault="009B4A85" w:rsidP="009B4A85">
      <w:pPr>
        <w:rPr>
          <w:b/>
          <w:bCs/>
          <w:u w:val="single"/>
        </w:rPr>
      </w:pPr>
      <w:r w:rsidRPr="009B4A85">
        <w:rPr>
          <w:b/>
          <w:bCs/>
          <w:u w:val="single"/>
        </w:rPr>
        <w:t>Evaluation of the Foundation Phase: Strengths and Limitations</w:t>
      </w:r>
    </w:p>
    <w:p w14:paraId="75241EAB" w14:textId="77777777" w:rsidR="009B4A85" w:rsidRPr="009B4A85" w:rsidRDefault="009B4A85" w:rsidP="009B4A85">
      <w:pPr>
        <w:rPr>
          <w:u w:val="single"/>
        </w:rPr>
      </w:pPr>
      <w:r w:rsidRPr="009B4A85">
        <w:rPr>
          <w:u w:val="single"/>
        </w:rPr>
        <w:t>Strengths</w:t>
      </w:r>
    </w:p>
    <w:p w14:paraId="39A22D0E" w14:textId="183232EF" w:rsidR="009B4A85" w:rsidRPr="009B4A85" w:rsidRDefault="009B4A85" w:rsidP="009B4A85">
      <w:r>
        <w:t xml:space="preserve">Evaluations commissioned by the Welsh Government, such as the Stocktake Report (2014) and the Evaluation of the Foundation Phase (2015), highlighted several key strengths of the FP. Notably, the play-based approach significantly enhanced pupil wellbeing and engagement. Teachers observed greater motivation and enjoyment among learners, particularly in younger age groups. Play was found to promote language development, social skills, and problem-solving abilities. </w:t>
      </w:r>
      <w:r w:rsidR="004B429B">
        <w:t>(</w:t>
      </w:r>
      <w:r w:rsidR="004B429B" w:rsidRPr="004B429B">
        <w:t>Welsh Government</w:t>
      </w:r>
      <w:r w:rsidR="004B429B">
        <w:t>,</w:t>
      </w:r>
      <w:r w:rsidR="004B429B" w:rsidRPr="004B429B">
        <w:t xml:space="preserve">2014) </w:t>
      </w:r>
      <w:r>
        <w:t>The FP also encouraged inclusive education by accommodating diverse learning styles and developmental needs. Another strength was the collaborative model between teachers and teaching assistants, which allowed for more individualised support and increased flexibility in delivering learning experiences.</w:t>
      </w:r>
    </w:p>
    <w:p w14:paraId="1DA74482" w14:textId="77777777" w:rsidR="009B4A85" w:rsidRPr="009B4A85" w:rsidRDefault="009B4A85" w:rsidP="009B4A85">
      <w:pPr>
        <w:rPr>
          <w:u w:val="single"/>
        </w:rPr>
      </w:pPr>
      <w:r w:rsidRPr="009B4A85">
        <w:rPr>
          <w:u w:val="single"/>
        </w:rPr>
        <w:t>Limitations</w:t>
      </w:r>
    </w:p>
    <w:p w14:paraId="42D52FC8" w14:textId="0653C679" w:rsidR="009B4A85" w:rsidRDefault="009B4A85" w:rsidP="009B4A85">
      <w:r>
        <w:t xml:space="preserve">Despite these achievements, the implementation of the FP was uneven across Wales. There were marked disparities in how play-based pedagogy was understood and applied among schools and local authorities. </w:t>
      </w:r>
      <w:r w:rsidR="00C8312A">
        <w:t>(</w:t>
      </w:r>
      <w:r w:rsidR="00C8312A" w:rsidRPr="00C8312A">
        <w:t>Welsh Government</w:t>
      </w:r>
      <w:r w:rsidR="00C8312A">
        <w:t>,</w:t>
      </w:r>
      <w:r w:rsidR="00C8312A" w:rsidRPr="00C8312A">
        <w:t xml:space="preserve">2015c) </w:t>
      </w:r>
      <w:r>
        <w:t xml:space="preserve">In some contexts, play was misinterpreted as lacking educational value or structure, leading to tension between child-led exploration and the delivery of purposeful learning. Progression and transition, especially in Year 2, posed further challenges as concerns emerged about pupils’ readiness for the more formal expectations of Key Stage 2. Assessment practices also proved problematic. The </w:t>
      </w:r>
      <w:r>
        <w:lastRenderedPageBreak/>
        <w:t>Foundation Phase Profile lacked clear benchmarks, making it difficult to measure progress or ensure accountability effectively. Additionally, the burden of planning and evidencing learning was considerable for staff, many of whom called for more professional development</w:t>
      </w:r>
      <w:r w:rsidR="00843E8D">
        <w:t xml:space="preserve">, </w:t>
      </w:r>
      <w:r>
        <w:t>particularly in connecting play-based learning to curricular outcomes and assessment strategies.</w:t>
      </w:r>
      <w:r w:rsidR="00C8312A" w:rsidRPr="00C8312A">
        <w:t xml:space="preserve"> </w:t>
      </w:r>
      <w:r w:rsidR="00C8312A">
        <w:t>(</w:t>
      </w:r>
      <w:r w:rsidR="00C8312A" w:rsidRPr="00C8312A">
        <w:t>Macdonald,2018</w:t>
      </w:r>
      <w:r w:rsidR="00C8312A">
        <w:t>)</w:t>
      </w:r>
    </w:p>
    <w:p w14:paraId="0796DB29" w14:textId="77777777" w:rsidR="009B4A85" w:rsidRPr="001738DA" w:rsidRDefault="009B4A85" w:rsidP="009B4A85">
      <w:pPr>
        <w:rPr>
          <w:b/>
          <w:bCs/>
          <w:u w:val="single"/>
        </w:rPr>
      </w:pPr>
      <w:r w:rsidRPr="001738DA">
        <w:rPr>
          <w:b/>
          <w:bCs/>
          <w:u w:val="single"/>
        </w:rPr>
        <w:t>The Rationale for Change: The Donaldson Report and Successful Futures</w:t>
      </w:r>
    </w:p>
    <w:p w14:paraId="75896BAD" w14:textId="23C0D750" w:rsidR="009B4A85" w:rsidRDefault="00F3793B" w:rsidP="009B4A85">
      <w:r w:rsidRPr="00F3793B">
        <w:t>T</w:t>
      </w:r>
      <w:r w:rsidR="009B4A85">
        <w:t>he Welsh Government commissioned Professor Graham Donaldson to undertake a comprehensive curriculum review. His report, Successful Futures (2015), laid the foundation for the Curriculum for Wales. While recognising the achievements of the Foundation Phase</w:t>
      </w:r>
      <w:r w:rsidR="00843E8D">
        <w:t xml:space="preserve">, </w:t>
      </w:r>
      <w:r w:rsidR="009B4A85">
        <w:t>especially its focus on experiential, child-led learning</w:t>
      </w:r>
      <w:r w:rsidR="00843E8D">
        <w:t xml:space="preserve">, </w:t>
      </w:r>
      <w:r w:rsidR="009B4A85">
        <w:t>Donaldson also identified systemic issues that required reform:</w:t>
      </w:r>
    </w:p>
    <w:p w14:paraId="33F4B31A" w14:textId="77777777" w:rsidR="009B4A85" w:rsidRDefault="009B4A85" w:rsidP="009B4A85">
      <w:pPr>
        <w:pStyle w:val="ListParagraph"/>
        <w:numPr>
          <w:ilvl w:val="0"/>
          <w:numId w:val="10"/>
        </w:numPr>
      </w:pPr>
      <w:r>
        <w:t>Discontinuity between phases: The transition from the Foundation Phase to Key Stage 2 was abrupt, leading to pedagogical misalignment.</w:t>
      </w:r>
    </w:p>
    <w:p w14:paraId="68CF5E3B" w14:textId="77777777" w:rsidR="009B4A85" w:rsidRDefault="009B4A85" w:rsidP="009B4A85">
      <w:pPr>
        <w:pStyle w:val="ListParagraph"/>
        <w:numPr>
          <w:ilvl w:val="0"/>
          <w:numId w:val="10"/>
        </w:numPr>
      </w:pPr>
      <w:r>
        <w:t>Overloaded and prescriptive content: Teachers felt restricted by an overly detailed curriculum, leaving limited scope for creativity or deeper learning.</w:t>
      </w:r>
    </w:p>
    <w:p w14:paraId="1AE90FF0" w14:textId="158CFE09" w:rsidR="009B4A85" w:rsidRDefault="009B4A85" w:rsidP="009B4A85">
      <w:pPr>
        <w:pStyle w:val="ListParagraph"/>
        <w:numPr>
          <w:ilvl w:val="0"/>
          <w:numId w:val="10"/>
        </w:numPr>
      </w:pPr>
      <w:r>
        <w:t>Lack of a shared educational vision: The curriculum lacked a clearly articulated purpose.</w:t>
      </w:r>
      <w:r w:rsidR="00F3793B">
        <w:t xml:space="preserve"> (</w:t>
      </w:r>
      <w:r w:rsidR="00BD3E47">
        <w:t>Donaldson,2015)</w:t>
      </w:r>
    </w:p>
    <w:p w14:paraId="16427E64" w14:textId="50C087A9" w:rsidR="009B4A85" w:rsidRDefault="009B4A85" w:rsidP="009B4A85">
      <w:r>
        <w:t>To address these issues, Donaldson proposed a purpose-driven curriculum built around the Four Purposes: to develop learners who are ambitious and capable, enterprising and creative, ethical and informed, and healthy and confident. These principles would underpin all learning experiences from age 3 to 16, guiding curriculum design and pedagogy.</w:t>
      </w:r>
    </w:p>
    <w:p w14:paraId="5EC71BED" w14:textId="77777777" w:rsidR="00CC3F52" w:rsidRPr="00E9300A" w:rsidRDefault="00CC3F52" w:rsidP="00CC3F52">
      <w:pPr>
        <w:rPr>
          <w:b/>
          <w:bCs/>
          <w:u w:val="single"/>
        </w:rPr>
      </w:pPr>
      <w:r w:rsidRPr="00E9300A">
        <w:rPr>
          <w:b/>
          <w:bCs/>
          <w:u w:val="single"/>
        </w:rPr>
        <w:t>The Curriculum for Wales: A Systemic Redesign</w:t>
      </w:r>
    </w:p>
    <w:p w14:paraId="7399460C" w14:textId="72AF0CDF" w:rsidR="00CC3F52" w:rsidRPr="00CC3F52" w:rsidRDefault="001C4C86" w:rsidP="00CC3F52">
      <w:r w:rsidRPr="001C4C86">
        <w:t xml:space="preserve">The Curriculum for Wales, launched in 2022, marks a major shift from prescriptive, content-driven models to a flexible, purpose-led framework. Replacing the Foundation Phase (which covered ages 3–7), the </w:t>
      </w:r>
      <w:proofErr w:type="spellStart"/>
      <w:r w:rsidRPr="001C4C86">
        <w:t>CfW</w:t>
      </w:r>
      <w:proofErr w:type="spellEnd"/>
      <w:r w:rsidRPr="001C4C86">
        <w:t xml:space="preserve"> introduces a unified 3–16 continuum designed to support seamless learning across early years, primary, and secondary phases. Organised into six Areas of Learning and Experience (</w:t>
      </w:r>
      <w:proofErr w:type="spellStart"/>
      <w:r w:rsidRPr="001C4C86">
        <w:t>AoLEs</w:t>
      </w:r>
      <w:proofErr w:type="spellEnd"/>
      <w:r w:rsidRPr="001C4C86">
        <w:t>) and underpinned by cross-curricular skills</w:t>
      </w:r>
      <w:r>
        <w:t xml:space="preserve">, </w:t>
      </w:r>
      <w:r w:rsidRPr="001C4C86">
        <w:t>literacy, numeracy, and digital competence</w:t>
      </w:r>
      <w:r>
        <w:t xml:space="preserve">, </w:t>
      </w:r>
      <w:r w:rsidRPr="001C4C86">
        <w:t>it promotes interdisciplinary, holistic learning.</w:t>
      </w:r>
      <w:r w:rsidR="00A74697">
        <w:t>(No.7,nodate)</w:t>
      </w:r>
      <w:r w:rsidRPr="001C4C86">
        <w:t xml:space="preserve"> A key innovation is the use of flexible progression steps rather than fixed milestones, enabling schools to tailor education to their learners’ needs, local contexts, and cultural identities.</w:t>
      </w:r>
    </w:p>
    <w:p w14:paraId="5A212C79" w14:textId="77777777" w:rsidR="00CC3F52" w:rsidRPr="00CC3F52" w:rsidRDefault="00CC3F52" w:rsidP="00CC3F52">
      <w:pPr>
        <w:rPr>
          <w:u w:val="single"/>
        </w:rPr>
      </w:pPr>
      <w:r w:rsidRPr="00CC3F52">
        <w:rPr>
          <w:u w:val="single"/>
        </w:rPr>
        <w:t>The Role of Play in the Curriculum for Wales</w:t>
      </w:r>
    </w:p>
    <w:p w14:paraId="1E2431D6" w14:textId="1010FB09" w:rsidR="00C8312A" w:rsidRDefault="00C8312A" w:rsidP="00C8312A">
      <w:r>
        <w:t>Play remains a recognised and valued mode of learning in the early stages of the Curriculum for Wales (</w:t>
      </w:r>
      <w:proofErr w:type="spellStart"/>
      <w:r>
        <w:t>CfW</w:t>
      </w:r>
      <w:proofErr w:type="spellEnd"/>
      <w:r>
        <w:t xml:space="preserve">), with guidance such as the Curriculum for Funded Non-Maintained Nursery Settings highlighting its importance for young children’s exploration, creativity, and holistic development. However, unlike the Foundation Phase, where play was the central pedagogy, the </w:t>
      </w:r>
      <w:proofErr w:type="spellStart"/>
      <w:r>
        <w:t>CfW</w:t>
      </w:r>
      <w:proofErr w:type="spellEnd"/>
      <w:r>
        <w:t xml:space="preserve"> treats play as one of many strategies, leaving its use open to interpretation and reliant on individual schools and practitioners.</w:t>
      </w:r>
      <w:r w:rsidR="00F24985">
        <w:t>(Welsh Government</w:t>
      </w:r>
      <w:r w:rsidR="00001394">
        <w:t>,</w:t>
      </w:r>
      <w:r w:rsidR="00F24985">
        <w:t>2023</w:t>
      </w:r>
      <w:r w:rsidR="00001394">
        <w:t xml:space="preserve">) </w:t>
      </w:r>
      <w:r>
        <w:t>This flexibility allows for innovation but also risks inconsistencies in how play is embedded, particularly as children progress into later stages where formal assessment pressures increase. Without a statutory emphasis, play could become marginalised unless actively championed. To ensure its continued relevance, educators need strong professional development, clear leadership, and a shared commitment to recognising play as a powerful approach to learning, not just in the early years, but throughout the entire 3–16</w:t>
      </w:r>
      <w:r w:rsidRPr="00001394">
        <w:rPr>
          <w:color w:val="FFC000"/>
        </w:rPr>
        <w:t xml:space="preserve"> </w:t>
      </w:r>
      <w:r w:rsidRPr="00052C19">
        <w:t>continuum.</w:t>
      </w:r>
      <w:r w:rsidR="000212CA" w:rsidRPr="00052C19">
        <w:t>(</w:t>
      </w:r>
      <w:proofErr w:type="spellStart"/>
      <w:r w:rsidR="00052C19" w:rsidRPr="00052C19">
        <w:t>Play.Wales</w:t>
      </w:r>
      <w:proofErr w:type="spellEnd"/>
      <w:r w:rsidR="00052C19" w:rsidRPr="00052C19">
        <w:t xml:space="preserve">, </w:t>
      </w:r>
      <w:proofErr w:type="spellStart"/>
      <w:r w:rsidR="00052C19" w:rsidRPr="00052C19">
        <w:t>NoDate</w:t>
      </w:r>
      <w:proofErr w:type="spellEnd"/>
      <w:r w:rsidR="00052C19" w:rsidRPr="00052C19">
        <w:t>)</w:t>
      </w:r>
    </w:p>
    <w:p w14:paraId="0A2DEAE2" w14:textId="2D43D3E1" w:rsidR="00894037" w:rsidRPr="00052C19" w:rsidRDefault="00894037" w:rsidP="00C8312A">
      <w:pPr>
        <w:rPr>
          <w:color w:val="EE0000"/>
        </w:rPr>
      </w:pPr>
      <w:r w:rsidRPr="00663C01">
        <w:rPr>
          <w:b/>
          <w:bCs/>
          <w:u w:val="single"/>
        </w:rPr>
        <w:lastRenderedPageBreak/>
        <w:t>Comparing the Curricula: Key Similarities and Differences</w:t>
      </w:r>
    </w:p>
    <w:p w14:paraId="1E98A377" w14:textId="77777777" w:rsidR="00894037" w:rsidRPr="00894037" w:rsidRDefault="00894037" w:rsidP="00894037">
      <w:pPr>
        <w:rPr>
          <w:b/>
          <w:bCs/>
          <w:u w:val="single"/>
        </w:rPr>
      </w:pPr>
    </w:p>
    <w:p w14:paraId="60C3CB05" w14:textId="77777777" w:rsidR="00894037" w:rsidRPr="00894037" w:rsidRDefault="00894037" w:rsidP="00894037">
      <w:pPr>
        <w:rPr>
          <w:b/>
          <w:bCs/>
          <w:u w:val="single"/>
        </w:rPr>
      </w:pPr>
      <w:r w:rsidRPr="00894037">
        <w:rPr>
          <w:b/>
          <w:bCs/>
          <w:u w:val="single"/>
        </w:rPr>
        <w:t>Pedagogical Approach</w:t>
      </w:r>
    </w:p>
    <w:p w14:paraId="1444AD43" w14:textId="0E23E553" w:rsidR="00894037" w:rsidRPr="00894037" w:rsidRDefault="00894037" w:rsidP="00894037">
      <w:r w:rsidRPr="00894037">
        <w:t xml:space="preserve">Both the Foundation Phase (FP) </w:t>
      </w:r>
      <w:r w:rsidRPr="0086691C">
        <w:t>and</w:t>
      </w:r>
      <w:r w:rsidRPr="00894037">
        <w:t xml:space="preserve"> the Curriculum for Wales (</w:t>
      </w:r>
      <w:proofErr w:type="spellStart"/>
      <w:r w:rsidRPr="00894037">
        <w:t>CfW</w:t>
      </w:r>
      <w:proofErr w:type="spellEnd"/>
      <w:r w:rsidRPr="00894037">
        <w:t xml:space="preserve">) are grounded in a commitment to child-centred, experiential learning. They reject traditional didactic models in favour of active engagement, recognising that children learn best when they are emotionally invested, physically involved, and intellectually curious. However, there is a fundamental difference in how each curriculum envisions the role of play. The FP explicitly positioned play as the dominant mode of learning for children aged 3–7, embedding it as a statutory expectation across all areas of learning. </w:t>
      </w:r>
      <w:r w:rsidR="00663C01" w:rsidRPr="00663C01">
        <w:t>(Siraj-Blatchford et al., 2002b)</w:t>
      </w:r>
      <w:r w:rsidR="00663C01">
        <w:t xml:space="preserve"> </w:t>
      </w:r>
      <w:r w:rsidRPr="00894037">
        <w:t>Play was not only accepted but required, supporting a developmental approach that aligned with contemporary early childhood research.</w:t>
      </w:r>
      <w:r>
        <w:t xml:space="preserve"> </w:t>
      </w:r>
      <w:r w:rsidRPr="00894037">
        <w:t xml:space="preserve">In contrast, the </w:t>
      </w:r>
      <w:proofErr w:type="spellStart"/>
      <w:r w:rsidRPr="00894037">
        <w:t>CfW</w:t>
      </w:r>
      <w:proofErr w:type="spellEnd"/>
      <w:r w:rsidRPr="00894037">
        <w:t xml:space="preserve"> adopts a broader pedagogical stance. It acknowledges play as a valid and valuable learning method, particularly for younger learners at the earlier progression steps, but does not enshrine it as the core pedagogy. Instead, the </w:t>
      </w:r>
      <w:proofErr w:type="spellStart"/>
      <w:r w:rsidRPr="00894037">
        <w:t>CfW</w:t>
      </w:r>
      <w:proofErr w:type="spellEnd"/>
      <w:r w:rsidRPr="00894037">
        <w:t xml:space="preserve"> promotes a diverse range of strategies, allowing educators to select approaches based on their learners' needs, contexts, and interests. This shift reflects an effort to create greater alignment across the full 3–16 continuum, but it also risks diminishing the visibility and status of play</w:t>
      </w:r>
      <w:r w:rsidR="00055E18">
        <w:t xml:space="preserve">, </w:t>
      </w:r>
      <w:r w:rsidRPr="00894037">
        <w:t>especially as children advance through the primary years and beyond.</w:t>
      </w:r>
      <w:r w:rsidR="00663C01" w:rsidRPr="00663C01">
        <w:t xml:space="preserve"> </w:t>
      </w:r>
      <w:r w:rsidR="00663C01">
        <w:t>(</w:t>
      </w:r>
      <w:r w:rsidR="00663C01" w:rsidRPr="00663C01">
        <w:t>Waters and Payler, 2015</w:t>
      </w:r>
      <w:r w:rsidR="00663C01">
        <w:t>)</w:t>
      </w:r>
    </w:p>
    <w:p w14:paraId="29B7B251" w14:textId="77777777" w:rsidR="00894037" w:rsidRPr="00894037" w:rsidRDefault="00894037" w:rsidP="00894037">
      <w:pPr>
        <w:rPr>
          <w:b/>
          <w:bCs/>
          <w:u w:val="single"/>
        </w:rPr>
      </w:pPr>
      <w:r w:rsidRPr="00894037">
        <w:rPr>
          <w:b/>
          <w:bCs/>
          <w:u w:val="single"/>
        </w:rPr>
        <w:t xml:space="preserve">Structure and </w:t>
      </w:r>
      <w:r w:rsidRPr="00F759AA">
        <w:rPr>
          <w:b/>
          <w:bCs/>
          <w:u w:val="single"/>
        </w:rPr>
        <w:t>Flexibility</w:t>
      </w:r>
    </w:p>
    <w:p w14:paraId="681946BF" w14:textId="35BFAFD9" w:rsidR="00894037" w:rsidRPr="00894037" w:rsidRDefault="00894037" w:rsidP="00894037">
      <w:r w:rsidRPr="00894037">
        <w:t>Structurally, the FP offered a relatively clear framework, organised into seven Areas of Learning, with specific outcomes and guidance to support implementation. While there was scope for local adaptation, the FP provided a more uniform vision of early years practice across Wales. This consistency helped to embed play-based learning more widely but could also lead to a “one size fits all” approach that occasionally failed to reflect the unique contexts of different communities or individual children</w:t>
      </w:r>
      <w:r>
        <w:t xml:space="preserve">. </w:t>
      </w:r>
      <w:r w:rsidR="000137D1">
        <w:t>(</w:t>
      </w:r>
      <w:r w:rsidR="00693171">
        <w:t xml:space="preserve">House of Commons, 2024) </w:t>
      </w:r>
      <w:r w:rsidRPr="00894037">
        <w:t xml:space="preserve">The </w:t>
      </w:r>
      <w:proofErr w:type="spellStart"/>
      <w:r w:rsidRPr="00894037">
        <w:t>CfW</w:t>
      </w:r>
      <w:proofErr w:type="spellEnd"/>
      <w:r w:rsidRPr="00894037">
        <w:t xml:space="preserve">, by contrast, represents a significant departure in terms of autonomy. It entrusts schools with the responsibility to co-construct their own curricula within the overarching structure of six </w:t>
      </w:r>
      <w:proofErr w:type="spellStart"/>
      <w:r w:rsidRPr="00894037">
        <w:t>AoLEs</w:t>
      </w:r>
      <w:proofErr w:type="spellEnd"/>
      <w:r w:rsidRPr="00894037">
        <w:t xml:space="preserve"> and the Four Purposes. Schools are expected to design learning experiences that reflect local priorities, learner profiles, and developmental trajectories. This marks a philosophical shift toward system-wide decentralisation and professional trust. While this greater flexibility enables innovation, creativity, and responsiveness to local needs, it also creates variability in how core pedagogical principles</w:t>
      </w:r>
      <w:r w:rsidR="00055E18">
        <w:t>, s</w:t>
      </w:r>
      <w:r w:rsidRPr="00894037">
        <w:t>uch as play</w:t>
      </w:r>
      <w:r w:rsidR="00055E18">
        <w:t xml:space="preserve">, </w:t>
      </w:r>
      <w:r w:rsidR="0081314C">
        <w:t xml:space="preserve"> </w:t>
      </w:r>
      <w:r w:rsidRPr="00894037">
        <w:t>are interpreted and enacted. Without clear statutory direction, the implementation of play-based approaches is increasingly reliant on individual school ethos and leadership priorities.</w:t>
      </w:r>
      <w:r w:rsidR="00E73B6D">
        <w:t>(Softvence</w:t>
      </w:r>
      <w:r w:rsidR="00F759AA">
        <w:t>omega,2025)</w:t>
      </w:r>
    </w:p>
    <w:p w14:paraId="11F0426C" w14:textId="77777777" w:rsidR="00C8312A" w:rsidRDefault="00C8312A" w:rsidP="00894037">
      <w:pPr>
        <w:rPr>
          <w:b/>
          <w:bCs/>
          <w:u w:val="single"/>
        </w:rPr>
      </w:pPr>
    </w:p>
    <w:p w14:paraId="2CBBFB28" w14:textId="70E4BB3F" w:rsidR="00894037" w:rsidRPr="00A04EF6" w:rsidRDefault="00894037" w:rsidP="00894037">
      <w:pPr>
        <w:rPr>
          <w:b/>
          <w:bCs/>
          <w:u w:val="single"/>
        </w:rPr>
      </w:pPr>
      <w:r w:rsidRPr="00A04EF6">
        <w:rPr>
          <w:b/>
          <w:bCs/>
          <w:u w:val="single"/>
        </w:rPr>
        <w:t>Assessment and Progression</w:t>
      </w:r>
    </w:p>
    <w:p w14:paraId="6A82F254" w14:textId="70CC3479" w:rsidR="00894037" w:rsidRPr="00894037" w:rsidRDefault="00894037" w:rsidP="00894037">
      <w:r w:rsidRPr="00894037">
        <w:t>Assessment has long been a complex issue in early years education, and both curricula have grappled with how best to monitor and support learner development without undermining the holistic nature of play-based learning. The FP relied heavily on observational assessment and broad developmental outcomes. While this aligned well with a child-led ethos, it sometimes lacked clarity and consistency, making it difficult to measure progress reliably or demonstrate accountability in ways that satisfied policymakers and inspectors.</w:t>
      </w:r>
      <w:r w:rsidR="00E63F6C" w:rsidRPr="00E63F6C">
        <w:t xml:space="preserve"> </w:t>
      </w:r>
      <w:r w:rsidR="00E63F6C">
        <w:t>(House of Commons, 2024)</w:t>
      </w:r>
    </w:p>
    <w:p w14:paraId="51463E53" w14:textId="61136E17" w:rsidR="00894037" w:rsidRPr="00C8312A" w:rsidRDefault="00894037" w:rsidP="009B4A85">
      <w:r w:rsidRPr="00894037">
        <w:lastRenderedPageBreak/>
        <w:t xml:space="preserve">The </w:t>
      </w:r>
      <w:proofErr w:type="spellStart"/>
      <w:r w:rsidRPr="00894037">
        <w:t>CfW</w:t>
      </w:r>
      <w:proofErr w:type="spellEnd"/>
      <w:r w:rsidRPr="00894037">
        <w:t xml:space="preserve"> attempts to address these concerns through the introduction of progression steps</w:t>
      </w:r>
      <w:r w:rsidR="00055E18">
        <w:t xml:space="preserve">, </w:t>
      </w:r>
      <w:r w:rsidRPr="00894037">
        <w:t>flexible developmental milestones that describe what learners should be able to do at broadly expected points (age</w:t>
      </w:r>
      <w:r w:rsidR="002641DA">
        <w:t xml:space="preserve"> ranges between</w:t>
      </w:r>
      <w:r w:rsidRPr="00894037">
        <w:t xml:space="preserve"> 5</w:t>
      </w:r>
      <w:r w:rsidR="002641DA">
        <w:t xml:space="preserve"> to </w:t>
      </w:r>
      <w:r w:rsidRPr="00894037">
        <w:t>16). These are designed to support continuous progression, rather than age-based standardisation, and emphasise depth of understanding over coverage. However, questions remain about how well these steps accommodate the nonlinear, often unpredictable nature of learning through play. There is a risk that attempts to formalise progress tracking</w:t>
      </w:r>
      <w:r w:rsidR="00055E18">
        <w:t xml:space="preserve">, </w:t>
      </w:r>
      <w:r w:rsidRPr="00894037">
        <w:t>especially if linked to external accountability measures</w:t>
      </w:r>
      <w:r w:rsidR="00055E18">
        <w:t xml:space="preserve">, </w:t>
      </w:r>
      <w:r w:rsidRPr="00894037">
        <w:t>could lead to a resurgence of more traditional, measurable forms of assessment, which might disincentivise genuinely play-based practice.</w:t>
      </w:r>
      <w:r w:rsidR="00E63F6C" w:rsidRPr="00E63F6C">
        <w:t xml:space="preserve"> </w:t>
      </w:r>
      <w:r w:rsidR="00E63F6C" w:rsidRPr="00663C01">
        <w:t>(Siraj-Blatchford et al., 2002b)</w:t>
      </w:r>
    </w:p>
    <w:p w14:paraId="36DA717A" w14:textId="45A7CBE7" w:rsidR="009B4A85" w:rsidRPr="009B4A85" w:rsidRDefault="009B4A85" w:rsidP="009B4A85">
      <w:pPr>
        <w:rPr>
          <w:b/>
          <w:bCs/>
          <w:u w:val="single"/>
        </w:rPr>
      </w:pPr>
      <w:r w:rsidRPr="009B4A85">
        <w:rPr>
          <w:b/>
          <w:bCs/>
          <w:u w:val="single"/>
        </w:rPr>
        <w:t>Strengths and Challenges of the Curriculum for Wales</w:t>
      </w:r>
    </w:p>
    <w:p w14:paraId="69FBE958" w14:textId="336DC886" w:rsidR="009B4A85" w:rsidRDefault="009B4A85" w:rsidP="009B4A85">
      <w:r>
        <w:t xml:space="preserve">Among the key strengths of the </w:t>
      </w:r>
      <w:proofErr w:type="spellStart"/>
      <w:r>
        <w:t>CfW</w:t>
      </w:r>
      <w:proofErr w:type="spellEnd"/>
      <w:r>
        <w:t xml:space="preserve"> is its emphasis on continuity and coherence across the entire 3–16 age range. This structural unity addresses long-standing issues of disjointed transitions between educational phases. Another notable strength is the professional empowerment it affords teachers, granting them the freedom to design curricula responsive to their learners' needs and contexts. This autonomy enhances engagement and relevance in classroom practice. The </w:t>
      </w:r>
      <w:proofErr w:type="spellStart"/>
      <w:r>
        <w:t>CfW’s</w:t>
      </w:r>
      <w:proofErr w:type="spellEnd"/>
      <w:r>
        <w:t xml:space="preserve"> grounding in the Four Purposes offers a compelling vision for education</w:t>
      </w:r>
      <w:r w:rsidR="00843E8D">
        <w:t xml:space="preserve">, </w:t>
      </w:r>
      <w:r>
        <w:t xml:space="preserve">one that promotes creativity, ethical awareness, and resilience alongside academic achievement. This aligns well with the foundational principles of play-based learning. </w:t>
      </w:r>
      <w:r w:rsidR="00EF6953">
        <w:t>(</w:t>
      </w:r>
      <w:proofErr w:type="spellStart"/>
      <w:r w:rsidR="00A04EF6">
        <w:t>GOV.WALES,NoDate</w:t>
      </w:r>
      <w:proofErr w:type="spellEnd"/>
      <w:r w:rsidR="00A04EF6">
        <w:t xml:space="preserve">) </w:t>
      </w:r>
      <w:r>
        <w:t xml:space="preserve">Furthermore, the </w:t>
      </w:r>
      <w:proofErr w:type="spellStart"/>
      <w:r>
        <w:t>CfW</w:t>
      </w:r>
      <w:proofErr w:type="spellEnd"/>
      <w:r>
        <w:t xml:space="preserve"> creates opportunities to extend exploratory, inquiry-based approaches beyond the early years, potentially fostering deeper engagement and critical thinking throughout schooling.</w:t>
      </w:r>
    </w:p>
    <w:p w14:paraId="4A7786E3" w14:textId="6CF61D6C" w:rsidR="009B4A85" w:rsidRDefault="009B4A85" w:rsidP="009B4A85">
      <w:r w:rsidRPr="006B2A80">
        <w:t>Despite these advantages, the curriculum also presents challenges. A major concern is inconsistency. The broad flexibility afforded to schools may lead to significant variation in practice, particularly in how play-based approaches are maintained beyond the early years. Without clear mandates, there is a risk that play could be deprioritised in favour of more formal, outcomes-driven teaching</w:t>
      </w:r>
      <w:r w:rsidR="00843E8D" w:rsidRPr="006B2A80">
        <w:t xml:space="preserve">, </w:t>
      </w:r>
      <w:r w:rsidRPr="006B2A80">
        <w:t xml:space="preserve">especially under external accountability pressures. Successful implementation of the </w:t>
      </w:r>
      <w:proofErr w:type="spellStart"/>
      <w:r w:rsidRPr="006B2A80">
        <w:t>CfW</w:t>
      </w:r>
      <w:proofErr w:type="spellEnd"/>
      <w:r w:rsidRPr="006B2A80">
        <w:t xml:space="preserve"> hinges on comprehensive professional development. Teachers require sustained training in curriculum design, child development, and the integration of play-based methods to deliver on the curriculum’s ambitions. Lastly, aligning assessment practices with experiential, play-based learning remains a complex task. It is essential to develop meaningful assessment strategies that capture the depth of learning without diminishing the pedagogical value of play.</w:t>
      </w:r>
      <w:r w:rsidR="002C4072">
        <w:t>(</w:t>
      </w:r>
      <w:r w:rsidR="00C67CA0" w:rsidRPr="00C67CA0">
        <w:t xml:space="preserve">BERA, </w:t>
      </w:r>
      <w:proofErr w:type="spellStart"/>
      <w:r w:rsidR="00C67CA0" w:rsidRPr="00C67CA0">
        <w:t>NoDate</w:t>
      </w:r>
      <w:proofErr w:type="spellEnd"/>
      <w:r w:rsidR="00C67CA0" w:rsidRPr="00C67CA0">
        <w:t>)</w:t>
      </w:r>
    </w:p>
    <w:p w14:paraId="667E9152" w14:textId="77777777" w:rsidR="009B4A85" w:rsidRDefault="009B4A85" w:rsidP="009B4A85"/>
    <w:p w14:paraId="2099F558" w14:textId="77777777" w:rsidR="009B4A85" w:rsidRPr="009B4A85" w:rsidRDefault="009B4A85" w:rsidP="009B4A85">
      <w:pPr>
        <w:rPr>
          <w:b/>
          <w:bCs/>
          <w:u w:val="single"/>
        </w:rPr>
      </w:pPr>
      <w:r w:rsidRPr="009B4A85">
        <w:rPr>
          <w:b/>
          <w:bCs/>
          <w:u w:val="single"/>
        </w:rPr>
        <w:t>Conclusion</w:t>
      </w:r>
    </w:p>
    <w:p w14:paraId="044653E6" w14:textId="71C10D19" w:rsidR="007C4F28" w:rsidRDefault="009B4A85" w:rsidP="00FE6D88">
      <w:r>
        <w:t>The transition from the Foundation Phase to the Curriculum for Wales (</w:t>
      </w:r>
      <w:proofErr w:type="spellStart"/>
      <w:r>
        <w:t>CfW</w:t>
      </w:r>
      <w:proofErr w:type="spellEnd"/>
      <w:r>
        <w:t xml:space="preserve">) signifies a substantial shift in both educational philosophy and structural design. While the FP played a critical role in embedding play as a core pedagogical approach, it faced challenges related to consistency, progression, and assessment. The </w:t>
      </w:r>
      <w:proofErr w:type="spellStart"/>
      <w:r>
        <w:t>CfW</w:t>
      </w:r>
      <w:proofErr w:type="spellEnd"/>
      <w:r>
        <w:t xml:space="preserve"> builds upon many of the FP’s strengths, particularly its emphasis on child-centred and experiential learning, but reframes them within a more expansive and purpose-led framework. Play-based learning continues to hold value within the new curriculum, particularly in early education, but its sustained relevance depends on how schools choose to implement and interpret the </w:t>
      </w:r>
      <w:proofErr w:type="spellStart"/>
      <w:r>
        <w:t>CfW</w:t>
      </w:r>
      <w:proofErr w:type="spellEnd"/>
      <w:r>
        <w:t>. The curriculum’s flexibility is both an asset and a challenge</w:t>
      </w:r>
      <w:r w:rsidR="00A50DFE">
        <w:t xml:space="preserve">, </w:t>
      </w:r>
      <w:r>
        <w:t xml:space="preserve">it allows for innovation but requires significant professional expertise and leadership to realise its full potential. Ultimately, the success of play-based pedagogy in Wales </w:t>
      </w:r>
      <w:r>
        <w:lastRenderedPageBreak/>
        <w:t>will rest on the support provided to practitioners and their ability to keep play at the heart of meaningful, developmentally appropriate learning.</w:t>
      </w:r>
    </w:p>
    <w:p w14:paraId="251399A3" w14:textId="77777777" w:rsidR="009B4A85" w:rsidRPr="00F832D7" w:rsidRDefault="009B4A85" w:rsidP="00FE6D88">
      <w:pPr>
        <w:rPr>
          <w:color w:val="000000" w:themeColor="text1"/>
        </w:rPr>
      </w:pPr>
    </w:p>
    <w:p w14:paraId="3112FB72" w14:textId="7B5FEB4E" w:rsidR="007C4F28" w:rsidRPr="00F832D7" w:rsidRDefault="007C4F28" w:rsidP="007C4F28">
      <w:pPr>
        <w:pStyle w:val="ListParagraph"/>
        <w:numPr>
          <w:ilvl w:val="0"/>
          <w:numId w:val="8"/>
        </w:numPr>
        <w:rPr>
          <w:color w:val="000000" w:themeColor="text1"/>
        </w:rPr>
      </w:pPr>
      <w:r w:rsidRPr="00F832D7">
        <w:rPr>
          <w:color w:val="000000" w:themeColor="text1"/>
        </w:rPr>
        <w:t xml:space="preserve">Considering the concept of the ‘Unique Child’ , critically evaluate methods of assessment, progress tracking age </w:t>
      </w:r>
      <w:r w:rsidR="00C06807" w:rsidRPr="00F832D7">
        <w:rPr>
          <w:color w:val="000000" w:themeColor="text1"/>
        </w:rPr>
        <w:t xml:space="preserve">and </w:t>
      </w:r>
      <w:r w:rsidRPr="00F832D7">
        <w:rPr>
          <w:color w:val="000000" w:themeColor="text1"/>
        </w:rPr>
        <w:t>stage related development models</w:t>
      </w:r>
      <w:r w:rsidR="00C06807" w:rsidRPr="00F832D7">
        <w:rPr>
          <w:color w:val="000000" w:themeColor="text1"/>
        </w:rPr>
        <w:t xml:space="preserve"> and assessments</w:t>
      </w:r>
      <w:r w:rsidRPr="00F832D7">
        <w:rPr>
          <w:color w:val="000000" w:themeColor="text1"/>
        </w:rPr>
        <w:t xml:space="preserve"> within </w:t>
      </w:r>
      <w:r w:rsidR="00C06807" w:rsidRPr="00F832D7">
        <w:rPr>
          <w:color w:val="000000" w:themeColor="text1"/>
        </w:rPr>
        <w:t>early years</w:t>
      </w:r>
      <w:r w:rsidRPr="00F832D7">
        <w:rPr>
          <w:color w:val="000000" w:themeColor="text1"/>
        </w:rPr>
        <w:t xml:space="preserve"> curricula.</w:t>
      </w:r>
    </w:p>
    <w:p w14:paraId="36197E02" w14:textId="77777777" w:rsidR="007C4F28" w:rsidRPr="00F832D7" w:rsidRDefault="007C4F28" w:rsidP="007C4F28">
      <w:pPr>
        <w:ind w:left="360"/>
        <w:rPr>
          <w:color w:val="000000" w:themeColor="text1"/>
        </w:rPr>
      </w:pPr>
    </w:p>
    <w:p w14:paraId="319C9F12" w14:textId="190D5F70" w:rsidR="00FE6D88" w:rsidRPr="00170B41" w:rsidRDefault="00FE6D88" w:rsidP="00FE6D88">
      <w:pPr>
        <w:rPr>
          <w:b/>
          <w:bCs/>
        </w:rPr>
      </w:pPr>
      <w:r w:rsidRPr="00170B41">
        <w:rPr>
          <w:b/>
          <w:bCs/>
        </w:rPr>
        <w:t>Introduction</w:t>
      </w:r>
    </w:p>
    <w:p w14:paraId="706A2182" w14:textId="5E3CD98C" w:rsidR="00FE6D88" w:rsidRPr="00F832D7" w:rsidRDefault="00FE6D88" w:rsidP="00FE6D88">
      <w:pPr>
        <w:rPr>
          <w:color w:val="000000" w:themeColor="text1"/>
        </w:rPr>
      </w:pPr>
      <w:r w:rsidRPr="00F832D7">
        <w:rPr>
          <w:color w:val="000000" w:themeColor="text1"/>
        </w:rPr>
        <w:t xml:space="preserve">The principle of the ‘Unique Child’ is a foundational concept in contemporary early childhood education frameworks, notably within the UK's Early Years Foundation Stage (EYFS). It emphasizes that every child is an individual with distinct needs, interests, abilities, and learning paths. In the context of play-based curricula, which prioritize experiential and child-led learning, the challenge lies in designing assessment and developmental tracking systems that </w:t>
      </w:r>
      <w:r w:rsidR="00C8312A" w:rsidRPr="00F832D7">
        <w:rPr>
          <w:color w:val="000000" w:themeColor="text1"/>
        </w:rPr>
        <w:t>honour</w:t>
      </w:r>
      <w:r w:rsidRPr="00F832D7">
        <w:rPr>
          <w:color w:val="000000" w:themeColor="text1"/>
        </w:rPr>
        <w:t xml:space="preserve"> this individuality without imposing rigid, normative benchmarks.</w:t>
      </w:r>
    </w:p>
    <w:p w14:paraId="03FF8FBF" w14:textId="6586C345" w:rsidR="00FE6D88" w:rsidRPr="00F832D7" w:rsidRDefault="00FE6D88" w:rsidP="00FE6D88">
      <w:pPr>
        <w:rPr>
          <w:color w:val="000000" w:themeColor="text1"/>
        </w:rPr>
      </w:pPr>
      <w:r w:rsidRPr="00F832D7">
        <w:rPr>
          <w:color w:val="000000" w:themeColor="text1"/>
        </w:rPr>
        <w:t>This essay critically evaluates the methods of assessment, progress tracking, and developmental models used within play-based learning environments through the lens of the ‘Unique Child’. It explores how different systems accommodate (or fail to accommodate) the variability in children’s development, and how educators can align their practices to nurture the holistic growth of each learner.</w:t>
      </w:r>
      <w:r w:rsidR="00170B41" w:rsidRPr="00170B41">
        <w:t xml:space="preserve"> </w:t>
      </w:r>
      <w:r w:rsidR="00170B41">
        <w:t>(</w:t>
      </w:r>
      <w:r w:rsidR="00170B41" w:rsidRPr="00170B41">
        <w:t>Schwartz and Unger, 2010).</w:t>
      </w:r>
    </w:p>
    <w:p w14:paraId="7E3A3766" w14:textId="77777777" w:rsidR="00FE6D88" w:rsidRPr="00F832D7" w:rsidRDefault="00FE6D88" w:rsidP="00FE6D88">
      <w:pPr>
        <w:rPr>
          <w:b/>
          <w:bCs/>
          <w:color w:val="000000" w:themeColor="text1"/>
        </w:rPr>
      </w:pPr>
      <w:r w:rsidRPr="00F832D7">
        <w:rPr>
          <w:b/>
          <w:bCs/>
          <w:color w:val="000000" w:themeColor="text1"/>
        </w:rPr>
        <w:t xml:space="preserve">Understanding the ‘Unique </w:t>
      </w:r>
      <w:r w:rsidRPr="00170B41">
        <w:rPr>
          <w:b/>
          <w:bCs/>
        </w:rPr>
        <w:t>Child’</w:t>
      </w:r>
    </w:p>
    <w:p w14:paraId="44F6BB92" w14:textId="0B2859C1" w:rsidR="00FE6D88" w:rsidRPr="00F832D7" w:rsidRDefault="00FE6D88" w:rsidP="00FE6D88">
      <w:pPr>
        <w:rPr>
          <w:color w:val="000000" w:themeColor="text1"/>
        </w:rPr>
      </w:pPr>
      <w:r w:rsidRPr="00F832D7">
        <w:rPr>
          <w:color w:val="000000" w:themeColor="text1"/>
        </w:rPr>
        <w:t>The concept of the ‘Unique Child’ is embedded in developmentalist theories such as those of Piaget, Vygotsky, and Bronfenbrenner, which recognize that learning is influenced by biological, social, cultural, and emotional factors. Children do not develop in a linear fashion; rather, they progress through a dynamic and interrelated set of experiences.</w:t>
      </w:r>
    </w:p>
    <w:p w14:paraId="71274ECC" w14:textId="2C9A1C03" w:rsidR="00FE6D88" w:rsidRPr="00F832D7" w:rsidRDefault="00FE6D88" w:rsidP="00FE6D88">
      <w:pPr>
        <w:rPr>
          <w:color w:val="000000" w:themeColor="text1"/>
        </w:rPr>
      </w:pPr>
      <w:r w:rsidRPr="00F832D7">
        <w:rPr>
          <w:color w:val="000000" w:themeColor="text1"/>
        </w:rPr>
        <w:t>Within the EYFS, this idea encourages educators to observe and respond to children’s interests and progress, rather than rely solely on age-based expectations. This principle is closely aligned with play-based learning, which relies on open-ended, child-initiated exploration rather than predetermined outcomes.</w:t>
      </w:r>
      <w:r w:rsidR="00E1786E">
        <w:rPr>
          <w:color w:val="000000" w:themeColor="text1"/>
        </w:rPr>
        <w:t>(Early Years Coali</w:t>
      </w:r>
      <w:r w:rsidR="00E920A6">
        <w:rPr>
          <w:color w:val="000000" w:themeColor="text1"/>
        </w:rPr>
        <w:t>tion, 2021)</w:t>
      </w:r>
    </w:p>
    <w:p w14:paraId="0C06CDDE" w14:textId="77777777" w:rsidR="00FE6D88" w:rsidRPr="00F832D7" w:rsidRDefault="00FE6D88" w:rsidP="00FE6D88">
      <w:pPr>
        <w:rPr>
          <w:b/>
          <w:bCs/>
          <w:color w:val="000000" w:themeColor="text1"/>
        </w:rPr>
      </w:pPr>
      <w:r w:rsidRPr="00F832D7">
        <w:rPr>
          <w:b/>
          <w:bCs/>
          <w:color w:val="000000" w:themeColor="text1"/>
        </w:rPr>
        <w:t>Assessment Methods in Play-Based Curricula</w:t>
      </w:r>
    </w:p>
    <w:p w14:paraId="3561C006" w14:textId="17E371B0" w:rsidR="00FE6D88" w:rsidRPr="00F832D7" w:rsidRDefault="00FE6D88" w:rsidP="00FE6D88">
      <w:pPr>
        <w:rPr>
          <w:color w:val="000000" w:themeColor="text1"/>
        </w:rPr>
      </w:pPr>
      <w:r w:rsidRPr="00F832D7">
        <w:rPr>
          <w:color w:val="000000" w:themeColor="text1"/>
        </w:rPr>
        <w:t>Assessment in play-based settings must be formative, flexible, and holistic, focusing on understanding the learning process rather than just outcomes. Common methods include:</w:t>
      </w:r>
    </w:p>
    <w:p w14:paraId="5EB4A8A4" w14:textId="77777777" w:rsidR="00AE212C" w:rsidRPr="00F832D7" w:rsidRDefault="00FE6D88" w:rsidP="00AE212C">
      <w:pPr>
        <w:rPr>
          <w:b/>
          <w:bCs/>
          <w:color w:val="000000" w:themeColor="text1"/>
          <w:u w:val="single"/>
        </w:rPr>
      </w:pPr>
      <w:r w:rsidRPr="00F832D7">
        <w:rPr>
          <w:color w:val="000000" w:themeColor="text1"/>
        </w:rPr>
        <w:t xml:space="preserve">1. </w:t>
      </w:r>
      <w:r w:rsidR="00AE212C" w:rsidRPr="00F832D7">
        <w:rPr>
          <w:b/>
          <w:bCs/>
          <w:color w:val="000000" w:themeColor="text1"/>
          <w:u w:val="single"/>
        </w:rPr>
        <w:t>Observational Assessment</w:t>
      </w:r>
    </w:p>
    <w:p w14:paraId="753C32CB" w14:textId="547E3FDD" w:rsidR="006069EA" w:rsidRPr="00967D22" w:rsidRDefault="00AE212C" w:rsidP="00AE212C">
      <w:pPr>
        <w:rPr>
          <w:color w:val="000000" w:themeColor="text1"/>
        </w:rPr>
      </w:pPr>
      <w:r w:rsidRPr="00F832D7">
        <w:rPr>
          <w:color w:val="000000" w:themeColor="text1"/>
        </w:rPr>
        <w:t xml:space="preserve">Observational assessment involves teachers documenting children’s play, interactions, and problem-solving using methods such as anecdotal notes, video or audio recordings, and learning journals. This approach allows practitioners to gain nuanced insights into how each child learns, responds to their environment, and interacts with others. It supports a strengths-based view of development, highlighting children’s competencies and capabilities rather than focusing solely on deficits or delays. Furthermore, it captures spontaneous and authentic learning moments that might otherwise be missed in more formal assessments. However, observational assessment can be time-consuming and subject to practitioner bias. </w:t>
      </w:r>
      <w:r w:rsidR="00170B41">
        <w:rPr>
          <w:color w:val="000000" w:themeColor="text1"/>
        </w:rPr>
        <w:t>(</w:t>
      </w:r>
      <w:r w:rsidR="00170B41" w:rsidRPr="00170B41">
        <w:rPr>
          <w:color w:val="000000" w:themeColor="text1"/>
        </w:rPr>
        <w:t xml:space="preserve">Waldron and McLeskey, 2010). </w:t>
      </w:r>
      <w:r w:rsidRPr="00F832D7">
        <w:rPr>
          <w:color w:val="000000" w:themeColor="text1"/>
        </w:rPr>
        <w:t xml:space="preserve">The accuracy and usefulness of the data depend heavily on the observer’s </w:t>
      </w:r>
      <w:r w:rsidRPr="00F832D7">
        <w:rPr>
          <w:color w:val="000000" w:themeColor="text1"/>
        </w:rPr>
        <w:lastRenderedPageBreak/>
        <w:t>skill in interpretation, which can vary widely. Without consistent training and shared understanding among staff, there is a risk of inconsistency and inequity in how children’s development is assessed.</w:t>
      </w:r>
      <w:r w:rsidR="00967D22">
        <w:rPr>
          <w:color w:val="000000" w:themeColor="text1"/>
        </w:rPr>
        <w:t xml:space="preserve"> </w:t>
      </w:r>
      <w:r w:rsidRPr="00967D22">
        <w:t>From a critical perspective, while observational assessment aligns strongly with the ethos of the ‘Unique Child’, its effectiveness hinges on robust professional development and moderation</w:t>
      </w:r>
      <w:r w:rsidRPr="00967D22">
        <w:rPr>
          <w:b/>
          <w:bCs/>
        </w:rPr>
        <w:t xml:space="preserve"> </w:t>
      </w:r>
      <w:r w:rsidRPr="00967D22">
        <w:t>processes. Only with these supports in place can practitioners ensure that observations are meaningful, equitable, and reflective of each child’s individual learning journey.</w:t>
      </w:r>
    </w:p>
    <w:p w14:paraId="5EE0FB85" w14:textId="0C008E07" w:rsidR="00AC1B22" w:rsidRPr="00F832D7" w:rsidRDefault="00FE6D88" w:rsidP="00AC1B22">
      <w:pPr>
        <w:rPr>
          <w:b/>
          <w:bCs/>
          <w:color w:val="000000" w:themeColor="text1"/>
          <w:u w:val="single"/>
        </w:rPr>
      </w:pPr>
      <w:r w:rsidRPr="00F832D7">
        <w:rPr>
          <w:b/>
          <w:bCs/>
          <w:color w:val="000000" w:themeColor="text1"/>
          <w:u w:val="single"/>
        </w:rPr>
        <w:t>2</w:t>
      </w:r>
      <w:r w:rsidR="00AC1B22" w:rsidRPr="00F832D7">
        <w:rPr>
          <w:b/>
          <w:bCs/>
          <w:color w:val="000000" w:themeColor="text1"/>
          <w:u w:val="single"/>
        </w:rPr>
        <w:t>. Learning Stories and Portfolios (Reggio Emilia)</w:t>
      </w:r>
    </w:p>
    <w:p w14:paraId="7D4139B2" w14:textId="77777777" w:rsidR="00AC1B22" w:rsidRPr="00F832D7" w:rsidRDefault="00AC1B22" w:rsidP="00AC1B22">
      <w:pPr>
        <w:rPr>
          <w:color w:val="000000" w:themeColor="text1"/>
        </w:rPr>
      </w:pPr>
      <w:r w:rsidRPr="00F832D7">
        <w:rPr>
          <w:color w:val="000000" w:themeColor="text1"/>
        </w:rPr>
        <w:t>Learning stories and portfolios, inspired by the Reggio Emilia approach, represent a qualitative method of assessment that involves compiling detailed narratives to document a child's developmental journey. These stories reflect the child’s voice, interests, and progress, offering a holistic picture of their learning over time. This approach values the child as an active participant, encouraging them to engage with and reflect on their own learning experiences.</w:t>
      </w:r>
    </w:p>
    <w:p w14:paraId="580BD9DB" w14:textId="2F3627AE" w:rsidR="00AC1B22" w:rsidRPr="00F832D7" w:rsidRDefault="00AC1B22" w:rsidP="00AC1B22">
      <w:pPr>
        <w:rPr>
          <w:color w:val="000000" w:themeColor="text1"/>
        </w:rPr>
      </w:pPr>
      <w:r w:rsidRPr="00F832D7">
        <w:rPr>
          <w:color w:val="000000" w:themeColor="text1"/>
        </w:rPr>
        <w:t>One of the major strengths of learning stories is their ability to empower children and make their learning visible in a meaningful, personalised way. They also provide a valuable tool for engaging families, fostering a shared understanding of the child’s growth and supporting strong home-school connections. Additionally, they highlight individual progress over time, respecting the unique pace and pathway of each child. However, learning stories and portfolios present certain limitations. They are not easily quantifiable or comparable, which can be challenging in educational systems that rely on standardised data for accountability. Without a clear framework grounded in developmental knowledge, they may also become overly anecdotal or lose their educational value.</w:t>
      </w:r>
      <w:r w:rsidR="00B31E9C">
        <w:rPr>
          <w:color w:val="000000" w:themeColor="text1"/>
        </w:rPr>
        <w:t>(Storypark,2017)</w:t>
      </w:r>
    </w:p>
    <w:p w14:paraId="4AE32124" w14:textId="77777777" w:rsidR="00AC1B22" w:rsidRPr="00F832D7" w:rsidRDefault="00AC1B22" w:rsidP="00AC1B22">
      <w:pPr>
        <w:rPr>
          <w:color w:val="000000" w:themeColor="text1"/>
        </w:rPr>
      </w:pPr>
      <w:r w:rsidRPr="00F832D7">
        <w:rPr>
          <w:color w:val="000000" w:themeColor="text1"/>
        </w:rPr>
        <w:t>From a critical perspective, learning stories align deeply with the ‘Unique Child’ principle, honouring each child’s individuality and complexity. Nonetheless, their adoption may be constrained in settings where standardised assessment and measurable outcomes are prioritised. To be effectively implemented, they require both philosophical commitment and a supportive policy environment that values qualitative insights as much as quantitative data.</w:t>
      </w:r>
    </w:p>
    <w:p w14:paraId="52C266FF" w14:textId="5CC33BEA" w:rsidR="002C73D3" w:rsidRPr="00F832D7" w:rsidRDefault="002C73D3" w:rsidP="002C73D3">
      <w:pPr>
        <w:rPr>
          <w:b/>
          <w:bCs/>
          <w:color w:val="000000" w:themeColor="text1"/>
          <w:u w:val="single"/>
        </w:rPr>
      </w:pPr>
      <w:r w:rsidRPr="00F832D7">
        <w:rPr>
          <w:b/>
          <w:bCs/>
          <w:color w:val="000000" w:themeColor="text1"/>
          <w:u w:val="single"/>
        </w:rPr>
        <w:t>3.</w:t>
      </w:r>
      <w:r w:rsidRPr="00F832D7">
        <w:rPr>
          <w:color w:val="000000" w:themeColor="text1"/>
          <w:u w:val="single"/>
        </w:rPr>
        <w:t xml:space="preserve"> </w:t>
      </w:r>
      <w:r w:rsidRPr="00F832D7">
        <w:rPr>
          <w:b/>
          <w:bCs/>
          <w:color w:val="000000" w:themeColor="text1"/>
          <w:u w:val="single"/>
        </w:rPr>
        <w:t xml:space="preserve">Developmental Checklists and </w:t>
      </w:r>
      <w:r w:rsidRPr="0034415B">
        <w:rPr>
          <w:b/>
          <w:bCs/>
          <w:u w:val="single"/>
        </w:rPr>
        <w:t>Progression Charts (Montessori)</w:t>
      </w:r>
    </w:p>
    <w:p w14:paraId="4C1E273A" w14:textId="26ECF4CD" w:rsidR="002C73D3" w:rsidRPr="00F832D7" w:rsidRDefault="002C73D3" w:rsidP="002C73D3">
      <w:pPr>
        <w:rPr>
          <w:color w:val="000000" w:themeColor="text1"/>
        </w:rPr>
      </w:pPr>
      <w:r w:rsidRPr="00F832D7">
        <w:rPr>
          <w:color w:val="000000" w:themeColor="text1"/>
        </w:rPr>
        <w:t>Developmental checklists and progression charts, commonly used in Montessori settings, are tools designed to track a child’s mastery of specific skills or concepts through structured and sequential activities. These instruments offer a systematic way to monitor learning and ensure that key developmental milestones are being addressed. One of the main strengths of this approach is that it provides clear, objective indicators of progress, which can be particularly useful for identifying specific learning needs or gaps in understanding. These tools help educators and families see what a child has achieved and what support might be needed next, making them valuable for planning and intervention.</w:t>
      </w:r>
    </w:p>
    <w:p w14:paraId="0F79F701" w14:textId="0650D1BE" w:rsidR="00FE6D88" w:rsidRPr="003F1841" w:rsidRDefault="002C73D3" w:rsidP="008E26DC">
      <w:r w:rsidRPr="003F1841">
        <w:t>However, there are notable limitations. By focusing primarily on observable outcomes, developmental checklists may inadvertently reduce learning to a series of tick-box tasks. This risks overlooking vital areas such as creativity, social-emotional development, and the often non-linear, holistic nature of early childhood learning.</w:t>
      </w:r>
      <w:r w:rsidR="00734688" w:rsidRPr="003F1841">
        <w:t xml:space="preserve">(aim, </w:t>
      </w:r>
      <w:proofErr w:type="spellStart"/>
      <w:r w:rsidR="00734688" w:rsidRPr="003F1841">
        <w:t>nodat</w:t>
      </w:r>
      <w:r w:rsidR="003F1841" w:rsidRPr="003F1841">
        <w:t>e</w:t>
      </w:r>
      <w:proofErr w:type="spellEnd"/>
      <w:r w:rsidR="003F1841" w:rsidRPr="003F1841">
        <w:t xml:space="preserve">) </w:t>
      </w:r>
      <w:r w:rsidRPr="003F1841">
        <w:t xml:space="preserve">From a critical standpoint, while these tools offer helpful structure and clarity, they must be used alongside open-ended, observational methods to fully honour the concept of the ‘Unique Child’. Without this balance, there is a danger of promoting a narrow, reductionist view of development that constrains children's </w:t>
      </w:r>
      <w:r w:rsidR="00751DC3" w:rsidRPr="003F1841">
        <w:t>agency and fails to capture the richness of their learning experiences.</w:t>
      </w:r>
    </w:p>
    <w:p w14:paraId="7E4BD966" w14:textId="14220196" w:rsidR="00FE6D88" w:rsidRPr="00F832D7" w:rsidRDefault="00FE6D88" w:rsidP="00FE6D88">
      <w:pPr>
        <w:rPr>
          <w:color w:val="FF0000"/>
        </w:rPr>
      </w:pPr>
    </w:p>
    <w:p w14:paraId="60A52212" w14:textId="109BC6AC" w:rsidR="00111F53" w:rsidRPr="00F832D7" w:rsidRDefault="00111F53" w:rsidP="00111F53">
      <w:pPr>
        <w:rPr>
          <w:b/>
          <w:bCs/>
          <w:color w:val="000000" w:themeColor="text1"/>
          <w:u w:val="single"/>
        </w:rPr>
      </w:pPr>
      <w:r w:rsidRPr="00F832D7">
        <w:rPr>
          <w:b/>
          <w:bCs/>
          <w:color w:val="000000" w:themeColor="text1"/>
          <w:u w:val="single"/>
        </w:rPr>
        <w:t>Key Strategies</w:t>
      </w:r>
    </w:p>
    <w:p w14:paraId="2F768255" w14:textId="258DC6A3" w:rsidR="00111F53" w:rsidRPr="00747E33" w:rsidRDefault="00111F53" w:rsidP="00111F53">
      <w:r w:rsidRPr="00F832D7">
        <w:rPr>
          <w:color w:val="000000" w:themeColor="text1"/>
        </w:rPr>
        <w:t xml:space="preserve">Effective assessment of young children often incorporates a range of strategies designed to reflect their individuality and developmental journey. Individual Learning Plans (ILPs) are tailored documents that align learning opportunities with each child’s interests, abilities, and developmental stage, ensuring a personalised and responsive approach. Narrative progress mapping is another valuable strategy, capturing qualitative changes over time, such as increased engagement, collaboration, or problem-solving sophistication, rather than relying solely on fixed benchmarks. </w:t>
      </w:r>
      <w:r w:rsidR="00747E33">
        <w:rPr>
          <w:color w:val="000000" w:themeColor="text1"/>
        </w:rPr>
        <w:t xml:space="preserve">(Care Learning,2024) </w:t>
      </w:r>
      <w:r w:rsidRPr="00F832D7">
        <w:rPr>
          <w:color w:val="000000" w:themeColor="text1"/>
        </w:rPr>
        <w:t xml:space="preserve">Additionally, digital assessment platforms like Tapestry and </w:t>
      </w:r>
      <w:proofErr w:type="spellStart"/>
      <w:r w:rsidRPr="00F832D7">
        <w:rPr>
          <w:color w:val="000000" w:themeColor="text1"/>
        </w:rPr>
        <w:t>LearningBook</w:t>
      </w:r>
      <w:proofErr w:type="spellEnd"/>
      <w:r w:rsidRPr="00F832D7">
        <w:rPr>
          <w:color w:val="000000" w:themeColor="text1"/>
        </w:rPr>
        <w:t xml:space="preserve"> offer real-time documentation and enable greater parent engagement, though they carry the risk of over-quantifying play-based experiences if not used thoughtf</w:t>
      </w:r>
      <w:r w:rsidRPr="00747E33">
        <w:t>ully.</w:t>
      </w:r>
    </w:p>
    <w:p w14:paraId="4731BFA2" w14:textId="5EF6F047" w:rsidR="00495D40" w:rsidRPr="00747E33" w:rsidRDefault="00495D40" w:rsidP="00495D40">
      <w:pPr>
        <w:rPr>
          <w:b/>
          <w:bCs/>
          <w:u w:val="single"/>
        </w:rPr>
      </w:pPr>
      <w:r w:rsidRPr="00747E33">
        <w:rPr>
          <w:b/>
          <w:bCs/>
          <w:u w:val="single"/>
        </w:rPr>
        <w:t>Critical Evaluation</w:t>
      </w:r>
    </w:p>
    <w:p w14:paraId="63569532" w14:textId="77777777" w:rsidR="007F1782" w:rsidRPr="00F832D7" w:rsidRDefault="00495D40" w:rsidP="00495D40">
      <w:pPr>
        <w:rPr>
          <w:color w:val="000000" w:themeColor="text1"/>
        </w:rPr>
      </w:pPr>
      <w:r w:rsidRPr="00F832D7">
        <w:rPr>
          <w:color w:val="000000" w:themeColor="text1"/>
        </w:rPr>
        <w:t>Assessment systems such as Individual Learning Plans (ILPs) align well with the concept of the ‘Unique Child’ by offering personalised insights, but they demand consistent commitment from practitioners and effective communication with families to be truly meaningful. Digital platforms can significantly enhance parental involvement and real-time documentation; however, they also risk shifting the focus toward performance-based evidence, which may inadvertently prioritize outcomes over the learning process. Ultimately, progress tracking within play-based curricula needs to capture the depth and richness of each child’s development, avoiding overly rigid comparisons to age-related norms that can overlook individual growth trajectories.</w:t>
      </w:r>
    </w:p>
    <w:p w14:paraId="0FDF100B" w14:textId="77777777" w:rsidR="00FE6D88" w:rsidRPr="00F832D7" w:rsidRDefault="00FE6D88" w:rsidP="00FE6D88">
      <w:pPr>
        <w:rPr>
          <w:b/>
          <w:bCs/>
          <w:color w:val="000000" w:themeColor="text1"/>
          <w:u w:val="single"/>
        </w:rPr>
      </w:pPr>
      <w:r w:rsidRPr="00F832D7">
        <w:rPr>
          <w:b/>
          <w:bCs/>
          <w:color w:val="000000" w:themeColor="text1"/>
          <w:u w:val="single"/>
        </w:rPr>
        <w:t>Models in Practice:</w:t>
      </w:r>
    </w:p>
    <w:p w14:paraId="7E2366EC" w14:textId="655F15B2" w:rsidR="004819E8" w:rsidRPr="001E7D1D" w:rsidRDefault="004819E8" w:rsidP="004819E8">
      <w:r w:rsidRPr="00F832D7">
        <w:rPr>
          <w:color w:val="000000" w:themeColor="text1"/>
          <w:u w:val="single"/>
        </w:rPr>
        <w:t xml:space="preserve">The EYFS Development Matters framework in the UK </w:t>
      </w:r>
      <w:r w:rsidRPr="00F832D7">
        <w:rPr>
          <w:color w:val="000000" w:themeColor="text1"/>
        </w:rPr>
        <w:t xml:space="preserve">provides age bands and developmental </w:t>
      </w:r>
      <w:r w:rsidRPr="001E7D1D">
        <w:t>statements designed to guide planning and assessment. Its main advantage is offering structure and clarity, particularly helpful for less experienced practitioners. However, it can inadvertently pathologize children who don’t fit neatly into these age categories, especially those with additional needs or from diverse cultural backgrounds.</w:t>
      </w:r>
      <w:r w:rsidR="00FB260C" w:rsidRPr="001E7D1D">
        <w:t>(Early Years Careers, 2025)</w:t>
      </w:r>
    </w:p>
    <w:p w14:paraId="1CAD5D23" w14:textId="3E41CAC1" w:rsidR="00D72815" w:rsidRPr="001E7D1D" w:rsidRDefault="004819E8" w:rsidP="004819E8">
      <w:r w:rsidRPr="001E7D1D">
        <w:rPr>
          <w:u w:val="single"/>
        </w:rPr>
        <w:t>Montessori’s</w:t>
      </w:r>
      <w:r w:rsidRPr="001E7D1D">
        <w:t xml:space="preserve"> concept of Sensitive Periods highlights critical windows when children are especially ready to learn certain skills such as order, movement, or language. This model’s strength lies in recognizing individual variability in readiness and capacity. On the downside, if applied rigidly or dogmatically, it risks becoming inflexible and limiting.</w:t>
      </w:r>
      <w:r w:rsidR="00D72815">
        <w:t>(Anon,2024)</w:t>
      </w:r>
    </w:p>
    <w:p w14:paraId="736D706C" w14:textId="77777777" w:rsidR="004819E8" w:rsidRPr="00F832D7" w:rsidRDefault="004819E8" w:rsidP="004819E8">
      <w:pPr>
        <w:rPr>
          <w:color w:val="000000" w:themeColor="text1"/>
        </w:rPr>
      </w:pPr>
      <w:proofErr w:type="spellStart"/>
      <w:r w:rsidRPr="00F832D7">
        <w:rPr>
          <w:color w:val="000000" w:themeColor="text1"/>
          <w:u w:val="single"/>
        </w:rPr>
        <w:t>Te</w:t>
      </w:r>
      <w:proofErr w:type="spellEnd"/>
      <w:r w:rsidRPr="00F832D7">
        <w:rPr>
          <w:color w:val="000000" w:themeColor="text1"/>
          <w:u w:val="single"/>
        </w:rPr>
        <w:t xml:space="preserve"> </w:t>
      </w:r>
      <w:proofErr w:type="spellStart"/>
      <w:r w:rsidRPr="00D22536">
        <w:rPr>
          <w:u w:val="single"/>
        </w:rPr>
        <w:t>Whāriki</w:t>
      </w:r>
      <w:proofErr w:type="spellEnd"/>
      <w:r w:rsidRPr="00F832D7">
        <w:rPr>
          <w:color w:val="000000" w:themeColor="text1"/>
        </w:rPr>
        <w:t>, the early years curriculum from New Zealand, presents a holistic framework that prioritizes aspirations over developmental stages, placing culture, identity, and family at the heart of learning. This approach deeply respects the concept of the ‘Unique Child’ and allows for broad interpretation. However, it may fall short when specific guidance is needed for targeted interventions or accountability measures.</w:t>
      </w:r>
    </w:p>
    <w:p w14:paraId="05B2C09F" w14:textId="60DBCA31" w:rsidR="00DB6646" w:rsidRPr="00F832D7" w:rsidRDefault="00DB6646" w:rsidP="00DB6646">
      <w:pPr>
        <w:rPr>
          <w:b/>
          <w:bCs/>
          <w:color w:val="000000" w:themeColor="text1"/>
          <w:u w:val="single"/>
        </w:rPr>
      </w:pPr>
      <w:r w:rsidRPr="00F832D7">
        <w:rPr>
          <w:b/>
          <w:bCs/>
          <w:color w:val="000000" w:themeColor="text1"/>
          <w:u w:val="single"/>
        </w:rPr>
        <w:t>Critical Analysis</w:t>
      </w:r>
    </w:p>
    <w:p w14:paraId="3594364E" w14:textId="31B8B7FE" w:rsidR="00DB6646" w:rsidRPr="00F832D7" w:rsidRDefault="00DB6646" w:rsidP="00DB6646">
      <w:pPr>
        <w:rPr>
          <w:color w:val="000000" w:themeColor="text1"/>
        </w:rPr>
      </w:pPr>
      <w:r w:rsidRPr="00F832D7">
        <w:rPr>
          <w:color w:val="000000" w:themeColor="text1"/>
        </w:rPr>
        <w:t>Developmental models serve as useful guides rather than strict prescriptions. Educators should approach them with a critical mindset, using these frameworks to inform, but not dictate, planning and support.</w:t>
      </w:r>
    </w:p>
    <w:p w14:paraId="5D32097A" w14:textId="747F6850" w:rsidR="00DB6646" w:rsidRPr="00F832D7" w:rsidRDefault="00DB6646" w:rsidP="00DB6646">
      <w:pPr>
        <w:rPr>
          <w:color w:val="000000" w:themeColor="text1"/>
        </w:rPr>
      </w:pPr>
      <w:r w:rsidRPr="00F832D7">
        <w:rPr>
          <w:color w:val="000000" w:themeColor="text1"/>
        </w:rPr>
        <w:lastRenderedPageBreak/>
        <w:t>The real risk arises when developmental expectations become rigid performance benchmarks. This shift can foster deficit thinking about children who develop at different rates or in diverse ways.</w:t>
      </w:r>
    </w:p>
    <w:p w14:paraId="0854D38B" w14:textId="2BF8C7D6" w:rsidR="00FE6D88" w:rsidRPr="00F832D7" w:rsidRDefault="00DB6646" w:rsidP="00DB6646">
      <w:pPr>
        <w:rPr>
          <w:color w:val="000000" w:themeColor="text1"/>
        </w:rPr>
      </w:pPr>
      <w:r w:rsidRPr="00F832D7">
        <w:rPr>
          <w:color w:val="000000" w:themeColor="text1"/>
        </w:rPr>
        <w:t>To genuinely honour the concept of the ‘Unique Child,’ it is essential to apply developmental models flexibly, grounding decisions in careful observation, ongoing dialogue with families, and cultural responsiveness. Implications</w:t>
      </w:r>
      <w:r w:rsidR="00FE6D88" w:rsidRPr="00F832D7">
        <w:rPr>
          <w:color w:val="000000" w:themeColor="text1"/>
        </w:rPr>
        <w:t xml:space="preserve"> for Policy and Practice</w:t>
      </w:r>
    </w:p>
    <w:p w14:paraId="43A3170F" w14:textId="03D4496B" w:rsidR="005A0610" w:rsidRPr="00F832D7" w:rsidRDefault="005A0610" w:rsidP="005A0610">
      <w:pPr>
        <w:rPr>
          <w:b/>
          <w:bCs/>
          <w:color w:val="000000" w:themeColor="text1"/>
          <w:u w:val="single"/>
        </w:rPr>
      </w:pPr>
      <w:r w:rsidRPr="00F832D7">
        <w:rPr>
          <w:b/>
          <w:bCs/>
          <w:color w:val="000000" w:themeColor="text1"/>
          <w:u w:val="single"/>
        </w:rPr>
        <w:t>Policy Considerations</w:t>
      </w:r>
    </w:p>
    <w:p w14:paraId="5A5A80A8" w14:textId="0004EDE1" w:rsidR="005A0610" w:rsidRPr="00F832D7" w:rsidRDefault="005A0610" w:rsidP="005A0610">
      <w:pPr>
        <w:rPr>
          <w:color w:val="000000" w:themeColor="text1"/>
        </w:rPr>
      </w:pPr>
      <w:r w:rsidRPr="00F832D7">
        <w:rPr>
          <w:color w:val="000000" w:themeColor="text1"/>
        </w:rPr>
        <w:t>It is crucial to balance flexibility with accountability. Frameworks such as the EYFS need to provide space for professional judgment and recognize the diverse developmental paths children may take.</w:t>
      </w:r>
    </w:p>
    <w:p w14:paraId="5F0C23B3" w14:textId="45527DEC" w:rsidR="005A0610" w:rsidRPr="00F832D7" w:rsidRDefault="005A0610" w:rsidP="005A0610">
      <w:pPr>
        <w:rPr>
          <w:color w:val="000000" w:themeColor="text1"/>
        </w:rPr>
      </w:pPr>
      <w:r w:rsidRPr="00F832D7">
        <w:rPr>
          <w:color w:val="000000" w:themeColor="text1"/>
        </w:rPr>
        <w:t>Investing in educator training is essential. Skilled practitioners play a vital role in accurately interpreting observations, planning appropriate next steps, and communicating learning effectively to families and colleagues.</w:t>
      </w:r>
    </w:p>
    <w:p w14:paraId="6EBC9B70" w14:textId="1E58A0E1" w:rsidR="005A0610" w:rsidRPr="00F832D7" w:rsidRDefault="005A0610" w:rsidP="005A0610">
      <w:pPr>
        <w:rPr>
          <w:color w:val="000000" w:themeColor="text1"/>
        </w:rPr>
      </w:pPr>
      <w:r w:rsidRPr="00F832D7">
        <w:rPr>
          <w:color w:val="000000" w:themeColor="text1"/>
        </w:rPr>
        <w:t>There is also a need to rethink the concept of readiness. Transition assessments, like those for school readiness, should adopt a holistic approach that values social-emotional and creative skills alongside traditional literacy and numeracy measures.</w:t>
      </w:r>
      <w:r w:rsidR="0013788A">
        <w:rPr>
          <w:color w:val="000000" w:themeColor="text1"/>
        </w:rPr>
        <w:t>(Local Government</w:t>
      </w:r>
      <w:r w:rsidR="005C0937">
        <w:rPr>
          <w:color w:val="000000" w:themeColor="text1"/>
        </w:rPr>
        <w:t xml:space="preserve"> Association, 2023)</w:t>
      </w:r>
    </w:p>
    <w:p w14:paraId="3A70BDFD" w14:textId="77777777" w:rsidR="005A0610" w:rsidRPr="00F832D7" w:rsidRDefault="005A0610" w:rsidP="005A0610">
      <w:pPr>
        <w:rPr>
          <w:b/>
          <w:bCs/>
          <w:color w:val="000000" w:themeColor="text1"/>
          <w:u w:val="single"/>
        </w:rPr>
      </w:pPr>
    </w:p>
    <w:p w14:paraId="602F4E28" w14:textId="08B59DBB" w:rsidR="00FE6D88" w:rsidRPr="00F832D7" w:rsidRDefault="00FE6D88" w:rsidP="005A0610">
      <w:pPr>
        <w:rPr>
          <w:b/>
          <w:bCs/>
          <w:color w:val="000000" w:themeColor="text1"/>
          <w:u w:val="single"/>
        </w:rPr>
      </w:pPr>
      <w:r w:rsidRPr="00F832D7">
        <w:rPr>
          <w:b/>
          <w:bCs/>
          <w:color w:val="000000" w:themeColor="text1"/>
          <w:u w:val="single"/>
        </w:rPr>
        <w:t>Conclusion</w:t>
      </w:r>
    </w:p>
    <w:p w14:paraId="5933A3E2" w14:textId="06120034" w:rsidR="00751DC3" w:rsidRDefault="00C321F1" w:rsidP="00E32D0F">
      <w:pPr>
        <w:rPr>
          <w:color w:val="000000" w:themeColor="text1"/>
        </w:rPr>
      </w:pPr>
      <w:r w:rsidRPr="00F832D7">
        <w:rPr>
          <w:color w:val="000000" w:themeColor="text1"/>
        </w:rPr>
        <w:t>Assessment, progress monitoring, and developmental frameworks in play-based curricula need to embody and uphold the concept of the ‘Unique Child.’ This requires adopting approaches that are adaptable, comprehensive, and sensitive to each child’s individual growth, all while thoughtfully managing the demands of educational accountability. Successful practice involves integrating various methods, applying structured developmental benchmarks without turning children into mere statistics, and pairing detailed observations with purposeful tracking to guide support and foster challenge. Ultimately, play-based learning thrives when it allows children to develop at their own pace and in their own way, with educators acting as collaborative guides throughout that process.</w:t>
      </w:r>
    </w:p>
    <w:p w14:paraId="094071E1" w14:textId="77777777" w:rsidR="00751DC3" w:rsidRPr="00751DC3" w:rsidRDefault="00751DC3" w:rsidP="00E32D0F">
      <w:pPr>
        <w:rPr>
          <w:color w:val="000000" w:themeColor="text1"/>
        </w:rPr>
      </w:pPr>
    </w:p>
    <w:p w14:paraId="6CD50997" w14:textId="64491A7A" w:rsidR="00FE6D88" w:rsidRDefault="00657458" w:rsidP="00E32D0F">
      <w:pPr>
        <w:pStyle w:val="ListParagraph"/>
        <w:numPr>
          <w:ilvl w:val="0"/>
          <w:numId w:val="8"/>
        </w:numPr>
      </w:pPr>
      <w:r w:rsidRPr="00657458">
        <w:t>Write a blog suitable for a professional publication</w:t>
      </w:r>
      <w:r w:rsidR="00E32D0F">
        <w:t xml:space="preserve"> on </w:t>
      </w:r>
      <w:r w:rsidRPr="00657458">
        <w:t>Nursery World,</w:t>
      </w:r>
      <w:r w:rsidR="00E32D0F">
        <w:t xml:space="preserve"> </w:t>
      </w:r>
      <w:r w:rsidRPr="00657458">
        <w:t>linked to considerations needed when implementing a play-based curriculum/curriculum changes</w:t>
      </w:r>
    </w:p>
    <w:p w14:paraId="3EC0A136" w14:textId="3C0B564E" w:rsidR="00E32D0F" w:rsidRDefault="00E32D0F" w:rsidP="00E32D0F">
      <w:pPr>
        <w:ind w:left="360"/>
      </w:pPr>
      <w:r>
        <w:t>Title: Navigating Change: Key Considerations for Implementing a Play-Based Curriculum</w:t>
      </w:r>
    </w:p>
    <w:p w14:paraId="2611AD68" w14:textId="28162E4B" w:rsidR="00E32D0F" w:rsidRDefault="00E32D0F" w:rsidP="00E32D0F">
      <w:pPr>
        <w:ind w:left="360"/>
      </w:pPr>
      <w:r>
        <w:t>By Elizabeth Thomas</w:t>
      </w:r>
    </w:p>
    <w:p w14:paraId="2D466DD3" w14:textId="37096A28" w:rsidR="00E32D0F" w:rsidRDefault="00E32D0F" w:rsidP="00751DC3">
      <w:pPr>
        <w:ind w:left="360"/>
      </w:pPr>
      <w:r>
        <w:t>In recent years, the early years education sector has found itself at the crossroads of pedagogical reform and practical implementation. Whether responding to national curriculum shifts, such as the transition from Wales Foundation Phase to the Curriculum for Wales, or adapting to evolving understandings of child development, the question remains: how do we implement play-based learning effectively within changing educational frameworks?</w:t>
      </w:r>
      <w:r w:rsidR="00751DC3">
        <w:t xml:space="preserve"> </w:t>
      </w:r>
      <w:r>
        <w:t xml:space="preserve">Play-based learning is widely recognised as central to high-quality early years provision. </w:t>
      </w:r>
      <w:r w:rsidR="00F5383B">
        <w:t>(</w:t>
      </w:r>
      <w:r w:rsidR="004126CB">
        <w:t xml:space="preserve"> </w:t>
      </w:r>
      <w:r w:rsidR="00F5383B" w:rsidRPr="00BB37AD">
        <w:t>Teachers Institute</w:t>
      </w:r>
      <w:r w:rsidR="00F5383B">
        <w:t>,</w:t>
      </w:r>
      <w:r w:rsidR="00F5383B" w:rsidRPr="00BB37AD">
        <w:t xml:space="preserve">2024) </w:t>
      </w:r>
      <w:r>
        <w:t xml:space="preserve">Rooted in decades of developmental theory and </w:t>
      </w:r>
      <w:r>
        <w:lastRenderedPageBreak/>
        <w:t>supported by research, play enables children to explore, experiment, communicate, and build relationships. However, embedding this approach within new or evolving curricula is complex. It requires not only a shared understanding of what play is, but also strategic planning, strong leadership, and sustained professional development.</w:t>
      </w:r>
      <w:r w:rsidR="00C52325" w:rsidRPr="00C52325">
        <w:t xml:space="preserve"> </w:t>
      </w:r>
      <w:r w:rsidR="00C52325">
        <w:t>(</w:t>
      </w:r>
      <w:r w:rsidR="00C52325" w:rsidRPr="00BB37AD">
        <w:t>College, 2024)</w:t>
      </w:r>
    </w:p>
    <w:p w14:paraId="150FD5CC" w14:textId="6BBAD71E" w:rsidR="00D061E2" w:rsidRPr="00D061E2" w:rsidRDefault="00E32D0F" w:rsidP="00D061E2">
      <w:pPr>
        <w:ind w:left="360"/>
      </w:pPr>
      <w:r>
        <w:t>One of the most critical steps in implementing a play-based curriculum is achieving a shared vision among practitioners, leaders, and stakeholders. Misunderstandings around play can lead to confusion or diluted practice. Play is not the absence of teaching</w:t>
      </w:r>
      <w:r w:rsidR="00843E8D">
        <w:t xml:space="preserve">, </w:t>
      </w:r>
      <w:r>
        <w:t>it is a rich, intentional, and purposeful context for learning. Practitioners must be confident in articulating how play supports developmental goals and curriculum outcomes, particularly in literacy, numeracy, and personal and social development.</w:t>
      </w:r>
      <w:r w:rsidR="00751DC3">
        <w:t xml:space="preserve"> </w:t>
      </w:r>
      <w:r>
        <w:t>With increasing flexibility in curriculum design, especially in frameworks like the Curriculum for Wales, settings are empowered to tailor learning to their community.</w:t>
      </w:r>
      <w:r w:rsidR="00D061E2" w:rsidRPr="00D061E2">
        <w:t>(</w:t>
      </w:r>
      <w:proofErr w:type="spellStart"/>
      <w:r w:rsidR="00D061E2" w:rsidRPr="00D061E2">
        <w:t>Nikoçeviq</w:t>
      </w:r>
      <w:proofErr w:type="spellEnd"/>
      <w:r w:rsidR="00D061E2" w:rsidRPr="00D061E2">
        <w:t xml:space="preserve">-Kurti, </w:t>
      </w:r>
      <w:proofErr w:type="spellStart"/>
      <w:r w:rsidR="00D061E2" w:rsidRPr="00D061E2">
        <w:t>Saqipi</w:t>
      </w:r>
      <w:proofErr w:type="spellEnd"/>
      <w:r w:rsidR="00D061E2" w:rsidRPr="00D061E2">
        <w:t xml:space="preserve"> and </w:t>
      </w:r>
      <w:proofErr w:type="spellStart"/>
      <w:r w:rsidR="00D061E2" w:rsidRPr="00D061E2">
        <w:t>Kaçaniku</w:t>
      </w:r>
      <w:proofErr w:type="spellEnd"/>
      <w:r w:rsidR="00D061E2" w:rsidRPr="00D061E2">
        <w:t>, 2025)</w:t>
      </w:r>
    </w:p>
    <w:p w14:paraId="1E8EE5EB" w14:textId="1B89BC77" w:rsidR="00E32D0F" w:rsidRDefault="00E32D0F" w:rsidP="00751DC3">
      <w:pPr>
        <w:ind w:left="360"/>
      </w:pPr>
      <w:r>
        <w:t>This autonomy is empowering but also demands clarity. How does your play-based approach align with the wider curriculum vision? Which experiences do children need to meet learning aims, and how can these be embedded authentically within play?</w:t>
      </w:r>
    </w:p>
    <w:p w14:paraId="2E3C61FF" w14:textId="3EBCFB0F" w:rsidR="00E32D0F" w:rsidRDefault="00E32D0F" w:rsidP="00751DC3">
      <w:pPr>
        <w:ind w:left="360"/>
      </w:pPr>
      <w:r>
        <w:t>Curriculum planning must avoid the temptation to retrofit play into adult-led structures. Instead, it should begin with the child, what they are curious about, what they need to learn, and how they learn best. Ensuring curriculum coherence while maintaining the spontaneity of play is an art as much as a science.</w:t>
      </w:r>
      <w:r w:rsidR="00751DC3">
        <w:t xml:space="preserve"> </w:t>
      </w:r>
      <w:r>
        <w:t xml:space="preserve">The physical and emotional environment plays a pivotal role in supporting play-based learning. </w:t>
      </w:r>
      <w:r w:rsidR="00D530B0">
        <w:t>(</w:t>
      </w:r>
      <w:r w:rsidR="00D530B0" w:rsidRPr="00751DC3">
        <w:rPr>
          <w:color w:val="000000" w:themeColor="text1"/>
        </w:rPr>
        <w:t>Welsh Government</w:t>
      </w:r>
      <w:r w:rsidR="00D530B0">
        <w:rPr>
          <w:color w:val="000000" w:themeColor="text1"/>
        </w:rPr>
        <w:t>,</w:t>
      </w:r>
      <w:r w:rsidR="00D530B0" w:rsidRPr="00751DC3">
        <w:rPr>
          <w:color w:val="000000" w:themeColor="text1"/>
        </w:rPr>
        <w:t>2014</w:t>
      </w:r>
      <w:r w:rsidR="00D530B0">
        <w:rPr>
          <w:color w:val="000000" w:themeColor="text1"/>
        </w:rPr>
        <w:t>)</w:t>
      </w:r>
      <w:r>
        <w:t>Spaces must be open-ended, well-resourced, and designed to invite exploration and sustained engagement. Thoughtfully arranged environments foster independence, collaboration, and inquiry. But they must also reflect the curriculum, offering provocations and materials that align with learning goals while remaining responsive to children’s interests.</w:t>
      </w:r>
      <w:r w:rsidR="00751DC3">
        <w:t xml:space="preserve"> </w:t>
      </w:r>
      <w:r>
        <w:t>Outdoor learning, in particular, offers expansive opportunities for risk-taking, problem-solving, and connection to the natural world, an essential component of holistic development often underutilised in structured curricula.</w:t>
      </w:r>
    </w:p>
    <w:p w14:paraId="0AFC3490" w14:textId="4E91C24E" w:rsidR="00E32D0F" w:rsidRDefault="00E32D0F" w:rsidP="00751DC3">
      <w:pPr>
        <w:ind w:left="360"/>
      </w:pPr>
      <w:r>
        <w:t>Assessment in a play-based context must be meaningful, formative, and rooted in observation. Over-reliance on data or rigid benchmarks can distort practice, shifting focus from the child’s process to quantifiable outputs. Practitioners need tools and frameworks that allow them to capture rich evidence of learning, narratives, photos, child voice without interrupting the flow of play. Professional trust is essential. When educators are trusted to use their professional judgement and reflect deeply on children’s learning, assessment becomes a tool for understanding, not surveillance.</w:t>
      </w:r>
      <w:r w:rsidR="00751DC3">
        <w:t xml:space="preserve"> </w:t>
      </w:r>
      <w:r>
        <w:t>Sustained professional learning is vital. Implementing a play-based curriculum is not a one-off initiative; it is an ongoing journey of reflection and refinement.</w:t>
      </w:r>
      <w:r w:rsidR="00D530B0">
        <w:t>(</w:t>
      </w:r>
      <w:r w:rsidR="00D061E2" w:rsidRPr="00BB37AD">
        <w:t>NAEY</w:t>
      </w:r>
      <w:r w:rsidR="00D061E2">
        <w:t>C</w:t>
      </w:r>
      <w:r w:rsidR="00D530B0">
        <w:t>,</w:t>
      </w:r>
      <w:r w:rsidR="00D061E2" w:rsidRPr="00BB37AD">
        <w:t>2023</w:t>
      </w:r>
      <w:r w:rsidR="00D061E2">
        <w:t>)</w:t>
      </w:r>
      <w:r>
        <w:t>Staff need time to observe, question, and discuss practice. Peer learning, coaching, and communities of practice can be powerful mechanisms for embedding a play-based ethos. Leaders have a critical role in fostering this culture. Their support in valuing play, allocating resources, protecting child-led time, and celebrating successes will shape the depth and sustainability of implementation.</w:t>
      </w:r>
    </w:p>
    <w:p w14:paraId="483861D0" w14:textId="57C22581" w:rsidR="00E32D0F" w:rsidRDefault="00E32D0F" w:rsidP="00E32D0F">
      <w:pPr>
        <w:ind w:left="360"/>
      </w:pPr>
      <w:r>
        <w:t xml:space="preserve">Curriculum changes, while often daunting, also present an opportunity. They give practitioners the chance to reassess what matters most in early years education. A well-implemented play-based approach can offer the perfect balance of structure and freedom supporting children’s holistic development while meeting statutory </w:t>
      </w:r>
      <w:r>
        <w:lastRenderedPageBreak/>
        <w:t>requirements.</w:t>
      </w:r>
      <w:r w:rsidR="00CB6698">
        <w:t>(</w:t>
      </w:r>
      <w:proofErr w:type="spellStart"/>
      <w:r w:rsidR="00CB6698">
        <w:t>GOV.wales</w:t>
      </w:r>
      <w:r w:rsidR="00F43734">
        <w:t>,nodate</w:t>
      </w:r>
      <w:proofErr w:type="spellEnd"/>
      <w:r w:rsidR="00F43734">
        <w:t>)</w:t>
      </w:r>
      <w:r>
        <w:t xml:space="preserve"> But implementation must be purposeful. It is not enough to advocate for play, we must invest in the knowledge, tools, and environments that make it meaningful. As the sector evolves, keeping children’s agency, joy, and wellbeing at the heart of practice will be the measure of success.</w:t>
      </w:r>
    </w:p>
    <w:p w14:paraId="360D44E0" w14:textId="77777777" w:rsidR="00E32D0F" w:rsidRPr="00E32D0F" w:rsidRDefault="00E32D0F" w:rsidP="00E32D0F">
      <w:pPr>
        <w:ind w:left="360"/>
        <w:rPr>
          <w:color w:val="FF0000"/>
        </w:rPr>
      </w:pPr>
    </w:p>
    <w:p w14:paraId="54136D79" w14:textId="77777777" w:rsidR="00751DC3" w:rsidRPr="00751DC3" w:rsidRDefault="00751DC3" w:rsidP="00751DC3">
      <w:pPr>
        <w:ind w:left="360"/>
        <w:rPr>
          <w:b/>
          <w:bCs/>
          <w:color w:val="000000" w:themeColor="text1"/>
          <w:u w:val="single"/>
        </w:rPr>
      </w:pPr>
      <w:r w:rsidRPr="00751DC3">
        <w:rPr>
          <w:b/>
          <w:bCs/>
          <w:color w:val="000000" w:themeColor="text1"/>
          <w:u w:val="single"/>
        </w:rPr>
        <w:t>About the Author</w:t>
      </w:r>
    </w:p>
    <w:p w14:paraId="7FC6A74F" w14:textId="1E5B56E1" w:rsidR="00657458" w:rsidRDefault="00751DC3" w:rsidP="00751DC3">
      <w:pPr>
        <w:ind w:left="360"/>
        <w:rPr>
          <w:color w:val="000000" w:themeColor="text1"/>
        </w:rPr>
      </w:pPr>
      <w:r w:rsidRPr="00751DC3">
        <w:rPr>
          <w:color w:val="000000" w:themeColor="text1"/>
        </w:rPr>
        <w:t>Elizabeth Thomas is an experienced early years consultant, educator, and researcher with a background in curriculum development and pedagogical leadership. With over a decade working across early childhood education settings, Elizabeth specialises in play-based learning, practitioner training, and inclusive assessment practices. Passionate about supporting the holistic development of young children, Elizabeth works with schools, local authorities, and training providers to promote developmentally appropriate practice grounded in research and the principle of the ‘Unique Child’.</w:t>
      </w:r>
    </w:p>
    <w:p w14:paraId="1E6DB0E8" w14:textId="77777777" w:rsidR="00751DC3" w:rsidRDefault="00751DC3" w:rsidP="00751DC3">
      <w:pPr>
        <w:ind w:left="360"/>
        <w:rPr>
          <w:color w:val="000000" w:themeColor="text1"/>
        </w:rPr>
      </w:pPr>
    </w:p>
    <w:p w14:paraId="3809F92A" w14:textId="77777777" w:rsidR="00751DC3" w:rsidRDefault="00751DC3" w:rsidP="00751DC3">
      <w:pPr>
        <w:ind w:left="360"/>
        <w:rPr>
          <w:color w:val="000000" w:themeColor="text1"/>
        </w:rPr>
      </w:pPr>
    </w:p>
    <w:p w14:paraId="6A9A14DB" w14:textId="77777777" w:rsidR="00751DC3" w:rsidRDefault="00751DC3" w:rsidP="00751DC3">
      <w:pPr>
        <w:ind w:left="360"/>
        <w:rPr>
          <w:color w:val="000000" w:themeColor="text1"/>
        </w:rPr>
      </w:pPr>
    </w:p>
    <w:p w14:paraId="27C0A972" w14:textId="77777777" w:rsidR="00751DC3" w:rsidRDefault="00751DC3" w:rsidP="00751DC3">
      <w:pPr>
        <w:ind w:left="360"/>
        <w:rPr>
          <w:color w:val="000000" w:themeColor="text1"/>
        </w:rPr>
      </w:pPr>
    </w:p>
    <w:p w14:paraId="6C4703A7" w14:textId="77777777" w:rsidR="00751DC3" w:rsidRDefault="00751DC3" w:rsidP="00751DC3">
      <w:pPr>
        <w:ind w:left="360"/>
        <w:rPr>
          <w:color w:val="000000" w:themeColor="text1"/>
        </w:rPr>
      </w:pPr>
    </w:p>
    <w:p w14:paraId="460C7D1C" w14:textId="77777777" w:rsidR="00751DC3" w:rsidRDefault="00751DC3" w:rsidP="00751DC3">
      <w:pPr>
        <w:ind w:left="360"/>
        <w:rPr>
          <w:color w:val="000000" w:themeColor="text1"/>
        </w:rPr>
      </w:pPr>
    </w:p>
    <w:p w14:paraId="73F83BEE" w14:textId="77777777" w:rsidR="00751DC3" w:rsidRDefault="00751DC3" w:rsidP="00751DC3">
      <w:pPr>
        <w:ind w:left="360"/>
        <w:rPr>
          <w:color w:val="000000" w:themeColor="text1"/>
        </w:rPr>
      </w:pPr>
    </w:p>
    <w:p w14:paraId="0A82AC26" w14:textId="77777777" w:rsidR="00751DC3" w:rsidRDefault="00751DC3" w:rsidP="00751DC3">
      <w:pPr>
        <w:ind w:left="360"/>
        <w:rPr>
          <w:color w:val="000000" w:themeColor="text1"/>
        </w:rPr>
      </w:pPr>
    </w:p>
    <w:p w14:paraId="386AC390" w14:textId="77777777" w:rsidR="00751DC3" w:rsidRDefault="00751DC3" w:rsidP="00751DC3">
      <w:pPr>
        <w:ind w:left="360"/>
        <w:rPr>
          <w:color w:val="000000" w:themeColor="text1"/>
        </w:rPr>
      </w:pPr>
    </w:p>
    <w:p w14:paraId="2D25E12E" w14:textId="77777777" w:rsidR="00751DC3" w:rsidRDefault="00751DC3" w:rsidP="00751DC3">
      <w:pPr>
        <w:ind w:left="360"/>
        <w:rPr>
          <w:color w:val="000000" w:themeColor="text1"/>
        </w:rPr>
      </w:pPr>
    </w:p>
    <w:p w14:paraId="2412934D" w14:textId="77777777" w:rsidR="00751DC3" w:rsidRDefault="00751DC3" w:rsidP="00751DC3">
      <w:pPr>
        <w:ind w:left="360"/>
        <w:rPr>
          <w:color w:val="000000" w:themeColor="text1"/>
        </w:rPr>
      </w:pPr>
    </w:p>
    <w:p w14:paraId="42391FE6" w14:textId="77777777" w:rsidR="00751DC3" w:rsidRDefault="00751DC3" w:rsidP="00751DC3">
      <w:pPr>
        <w:ind w:left="360"/>
        <w:rPr>
          <w:color w:val="000000" w:themeColor="text1"/>
        </w:rPr>
      </w:pPr>
    </w:p>
    <w:p w14:paraId="4B59CC05" w14:textId="77777777" w:rsidR="00751DC3" w:rsidRDefault="00751DC3" w:rsidP="00751DC3">
      <w:pPr>
        <w:ind w:left="360"/>
        <w:rPr>
          <w:color w:val="000000" w:themeColor="text1"/>
        </w:rPr>
      </w:pPr>
    </w:p>
    <w:p w14:paraId="1EBB6AC1" w14:textId="77777777" w:rsidR="00751DC3" w:rsidRDefault="00751DC3" w:rsidP="00751DC3">
      <w:pPr>
        <w:ind w:left="360"/>
        <w:rPr>
          <w:color w:val="000000" w:themeColor="text1"/>
        </w:rPr>
      </w:pPr>
    </w:p>
    <w:p w14:paraId="3EA2C8BB" w14:textId="77777777" w:rsidR="00751DC3" w:rsidRDefault="00751DC3" w:rsidP="00751DC3">
      <w:pPr>
        <w:ind w:left="360"/>
        <w:rPr>
          <w:color w:val="000000" w:themeColor="text1"/>
        </w:rPr>
      </w:pPr>
    </w:p>
    <w:p w14:paraId="1C35D862" w14:textId="77777777" w:rsidR="00751DC3" w:rsidRDefault="00751DC3" w:rsidP="00751DC3">
      <w:pPr>
        <w:ind w:left="360"/>
        <w:rPr>
          <w:color w:val="000000" w:themeColor="text1"/>
        </w:rPr>
      </w:pPr>
    </w:p>
    <w:p w14:paraId="13FD59BC" w14:textId="77777777" w:rsidR="00751DC3" w:rsidRDefault="00751DC3" w:rsidP="00751DC3">
      <w:pPr>
        <w:ind w:left="360"/>
        <w:rPr>
          <w:color w:val="000000" w:themeColor="text1"/>
        </w:rPr>
      </w:pPr>
    </w:p>
    <w:p w14:paraId="2CC62CBA" w14:textId="77777777" w:rsidR="00751DC3" w:rsidRDefault="00751DC3" w:rsidP="00751DC3">
      <w:pPr>
        <w:ind w:left="360"/>
        <w:rPr>
          <w:color w:val="000000" w:themeColor="text1"/>
        </w:rPr>
      </w:pPr>
    </w:p>
    <w:p w14:paraId="4A000207" w14:textId="77777777" w:rsidR="00751DC3" w:rsidRDefault="00751DC3" w:rsidP="00751DC3">
      <w:pPr>
        <w:ind w:left="360"/>
        <w:rPr>
          <w:color w:val="000000" w:themeColor="text1"/>
        </w:rPr>
      </w:pPr>
    </w:p>
    <w:p w14:paraId="1BCFBE5C" w14:textId="77777777" w:rsidR="00751DC3" w:rsidRDefault="00751DC3" w:rsidP="00751DC3">
      <w:pPr>
        <w:ind w:left="360"/>
        <w:rPr>
          <w:color w:val="000000" w:themeColor="text1"/>
        </w:rPr>
      </w:pPr>
    </w:p>
    <w:p w14:paraId="2F486B2E" w14:textId="77777777" w:rsidR="00751DC3" w:rsidRDefault="00751DC3" w:rsidP="00F43734">
      <w:pPr>
        <w:rPr>
          <w:color w:val="000000" w:themeColor="text1"/>
        </w:rPr>
      </w:pPr>
    </w:p>
    <w:p w14:paraId="2CCD0B7E" w14:textId="111767D7" w:rsidR="00754455" w:rsidRPr="00754455" w:rsidRDefault="00751DC3" w:rsidP="00754455">
      <w:pPr>
        <w:ind w:left="360"/>
        <w:rPr>
          <w:b/>
          <w:bCs/>
          <w:color w:val="000000" w:themeColor="text1"/>
          <w:u w:val="single"/>
        </w:rPr>
      </w:pPr>
      <w:r w:rsidRPr="00754455">
        <w:rPr>
          <w:b/>
          <w:bCs/>
          <w:color w:val="000000" w:themeColor="text1"/>
          <w:u w:val="single"/>
        </w:rPr>
        <w:lastRenderedPageBreak/>
        <w:t>Reference List:</w:t>
      </w:r>
    </w:p>
    <w:p w14:paraId="513EAC13" w14:textId="77777777" w:rsidR="00754455" w:rsidRPr="00754455" w:rsidRDefault="00754455" w:rsidP="00754455">
      <w:pPr>
        <w:ind w:left="360"/>
        <w:rPr>
          <w:color w:val="000000" w:themeColor="text1"/>
        </w:rPr>
      </w:pPr>
      <w:r w:rsidRPr="00754455">
        <w:rPr>
          <w:color w:val="000000" w:themeColor="text1"/>
        </w:rPr>
        <w:t>aim. (no date). Montessori Stages of Development for Early Learning. Available at: https://aimmontessoriteachertraining.org/montessori-stages-of-development-for-early-learning/. Accessed on June 2025.</w:t>
      </w:r>
    </w:p>
    <w:p w14:paraId="6C5C43CB" w14:textId="77777777" w:rsidR="00754455" w:rsidRPr="00754455" w:rsidRDefault="00754455" w:rsidP="00754455">
      <w:pPr>
        <w:ind w:left="360"/>
        <w:rPr>
          <w:color w:val="000000" w:themeColor="text1"/>
        </w:rPr>
      </w:pPr>
      <w:r w:rsidRPr="00754455">
        <w:rPr>
          <w:color w:val="000000" w:themeColor="text1"/>
        </w:rPr>
        <w:t>Anon, (2023). The Montessori Approach Explained - The Teaching Couple.  Available at: https://theteachingcouple.com/montessori-approach/. Accessed on 11th of June 2025.</w:t>
      </w:r>
    </w:p>
    <w:p w14:paraId="2AA1BC5B" w14:textId="77777777" w:rsidR="00754455" w:rsidRPr="00754455" w:rsidRDefault="00754455" w:rsidP="00754455">
      <w:pPr>
        <w:ind w:left="360"/>
        <w:rPr>
          <w:color w:val="000000" w:themeColor="text1"/>
        </w:rPr>
      </w:pPr>
      <w:r w:rsidRPr="00754455">
        <w:rPr>
          <w:color w:val="000000" w:themeColor="text1"/>
        </w:rPr>
        <w:t>BERA (</w:t>
      </w:r>
      <w:proofErr w:type="spellStart"/>
      <w:r w:rsidRPr="00754455">
        <w:rPr>
          <w:color w:val="000000" w:themeColor="text1"/>
        </w:rPr>
        <w:t>NoDate</w:t>
      </w:r>
      <w:proofErr w:type="spellEnd"/>
      <w:r w:rsidRPr="00754455">
        <w:rPr>
          <w:color w:val="000000" w:themeColor="text1"/>
        </w:rPr>
        <w:t>) Curriculum reform and inequality: The challenges facing Wales. Available at: https://www.bera.ac.uk/blog/curriculum-reform-and-inequality-the-challenges-facing-wales. Accessed on 13th of June 2025.</w:t>
      </w:r>
    </w:p>
    <w:p w14:paraId="19C3C168" w14:textId="77777777" w:rsidR="00754455" w:rsidRPr="00754455" w:rsidRDefault="00754455" w:rsidP="00754455">
      <w:pPr>
        <w:ind w:left="360"/>
        <w:rPr>
          <w:color w:val="000000" w:themeColor="text1"/>
        </w:rPr>
      </w:pPr>
      <w:r w:rsidRPr="00754455">
        <w:rPr>
          <w:color w:val="000000" w:themeColor="text1"/>
        </w:rPr>
        <w:t>Care Learning. (2024). 2.2 Identify Assessment Strategies In Relation To The Current Framework - Care Learning. Available at: https://carelearning.org.uk/qualifications/level-3-diploma-eyp/unit-37-school/2-2-identify-assessment-strategies-in-relation-to-the-current-framework/. Accessed on 13th of June 2025.</w:t>
      </w:r>
    </w:p>
    <w:p w14:paraId="05DF7E2A" w14:textId="77777777" w:rsidR="00754455" w:rsidRPr="00754455" w:rsidRDefault="00754455" w:rsidP="00754455">
      <w:pPr>
        <w:ind w:left="360"/>
        <w:rPr>
          <w:color w:val="000000" w:themeColor="text1"/>
        </w:rPr>
      </w:pPr>
      <w:r w:rsidRPr="00754455">
        <w:rPr>
          <w:color w:val="000000" w:themeColor="text1"/>
        </w:rPr>
        <w:t>College, C. (2024). Rethinking Curriculum: Play-based learning and continuous provision toolkit : My College. Available at: https://my.chartered.college/research-hub/rethinking-curriculum-play-based-learning-and-continuous-provision-toolkit/. Accessed on 13th of June 2025.</w:t>
      </w:r>
    </w:p>
    <w:p w14:paraId="69F7BA64" w14:textId="77777777" w:rsidR="00754455" w:rsidRPr="00754455" w:rsidRDefault="00754455" w:rsidP="00754455">
      <w:pPr>
        <w:ind w:left="360"/>
        <w:rPr>
          <w:color w:val="000000" w:themeColor="text1"/>
        </w:rPr>
      </w:pPr>
      <w:r w:rsidRPr="00754455">
        <w:rPr>
          <w:color w:val="000000" w:themeColor="text1"/>
        </w:rPr>
        <w:t xml:space="preserve">Donaldson, G. (2015) ‘Successful Futures: Independent Review of Curriculum and Assessment Arrangements in </w:t>
      </w:r>
      <w:proofErr w:type="spellStart"/>
      <w:r w:rsidRPr="00754455">
        <w:rPr>
          <w:color w:val="000000" w:themeColor="text1"/>
        </w:rPr>
        <w:t>Wales’</w:t>
      </w:r>
      <w:proofErr w:type="spellEnd"/>
      <w:r w:rsidRPr="00754455">
        <w:rPr>
          <w:color w:val="000000" w:themeColor="text1"/>
        </w:rPr>
        <w:t xml:space="preserve">  Available at: http://dera.ioe.ac.uk/22165/2/150225-successful-futures-en_Redacted.pdf  Accessed on 10th of June 2025.</w:t>
      </w:r>
    </w:p>
    <w:p w14:paraId="5FB683D0" w14:textId="77777777" w:rsidR="00754455" w:rsidRPr="00754455" w:rsidRDefault="00754455" w:rsidP="00754455">
      <w:pPr>
        <w:ind w:left="360"/>
        <w:rPr>
          <w:color w:val="000000" w:themeColor="text1"/>
        </w:rPr>
      </w:pPr>
      <w:r w:rsidRPr="00754455">
        <w:rPr>
          <w:color w:val="000000" w:themeColor="text1"/>
        </w:rPr>
        <w:t>Early Years Careers. (2025). Unlocking EYFS Development Matters: A Proven Guide For Early Years Professionals. Available at: https://www.earlyyearscareers.com/eyc/learning-and-development/eyfs-development-matters-a-guide-for-early-years-professionals/. Accessed on 10th if June 2025.</w:t>
      </w:r>
    </w:p>
    <w:p w14:paraId="77EBBB92" w14:textId="77777777" w:rsidR="00754455" w:rsidRPr="00754455" w:rsidRDefault="00754455" w:rsidP="00754455">
      <w:pPr>
        <w:ind w:left="360"/>
        <w:rPr>
          <w:color w:val="000000" w:themeColor="text1"/>
        </w:rPr>
      </w:pPr>
      <w:r w:rsidRPr="00754455">
        <w:rPr>
          <w:color w:val="000000" w:themeColor="text1"/>
        </w:rPr>
        <w:t>Early Years Coalition (2021). Birth to 5 Matters: Non-statutory Guidance for the Early Years Foundation Stage.  Birth to 5 Matters. St Albans: Early Education. Available at: https://birthto5matters.org.uk/wp-content/uploads/2021/04/Birthto5Matters-download.pdf. Accessed on 13th of June 2025.</w:t>
      </w:r>
    </w:p>
    <w:p w14:paraId="2987B74B" w14:textId="77777777" w:rsidR="00754455" w:rsidRPr="00754455" w:rsidRDefault="00754455" w:rsidP="00754455">
      <w:pPr>
        <w:ind w:left="360"/>
        <w:rPr>
          <w:color w:val="000000" w:themeColor="text1"/>
        </w:rPr>
      </w:pPr>
      <w:r w:rsidRPr="00754455">
        <w:rPr>
          <w:color w:val="000000" w:themeColor="text1"/>
        </w:rPr>
        <w:t>GOV.WALES. (no date). Curriculum for Wales: Annual Report 2022. Available at: https://www.gov.wales/curriculum-wales-annual-report-2022-html. Accessed on 13th of June 2025.</w:t>
      </w:r>
    </w:p>
    <w:p w14:paraId="568F7769" w14:textId="77777777" w:rsidR="00754455" w:rsidRPr="00754455" w:rsidRDefault="00754455" w:rsidP="00754455">
      <w:pPr>
        <w:ind w:left="360"/>
        <w:rPr>
          <w:color w:val="000000" w:themeColor="text1"/>
        </w:rPr>
      </w:pPr>
      <w:r w:rsidRPr="00754455">
        <w:rPr>
          <w:color w:val="000000" w:themeColor="text1"/>
        </w:rPr>
        <w:t>House of Commons (2024). Comparing the school curriculum across the Uk. Available at: https://researchbriefings.files.parliament.uk/documents/CBP-9834/CBP-9834.pdf Accessed on 13th of June 2025.</w:t>
      </w:r>
    </w:p>
    <w:p w14:paraId="58E4D5B4" w14:textId="77777777" w:rsidR="00754455" w:rsidRPr="00754455" w:rsidRDefault="00754455" w:rsidP="00754455">
      <w:pPr>
        <w:ind w:left="360"/>
        <w:rPr>
          <w:color w:val="000000" w:themeColor="text1"/>
        </w:rPr>
      </w:pPr>
      <w:r w:rsidRPr="00754455">
        <w:rPr>
          <w:color w:val="000000" w:themeColor="text1"/>
        </w:rPr>
        <w:t>Local Government Association (2023). Early education and childcare: Changes and challenges for the future | Local Government Association. www.local.gov.uk. Available at: https://www.local.gov.uk/publications/early-education-and-childcare-changes-and-challenges-future. Accessed on 13th of June 2025.</w:t>
      </w:r>
    </w:p>
    <w:p w14:paraId="5DE73D12" w14:textId="77777777" w:rsidR="00754455" w:rsidRPr="00754455" w:rsidRDefault="00754455" w:rsidP="00754455">
      <w:pPr>
        <w:ind w:left="360"/>
        <w:rPr>
          <w:color w:val="000000" w:themeColor="text1"/>
        </w:rPr>
      </w:pPr>
      <w:r w:rsidRPr="00754455">
        <w:rPr>
          <w:color w:val="000000" w:themeColor="text1"/>
        </w:rPr>
        <w:t>Macdonald, N. (2018). The Great Divide: Separation of Care and Education in Wales and examination of policy, reform and research evidence. Available at: https://www.researchgate.net/publication/328838084_The_Great_Divide_separation_of_ca</w:t>
      </w:r>
      <w:r w:rsidRPr="00754455">
        <w:rPr>
          <w:color w:val="000000" w:themeColor="text1"/>
        </w:rPr>
        <w:lastRenderedPageBreak/>
        <w:t xml:space="preserve">re_and_education_in_Wales_an_examination_of_policy_reform_and_research_evidence  Accessed on 10th of June 2025. </w:t>
      </w:r>
    </w:p>
    <w:p w14:paraId="0B1EBDD9" w14:textId="77777777" w:rsidR="00754455" w:rsidRPr="00754455" w:rsidRDefault="00754455" w:rsidP="00754455">
      <w:pPr>
        <w:ind w:left="360"/>
        <w:rPr>
          <w:color w:val="000000" w:themeColor="text1"/>
        </w:rPr>
      </w:pPr>
      <w:r w:rsidRPr="00754455">
        <w:rPr>
          <w:color w:val="000000" w:themeColor="text1"/>
        </w:rPr>
        <w:t>NAEYC (2023). DAP: Planning and Implementing an Engaging Curriculum to Achieve Meaningful Goals.  Available at: https://www.naeyc.org/resources/position-statements/dap/planning-curriculum. Accessed on 9th of June 2025.</w:t>
      </w:r>
    </w:p>
    <w:p w14:paraId="3565ED4C" w14:textId="77777777" w:rsidR="00754455" w:rsidRPr="00754455" w:rsidRDefault="00754455" w:rsidP="00754455">
      <w:pPr>
        <w:ind w:left="360"/>
        <w:rPr>
          <w:color w:val="000000" w:themeColor="text1"/>
        </w:rPr>
      </w:pPr>
      <w:proofErr w:type="spellStart"/>
      <w:r w:rsidRPr="00754455">
        <w:rPr>
          <w:color w:val="000000" w:themeColor="text1"/>
        </w:rPr>
        <w:t>Nikoçeviq</w:t>
      </w:r>
      <w:proofErr w:type="spellEnd"/>
      <w:r w:rsidRPr="00754455">
        <w:rPr>
          <w:color w:val="000000" w:themeColor="text1"/>
        </w:rPr>
        <w:t xml:space="preserve">-Kurti, E., </w:t>
      </w:r>
      <w:proofErr w:type="spellStart"/>
      <w:r w:rsidRPr="00754455">
        <w:rPr>
          <w:color w:val="000000" w:themeColor="text1"/>
        </w:rPr>
        <w:t>Saqipi</w:t>
      </w:r>
      <w:proofErr w:type="spellEnd"/>
      <w:r w:rsidRPr="00754455">
        <w:rPr>
          <w:color w:val="000000" w:themeColor="text1"/>
        </w:rPr>
        <w:t xml:space="preserve">, B. and </w:t>
      </w:r>
      <w:proofErr w:type="spellStart"/>
      <w:r w:rsidRPr="00754455">
        <w:rPr>
          <w:color w:val="000000" w:themeColor="text1"/>
        </w:rPr>
        <w:t>Kaçaniku</w:t>
      </w:r>
      <w:proofErr w:type="spellEnd"/>
      <w:r w:rsidRPr="00754455">
        <w:rPr>
          <w:color w:val="000000" w:themeColor="text1"/>
        </w:rPr>
        <w:t xml:space="preserve">, F. (2025). Navigating change: exploring the interplay between teachers’ understanding of curriculum reform and their self-efficacy. </w:t>
      </w:r>
      <w:proofErr w:type="spellStart"/>
      <w:r w:rsidRPr="00754455">
        <w:rPr>
          <w:color w:val="000000" w:themeColor="text1"/>
        </w:rPr>
        <w:t>doi</w:t>
      </w:r>
      <w:proofErr w:type="spellEnd"/>
      <w:r w:rsidRPr="00754455">
        <w:rPr>
          <w:color w:val="000000" w:themeColor="text1"/>
        </w:rPr>
        <w:t>: https://doi.org/10.1007/s41297-025-00308-8. Accessed on 9th of June 2025.</w:t>
      </w:r>
    </w:p>
    <w:p w14:paraId="224D50AE" w14:textId="77777777" w:rsidR="00754455" w:rsidRPr="00754455" w:rsidRDefault="00754455" w:rsidP="00754455">
      <w:pPr>
        <w:ind w:left="360"/>
        <w:rPr>
          <w:color w:val="000000" w:themeColor="text1"/>
        </w:rPr>
      </w:pPr>
      <w:r w:rsidRPr="00754455">
        <w:rPr>
          <w:color w:val="000000" w:themeColor="text1"/>
        </w:rPr>
        <w:t>No. 7. (no date) OECD Education Policy Perspectives. Available at: https://atrico.org/wp-content/uploads/2019/11/Achieving-the-curriculum-for-Wales-PP.pdf. Accessed on 13th of June 2025.</w:t>
      </w:r>
    </w:p>
    <w:p w14:paraId="0B1CF569" w14:textId="77777777" w:rsidR="00754455" w:rsidRPr="00754455" w:rsidRDefault="00754455" w:rsidP="00754455">
      <w:pPr>
        <w:ind w:left="360"/>
        <w:rPr>
          <w:color w:val="000000" w:themeColor="text1"/>
        </w:rPr>
      </w:pPr>
      <w:r w:rsidRPr="00754455">
        <w:rPr>
          <w:color w:val="000000" w:themeColor="text1"/>
        </w:rPr>
        <w:t>OECD (2017) ‘The Welsh Education Reform Journey: A rapid policy assessment’ Available: http://www.oecd.org/edu/The-Welsh-Education-Reform-Journey.pdf  Accessed on 10th of June 2025.</w:t>
      </w:r>
    </w:p>
    <w:p w14:paraId="70FF7A95" w14:textId="77777777" w:rsidR="00754455" w:rsidRPr="00754455" w:rsidRDefault="00754455" w:rsidP="00754455">
      <w:pPr>
        <w:ind w:left="360"/>
        <w:rPr>
          <w:color w:val="000000" w:themeColor="text1"/>
        </w:rPr>
      </w:pPr>
      <w:proofErr w:type="spellStart"/>
      <w:r w:rsidRPr="00754455">
        <w:rPr>
          <w:color w:val="000000" w:themeColor="text1"/>
        </w:rPr>
        <w:t>Play.Wales</w:t>
      </w:r>
      <w:proofErr w:type="spellEnd"/>
      <w:r w:rsidRPr="00754455">
        <w:rPr>
          <w:color w:val="000000" w:themeColor="text1"/>
        </w:rPr>
        <w:t>. (</w:t>
      </w:r>
      <w:proofErr w:type="spellStart"/>
      <w:r w:rsidRPr="00754455">
        <w:rPr>
          <w:color w:val="000000" w:themeColor="text1"/>
        </w:rPr>
        <w:t>nodate</w:t>
      </w:r>
      <w:proofErr w:type="spellEnd"/>
      <w:r w:rsidRPr="00754455">
        <w:rPr>
          <w:color w:val="000000" w:themeColor="text1"/>
        </w:rPr>
        <w:t>). Current play policy in Wales - Play Wales. Available at: https://play.wales/play-policy-legislation/current-policies/. Accessed on 13th of June 2025.</w:t>
      </w:r>
    </w:p>
    <w:p w14:paraId="140EA43C" w14:textId="77777777" w:rsidR="00754455" w:rsidRPr="00754455" w:rsidRDefault="00754455" w:rsidP="00754455">
      <w:pPr>
        <w:ind w:left="360"/>
        <w:rPr>
          <w:color w:val="000000" w:themeColor="text1"/>
        </w:rPr>
      </w:pPr>
      <w:r w:rsidRPr="00754455">
        <w:rPr>
          <w:color w:val="000000" w:themeColor="text1"/>
        </w:rPr>
        <w:t>Schwartz, S.J. and Unger, J.B. (2010). Biculturalism and Context: What Is Biculturalism, and When Is It Adaptive?: Commentary on Mistry and Wu. Human Development, 53(1), pp.26–32. Available at: https://www.jstor.org/stable/26764940. Accessed on 13th of June 2025.</w:t>
      </w:r>
    </w:p>
    <w:p w14:paraId="10BF6040" w14:textId="77777777" w:rsidR="00754455" w:rsidRPr="00754455" w:rsidRDefault="00754455" w:rsidP="00754455">
      <w:pPr>
        <w:ind w:left="360"/>
        <w:rPr>
          <w:color w:val="000000" w:themeColor="text1"/>
        </w:rPr>
      </w:pPr>
      <w:r w:rsidRPr="00754455">
        <w:rPr>
          <w:color w:val="000000" w:themeColor="text1"/>
        </w:rPr>
        <w:t xml:space="preserve">Siraj-Blatchford, I., Sylva, K., </w:t>
      </w:r>
      <w:proofErr w:type="spellStart"/>
      <w:r w:rsidRPr="00754455">
        <w:rPr>
          <w:color w:val="000000" w:themeColor="text1"/>
        </w:rPr>
        <w:t>Muttock</w:t>
      </w:r>
      <w:proofErr w:type="spellEnd"/>
      <w:r w:rsidRPr="00754455">
        <w:rPr>
          <w:color w:val="000000" w:themeColor="text1"/>
        </w:rPr>
        <w:t>, S., Gilden, R. and Bell, D. (2002). Researching Effective Pedagogy in the Early Years RESEARCH. p.11. Available at: https://dera.ioe.ac.uk/id/eprint/4650/1/RR356.pdf. Accessed on 13th of June 2025.</w:t>
      </w:r>
    </w:p>
    <w:p w14:paraId="18DC318C" w14:textId="77777777" w:rsidR="00754455" w:rsidRPr="00754455" w:rsidRDefault="00754455" w:rsidP="00754455">
      <w:pPr>
        <w:ind w:left="360"/>
        <w:rPr>
          <w:color w:val="000000" w:themeColor="text1"/>
        </w:rPr>
      </w:pPr>
      <w:r w:rsidRPr="00754455">
        <w:rPr>
          <w:color w:val="000000" w:themeColor="text1"/>
        </w:rPr>
        <w:t xml:space="preserve"> </w:t>
      </w:r>
      <w:proofErr w:type="spellStart"/>
      <w:r w:rsidRPr="00754455">
        <w:rPr>
          <w:color w:val="000000" w:themeColor="text1"/>
        </w:rPr>
        <w:t>softvenceomega</w:t>
      </w:r>
      <w:proofErr w:type="spellEnd"/>
      <w:r w:rsidRPr="00754455">
        <w:rPr>
          <w:color w:val="000000" w:themeColor="text1"/>
        </w:rPr>
        <w:t xml:space="preserve"> (2025). Navigating the UK School System: Key Differences and Similarities - </w:t>
      </w:r>
      <w:proofErr w:type="spellStart"/>
      <w:r w:rsidRPr="00754455">
        <w:rPr>
          <w:color w:val="000000" w:themeColor="text1"/>
        </w:rPr>
        <w:t>iCan</w:t>
      </w:r>
      <w:proofErr w:type="spellEnd"/>
      <w:r w:rsidRPr="00754455">
        <w:rPr>
          <w:color w:val="000000" w:themeColor="text1"/>
        </w:rPr>
        <w:t xml:space="preserve"> Teach </w:t>
      </w:r>
      <w:proofErr w:type="spellStart"/>
      <w:r w:rsidRPr="00754455">
        <w:rPr>
          <w:color w:val="000000" w:themeColor="text1"/>
        </w:rPr>
        <w:t>UK.Available</w:t>
      </w:r>
      <w:proofErr w:type="spellEnd"/>
      <w:r w:rsidRPr="00754455">
        <w:rPr>
          <w:color w:val="000000" w:themeColor="text1"/>
        </w:rPr>
        <w:t xml:space="preserve"> at: https://ican-teachuk.com/navigating-the-uk-school-system-key-differences-and-similarities/  Accessed on 13th of June 2025.</w:t>
      </w:r>
    </w:p>
    <w:p w14:paraId="52658779" w14:textId="77777777" w:rsidR="00754455" w:rsidRPr="00754455" w:rsidRDefault="00754455" w:rsidP="00754455">
      <w:pPr>
        <w:ind w:left="360"/>
        <w:rPr>
          <w:color w:val="000000" w:themeColor="text1"/>
        </w:rPr>
      </w:pPr>
      <w:proofErr w:type="spellStart"/>
      <w:r w:rsidRPr="00754455">
        <w:rPr>
          <w:color w:val="000000" w:themeColor="text1"/>
        </w:rPr>
        <w:t>Storypark</w:t>
      </w:r>
      <w:proofErr w:type="spellEnd"/>
      <w:r w:rsidRPr="00754455">
        <w:rPr>
          <w:color w:val="000000" w:themeColor="text1"/>
        </w:rPr>
        <w:t xml:space="preserve"> (2017). Digital portfolios and the Reggio Emilia approach. </w:t>
      </w:r>
      <w:proofErr w:type="spellStart"/>
      <w:r w:rsidRPr="00754455">
        <w:rPr>
          <w:color w:val="000000" w:themeColor="text1"/>
        </w:rPr>
        <w:t>Storypark</w:t>
      </w:r>
      <w:proofErr w:type="spellEnd"/>
      <w:r w:rsidRPr="00754455">
        <w:rPr>
          <w:color w:val="000000" w:themeColor="text1"/>
        </w:rPr>
        <w:t xml:space="preserve"> Blog. Available at: https://blog.storypark.com/2017/01/digital-portfolios-reggio-emilia-approach/ Accessed on 13th of June 2025.</w:t>
      </w:r>
    </w:p>
    <w:p w14:paraId="1C0B0EF7" w14:textId="77777777" w:rsidR="00754455" w:rsidRPr="00754455" w:rsidRDefault="00754455" w:rsidP="00754455">
      <w:pPr>
        <w:ind w:left="360"/>
        <w:rPr>
          <w:color w:val="000000" w:themeColor="text1"/>
        </w:rPr>
      </w:pPr>
      <w:r w:rsidRPr="00754455">
        <w:rPr>
          <w:color w:val="000000" w:themeColor="text1"/>
        </w:rPr>
        <w:t>Teachers Institute. (2024). Navigating Curriculum Change: Strategies for Modern Education. Available at: https://teachers.institute/education-nature-purposes/navigating-curriculum-change-modern-education-strategies/. Accessed on 10th of June 2025.</w:t>
      </w:r>
    </w:p>
    <w:p w14:paraId="6F49E3AF" w14:textId="77777777" w:rsidR="00754455" w:rsidRPr="00754455" w:rsidRDefault="00754455" w:rsidP="00754455">
      <w:pPr>
        <w:ind w:left="360"/>
        <w:rPr>
          <w:color w:val="000000" w:themeColor="text1"/>
        </w:rPr>
      </w:pPr>
      <w:r w:rsidRPr="00754455">
        <w:rPr>
          <w:color w:val="000000" w:themeColor="text1"/>
        </w:rPr>
        <w:t xml:space="preserve">Waldron, N.L. and McLeskey, J. (2010). Establishing a Collaborative School Culture Through Comprehensive School Reform. Journal of Educational and Psychological Consultation, 20(1), pp.58–74. </w:t>
      </w:r>
      <w:proofErr w:type="spellStart"/>
      <w:r w:rsidRPr="00754455">
        <w:rPr>
          <w:color w:val="000000" w:themeColor="text1"/>
        </w:rPr>
        <w:t>doi</w:t>
      </w:r>
      <w:proofErr w:type="spellEnd"/>
      <w:r w:rsidRPr="00754455">
        <w:rPr>
          <w:color w:val="000000" w:themeColor="text1"/>
        </w:rPr>
        <w:t xml:space="preserve">: https://doi.org/10.1080/10474410903535364. Accessed on 13th of June 2025. </w:t>
      </w:r>
    </w:p>
    <w:p w14:paraId="00B09522" w14:textId="77777777" w:rsidR="00754455" w:rsidRPr="00754455" w:rsidRDefault="00754455" w:rsidP="00754455">
      <w:pPr>
        <w:ind w:left="360"/>
        <w:rPr>
          <w:color w:val="000000" w:themeColor="text1"/>
        </w:rPr>
      </w:pPr>
      <w:r w:rsidRPr="00754455">
        <w:rPr>
          <w:color w:val="000000" w:themeColor="text1"/>
        </w:rPr>
        <w:t>Waters, J. and Payler, J. (2015) ‘The professional development of early years educators – achieving systematic, sustainable and transformative change’ Professional Development in Education, Vol. 41 (2) pp.161-168.</w:t>
      </w:r>
    </w:p>
    <w:p w14:paraId="1155E3D7" w14:textId="77777777" w:rsidR="00754455" w:rsidRPr="00754455" w:rsidRDefault="00754455" w:rsidP="00754455">
      <w:pPr>
        <w:ind w:left="360"/>
        <w:rPr>
          <w:color w:val="000000" w:themeColor="text1"/>
        </w:rPr>
      </w:pPr>
      <w:r w:rsidRPr="00754455">
        <w:rPr>
          <w:color w:val="000000" w:themeColor="text1"/>
        </w:rPr>
        <w:t xml:space="preserve">Welsh Government (2014) Independent stocktake of the foundation phase in Wales: Final Report. Cardiff: Welsh Government. Available at: </w:t>
      </w:r>
      <w:r w:rsidRPr="00754455">
        <w:rPr>
          <w:color w:val="000000" w:themeColor="text1"/>
        </w:rPr>
        <w:lastRenderedPageBreak/>
        <w:t>https://gov.wales/sites/default/files/publications/2018-03/an-independent-stocktake-of-the-foundation-phase-in-wales-final-report.pdf  Accessed on 10th of June 2025.</w:t>
      </w:r>
    </w:p>
    <w:p w14:paraId="27126236" w14:textId="77777777" w:rsidR="00754455" w:rsidRPr="00754455" w:rsidRDefault="00754455" w:rsidP="00754455">
      <w:pPr>
        <w:ind w:left="360"/>
        <w:rPr>
          <w:color w:val="000000" w:themeColor="text1"/>
        </w:rPr>
      </w:pPr>
      <w:r w:rsidRPr="00754455">
        <w:rPr>
          <w:color w:val="000000" w:themeColor="text1"/>
        </w:rPr>
        <w:t xml:space="preserve">Welsh Government (2015c) Curriculum for Wales Foundation Phase Outcomes (revised 2015). Welsh Government: Cardiff. Available at: http://gov.wales/docs/dcells/publications/150803-fp-framework-en.pdf  Accessed on 12th of June 2025. </w:t>
      </w:r>
    </w:p>
    <w:p w14:paraId="074E6BF4" w14:textId="77777777" w:rsidR="00754455" w:rsidRPr="00754455" w:rsidRDefault="00754455" w:rsidP="00754455">
      <w:pPr>
        <w:ind w:left="360"/>
        <w:rPr>
          <w:color w:val="000000" w:themeColor="text1"/>
        </w:rPr>
      </w:pPr>
      <w:r w:rsidRPr="00754455">
        <w:rPr>
          <w:color w:val="000000" w:themeColor="text1"/>
        </w:rPr>
        <w:t>Welsh Government (2023). Early childhood play, learning and care in Wales - Hwb.. Available at: https://hwb.gov.wales/curriculum-for-wales/early-childhood-play-learning-and-care-in-wales/. Accessed on 13th of June 2025.</w:t>
      </w:r>
    </w:p>
    <w:p w14:paraId="3B77D8DC" w14:textId="66901F8E" w:rsidR="003B2D90" w:rsidRPr="006E4F42" w:rsidRDefault="00754455" w:rsidP="00754455">
      <w:pPr>
        <w:ind w:left="360"/>
        <w:rPr>
          <w:color w:val="EE0000"/>
        </w:rPr>
      </w:pPr>
      <w:r w:rsidRPr="00754455">
        <w:rPr>
          <w:color w:val="000000" w:themeColor="text1"/>
        </w:rPr>
        <w:t>Wightwick, A. (2019). Wales’s schools ranked the worst in UK for fifth time running. Available at: https://www.walesonline.co.uk/news/education/pisa-wales-international-schools-2019-17346247. Accessed on 13th of June 2025.</w:t>
      </w:r>
    </w:p>
    <w:p w14:paraId="3D53B840" w14:textId="77777777" w:rsidR="00D22536" w:rsidRDefault="00D22536" w:rsidP="00977FB2">
      <w:pPr>
        <w:ind w:left="360"/>
        <w:rPr>
          <w:color w:val="000000" w:themeColor="text1"/>
        </w:rPr>
      </w:pPr>
    </w:p>
    <w:p w14:paraId="10BFBBEB" w14:textId="77777777" w:rsidR="003F1841" w:rsidRDefault="003F1841" w:rsidP="00977FB2">
      <w:pPr>
        <w:ind w:left="360"/>
        <w:rPr>
          <w:color w:val="000000" w:themeColor="text1"/>
        </w:rPr>
      </w:pPr>
    </w:p>
    <w:p w14:paraId="313FE123" w14:textId="77777777" w:rsidR="00751DC3" w:rsidRPr="00751DC3" w:rsidRDefault="00751DC3" w:rsidP="00751DC3">
      <w:pPr>
        <w:ind w:left="360"/>
        <w:rPr>
          <w:color w:val="000000" w:themeColor="text1"/>
        </w:rPr>
      </w:pPr>
    </w:p>
    <w:sectPr w:rsidR="00751DC3" w:rsidRPr="00751DC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8993E" w14:textId="77777777" w:rsidR="009C1DFF" w:rsidRDefault="009C1DFF" w:rsidP="008D155D">
      <w:pPr>
        <w:spacing w:after="0" w:line="240" w:lineRule="auto"/>
      </w:pPr>
      <w:r>
        <w:separator/>
      </w:r>
    </w:p>
  </w:endnote>
  <w:endnote w:type="continuationSeparator" w:id="0">
    <w:p w14:paraId="214C1CDA" w14:textId="77777777" w:rsidR="009C1DFF" w:rsidRDefault="009C1DFF" w:rsidP="008D15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8411877"/>
      <w:docPartObj>
        <w:docPartGallery w:val="Page Numbers (Bottom of Page)"/>
        <w:docPartUnique/>
      </w:docPartObj>
    </w:sdtPr>
    <w:sdtEndPr/>
    <w:sdtContent>
      <w:p w14:paraId="1B54E9F1" w14:textId="2903E0E9" w:rsidR="008D155D" w:rsidRDefault="008D155D">
        <w:pPr>
          <w:pStyle w:val="Footer"/>
        </w:pPr>
        <w:r>
          <w:fldChar w:fldCharType="begin"/>
        </w:r>
        <w:r>
          <w:instrText>PAGE   \* MERGEFORMAT</w:instrText>
        </w:r>
        <w:r>
          <w:fldChar w:fldCharType="separate"/>
        </w:r>
        <w:r>
          <w:t>2</w:t>
        </w:r>
        <w:r>
          <w:fldChar w:fldCharType="end"/>
        </w:r>
      </w:p>
    </w:sdtContent>
  </w:sdt>
  <w:p w14:paraId="4528FD1E" w14:textId="655ED6C5" w:rsidR="008D155D" w:rsidRDefault="008D15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46425F" w14:textId="77777777" w:rsidR="009C1DFF" w:rsidRDefault="009C1DFF" w:rsidP="008D155D">
      <w:pPr>
        <w:spacing w:after="0" w:line="240" w:lineRule="auto"/>
      </w:pPr>
      <w:r>
        <w:separator/>
      </w:r>
    </w:p>
  </w:footnote>
  <w:footnote w:type="continuationSeparator" w:id="0">
    <w:p w14:paraId="09B29078" w14:textId="77777777" w:rsidR="009C1DFF" w:rsidRDefault="009C1DFF" w:rsidP="008D15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59455A" w14:textId="1BB42CBF" w:rsidR="008D155D" w:rsidRDefault="008D155D">
    <w:pPr>
      <w:pStyle w:val="Header"/>
    </w:pPr>
    <w:r>
      <w:t>2308039                                                                ECEY6010                                                        Word Count:</w:t>
    </w:r>
    <w:r w:rsidR="00751DC3">
      <w:t xml:space="preserve"> 4’</w:t>
    </w:r>
    <w:r w:rsidR="001C4C86">
      <w:t>282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6467B"/>
    <w:multiLevelType w:val="hybridMultilevel"/>
    <w:tmpl w:val="2326D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E2197"/>
    <w:multiLevelType w:val="hybridMultilevel"/>
    <w:tmpl w:val="C4BAA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AC4893"/>
    <w:multiLevelType w:val="hybridMultilevel"/>
    <w:tmpl w:val="48240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215B19"/>
    <w:multiLevelType w:val="hybridMultilevel"/>
    <w:tmpl w:val="49FA7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D45F7"/>
    <w:multiLevelType w:val="hybridMultilevel"/>
    <w:tmpl w:val="1360B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B244B0"/>
    <w:multiLevelType w:val="hybridMultilevel"/>
    <w:tmpl w:val="51F46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5D1334"/>
    <w:multiLevelType w:val="hybridMultilevel"/>
    <w:tmpl w:val="3F1C9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D7385D"/>
    <w:multiLevelType w:val="hybridMultilevel"/>
    <w:tmpl w:val="39306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8A7CC7"/>
    <w:multiLevelType w:val="hybridMultilevel"/>
    <w:tmpl w:val="F2508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510D45"/>
    <w:multiLevelType w:val="hybridMultilevel"/>
    <w:tmpl w:val="1026C1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4016250">
    <w:abstractNumId w:val="1"/>
  </w:num>
  <w:num w:numId="2" w16cid:durableId="477235250">
    <w:abstractNumId w:val="2"/>
  </w:num>
  <w:num w:numId="3" w16cid:durableId="1234268508">
    <w:abstractNumId w:val="3"/>
  </w:num>
  <w:num w:numId="4" w16cid:durableId="1654917797">
    <w:abstractNumId w:val="0"/>
  </w:num>
  <w:num w:numId="5" w16cid:durableId="215899671">
    <w:abstractNumId w:val="6"/>
  </w:num>
  <w:num w:numId="6" w16cid:durableId="1618490999">
    <w:abstractNumId w:val="4"/>
  </w:num>
  <w:num w:numId="7" w16cid:durableId="938180588">
    <w:abstractNumId w:val="5"/>
  </w:num>
  <w:num w:numId="8" w16cid:durableId="1221592480">
    <w:abstractNumId w:val="9"/>
  </w:num>
  <w:num w:numId="9" w16cid:durableId="1998725397">
    <w:abstractNumId w:val="7"/>
  </w:num>
  <w:num w:numId="10" w16cid:durableId="17601793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73B"/>
    <w:rsid w:val="00001394"/>
    <w:rsid w:val="000137D1"/>
    <w:rsid w:val="000212CA"/>
    <w:rsid w:val="00044CDC"/>
    <w:rsid w:val="00052C19"/>
    <w:rsid w:val="00055E18"/>
    <w:rsid w:val="000F208A"/>
    <w:rsid w:val="00111F53"/>
    <w:rsid w:val="0013788A"/>
    <w:rsid w:val="001530C8"/>
    <w:rsid w:val="00170B41"/>
    <w:rsid w:val="001738DA"/>
    <w:rsid w:val="001C3B49"/>
    <w:rsid w:val="001C418A"/>
    <w:rsid w:val="001C4C86"/>
    <w:rsid w:val="001E7D1D"/>
    <w:rsid w:val="002106F2"/>
    <w:rsid w:val="002641DA"/>
    <w:rsid w:val="002A7BFD"/>
    <w:rsid w:val="002C4072"/>
    <w:rsid w:val="002C73D3"/>
    <w:rsid w:val="002E3EEA"/>
    <w:rsid w:val="00314F13"/>
    <w:rsid w:val="00331CAA"/>
    <w:rsid w:val="0034415B"/>
    <w:rsid w:val="003B2D90"/>
    <w:rsid w:val="003F1841"/>
    <w:rsid w:val="004126CB"/>
    <w:rsid w:val="004819E8"/>
    <w:rsid w:val="00495D40"/>
    <w:rsid w:val="004A3F16"/>
    <w:rsid w:val="004B429B"/>
    <w:rsid w:val="004B65B2"/>
    <w:rsid w:val="00504B38"/>
    <w:rsid w:val="00516331"/>
    <w:rsid w:val="005515A8"/>
    <w:rsid w:val="005A0610"/>
    <w:rsid w:val="005B7D73"/>
    <w:rsid w:val="005C0937"/>
    <w:rsid w:val="006069EA"/>
    <w:rsid w:val="00657458"/>
    <w:rsid w:val="00663C01"/>
    <w:rsid w:val="0068240F"/>
    <w:rsid w:val="00693171"/>
    <w:rsid w:val="00694370"/>
    <w:rsid w:val="006B2A80"/>
    <w:rsid w:val="006C4D34"/>
    <w:rsid w:val="006E4F42"/>
    <w:rsid w:val="006E562B"/>
    <w:rsid w:val="00734688"/>
    <w:rsid w:val="00747E33"/>
    <w:rsid w:val="00751DC3"/>
    <w:rsid w:val="00754455"/>
    <w:rsid w:val="007C4F28"/>
    <w:rsid w:val="007F1782"/>
    <w:rsid w:val="0081314C"/>
    <w:rsid w:val="00843E8D"/>
    <w:rsid w:val="0086691C"/>
    <w:rsid w:val="00894037"/>
    <w:rsid w:val="008D155D"/>
    <w:rsid w:val="008E26DC"/>
    <w:rsid w:val="008E5F36"/>
    <w:rsid w:val="00917EE3"/>
    <w:rsid w:val="00967D22"/>
    <w:rsid w:val="00977FB2"/>
    <w:rsid w:val="009B4A85"/>
    <w:rsid w:val="009C1DFF"/>
    <w:rsid w:val="00A04EF6"/>
    <w:rsid w:val="00A410E8"/>
    <w:rsid w:val="00A50DFE"/>
    <w:rsid w:val="00A6361D"/>
    <w:rsid w:val="00A74697"/>
    <w:rsid w:val="00A8147E"/>
    <w:rsid w:val="00AC1B22"/>
    <w:rsid w:val="00AE212C"/>
    <w:rsid w:val="00B1226C"/>
    <w:rsid w:val="00B22426"/>
    <w:rsid w:val="00B3173B"/>
    <w:rsid w:val="00B31E9C"/>
    <w:rsid w:val="00B47BC8"/>
    <w:rsid w:val="00BB37AD"/>
    <w:rsid w:val="00BC35C7"/>
    <w:rsid w:val="00BD3E47"/>
    <w:rsid w:val="00C06807"/>
    <w:rsid w:val="00C321F1"/>
    <w:rsid w:val="00C52325"/>
    <w:rsid w:val="00C67CA0"/>
    <w:rsid w:val="00C8312A"/>
    <w:rsid w:val="00CB6698"/>
    <w:rsid w:val="00CC3F52"/>
    <w:rsid w:val="00CF59A7"/>
    <w:rsid w:val="00D061E2"/>
    <w:rsid w:val="00D22536"/>
    <w:rsid w:val="00D530B0"/>
    <w:rsid w:val="00D72815"/>
    <w:rsid w:val="00D84CD7"/>
    <w:rsid w:val="00DB6646"/>
    <w:rsid w:val="00DD0A0C"/>
    <w:rsid w:val="00E1786E"/>
    <w:rsid w:val="00E2091D"/>
    <w:rsid w:val="00E32D0F"/>
    <w:rsid w:val="00E47A0A"/>
    <w:rsid w:val="00E63F6C"/>
    <w:rsid w:val="00E73B6D"/>
    <w:rsid w:val="00E75E66"/>
    <w:rsid w:val="00E90E8C"/>
    <w:rsid w:val="00E920A6"/>
    <w:rsid w:val="00E9300A"/>
    <w:rsid w:val="00EC3458"/>
    <w:rsid w:val="00EF6953"/>
    <w:rsid w:val="00F24985"/>
    <w:rsid w:val="00F3793B"/>
    <w:rsid w:val="00F43734"/>
    <w:rsid w:val="00F5383B"/>
    <w:rsid w:val="00F759AA"/>
    <w:rsid w:val="00F832D7"/>
    <w:rsid w:val="00F851EE"/>
    <w:rsid w:val="00F94C8D"/>
    <w:rsid w:val="00FB260C"/>
    <w:rsid w:val="00FE1A35"/>
    <w:rsid w:val="00FE6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2BD7F"/>
  <w15:chartTrackingRefBased/>
  <w15:docId w15:val="{132BE166-302E-4AF4-BF8E-2F0BB3E05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7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17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17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17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17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17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17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17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17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7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17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17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17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17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17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17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17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173B"/>
    <w:rPr>
      <w:rFonts w:eastAsiaTheme="majorEastAsia" w:cstheme="majorBidi"/>
      <w:color w:val="272727" w:themeColor="text1" w:themeTint="D8"/>
    </w:rPr>
  </w:style>
  <w:style w:type="paragraph" w:styleId="Title">
    <w:name w:val="Title"/>
    <w:basedOn w:val="Normal"/>
    <w:next w:val="Normal"/>
    <w:link w:val="TitleChar"/>
    <w:uiPriority w:val="10"/>
    <w:qFormat/>
    <w:rsid w:val="00B317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7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17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17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173B"/>
    <w:pPr>
      <w:spacing w:before="160"/>
      <w:jc w:val="center"/>
    </w:pPr>
    <w:rPr>
      <w:i/>
      <w:iCs/>
      <w:color w:val="404040" w:themeColor="text1" w:themeTint="BF"/>
    </w:rPr>
  </w:style>
  <w:style w:type="character" w:customStyle="1" w:styleId="QuoteChar">
    <w:name w:val="Quote Char"/>
    <w:basedOn w:val="DefaultParagraphFont"/>
    <w:link w:val="Quote"/>
    <w:uiPriority w:val="29"/>
    <w:rsid w:val="00B3173B"/>
    <w:rPr>
      <w:i/>
      <w:iCs/>
      <w:color w:val="404040" w:themeColor="text1" w:themeTint="BF"/>
    </w:rPr>
  </w:style>
  <w:style w:type="paragraph" w:styleId="ListParagraph">
    <w:name w:val="List Paragraph"/>
    <w:basedOn w:val="Normal"/>
    <w:uiPriority w:val="34"/>
    <w:qFormat/>
    <w:rsid w:val="00B3173B"/>
    <w:pPr>
      <w:ind w:left="720"/>
      <w:contextualSpacing/>
    </w:pPr>
  </w:style>
  <w:style w:type="character" w:styleId="IntenseEmphasis">
    <w:name w:val="Intense Emphasis"/>
    <w:basedOn w:val="DefaultParagraphFont"/>
    <w:uiPriority w:val="21"/>
    <w:qFormat/>
    <w:rsid w:val="00B3173B"/>
    <w:rPr>
      <w:i/>
      <w:iCs/>
      <w:color w:val="0F4761" w:themeColor="accent1" w:themeShade="BF"/>
    </w:rPr>
  </w:style>
  <w:style w:type="paragraph" w:styleId="IntenseQuote">
    <w:name w:val="Intense Quote"/>
    <w:basedOn w:val="Normal"/>
    <w:next w:val="Normal"/>
    <w:link w:val="IntenseQuoteChar"/>
    <w:uiPriority w:val="30"/>
    <w:qFormat/>
    <w:rsid w:val="00B317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173B"/>
    <w:rPr>
      <w:i/>
      <w:iCs/>
      <w:color w:val="0F4761" w:themeColor="accent1" w:themeShade="BF"/>
    </w:rPr>
  </w:style>
  <w:style w:type="character" w:styleId="IntenseReference">
    <w:name w:val="Intense Reference"/>
    <w:basedOn w:val="DefaultParagraphFont"/>
    <w:uiPriority w:val="32"/>
    <w:qFormat/>
    <w:rsid w:val="00B3173B"/>
    <w:rPr>
      <w:b/>
      <w:bCs/>
      <w:smallCaps/>
      <w:color w:val="0F4761" w:themeColor="accent1" w:themeShade="BF"/>
      <w:spacing w:val="5"/>
    </w:rPr>
  </w:style>
  <w:style w:type="paragraph" w:styleId="Header">
    <w:name w:val="header"/>
    <w:basedOn w:val="Normal"/>
    <w:link w:val="HeaderChar"/>
    <w:uiPriority w:val="99"/>
    <w:unhideWhenUsed/>
    <w:rsid w:val="008D15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55D"/>
  </w:style>
  <w:style w:type="paragraph" w:styleId="Footer">
    <w:name w:val="footer"/>
    <w:basedOn w:val="Normal"/>
    <w:link w:val="FooterChar"/>
    <w:uiPriority w:val="99"/>
    <w:unhideWhenUsed/>
    <w:rsid w:val="008D15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55D"/>
  </w:style>
  <w:style w:type="character" w:styleId="Hyperlink">
    <w:name w:val="Hyperlink"/>
    <w:basedOn w:val="DefaultParagraphFont"/>
    <w:uiPriority w:val="99"/>
    <w:unhideWhenUsed/>
    <w:rsid w:val="00977FB2"/>
    <w:rPr>
      <w:color w:val="467886" w:themeColor="hyperlink"/>
      <w:u w:val="single"/>
    </w:rPr>
  </w:style>
  <w:style w:type="character" w:styleId="UnresolvedMention">
    <w:name w:val="Unresolved Mention"/>
    <w:basedOn w:val="DefaultParagraphFont"/>
    <w:uiPriority w:val="99"/>
    <w:semiHidden/>
    <w:unhideWhenUsed/>
    <w:rsid w:val="00977F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29845">
      <w:bodyDiv w:val="1"/>
      <w:marLeft w:val="0"/>
      <w:marRight w:val="0"/>
      <w:marTop w:val="0"/>
      <w:marBottom w:val="0"/>
      <w:divBdr>
        <w:top w:val="none" w:sz="0" w:space="0" w:color="auto"/>
        <w:left w:val="none" w:sz="0" w:space="0" w:color="auto"/>
        <w:bottom w:val="none" w:sz="0" w:space="0" w:color="auto"/>
        <w:right w:val="none" w:sz="0" w:space="0" w:color="auto"/>
      </w:divBdr>
    </w:div>
    <w:div w:id="111363717">
      <w:bodyDiv w:val="1"/>
      <w:marLeft w:val="0"/>
      <w:marRight w:val="0"/>
      <w:marTop w:val="0"/>
      <w:marBottom w:val="0"/>
      <w:divBdr>
        <w:top w:val="none" w:sz="0" w:space="0" w:color="auto"/>
        <w:left w:val="none" w:sz="0" w:space="0" w:color="auto"/>
        <w:bottom w:val="none" w:sz="0" w:space="0" w:color="auto"/>
        <w:right w:val="none" w:sz="0" w:space="0" w:color="auto"/>
      </w:divBdr>
    </w:div>
    <w:div w:id="1502508502">
      <w:bodyDiv w:val="1"/>
      <w:marLeft w:val="0"/>
      <w:marRight w:val="0"/>
      <w:marTop w:val="0"/>
      <w:marBottom w:val="0"/>
      <w:divBdr>
        <w:top w:val="none" w:sz="0" w:space="0" w:color="auto"/>
        <w:left w:val="none" w:sz="0" w:space="0" w:color="auto"/>
        <w:bottom w:val="none" w:sz="0" w:space="0" w:color="auto"/>
        <w:right w:val="none" w:sz="0" w:space="0" w:color="auto"/>
      </w:divBdr>
    </w:div>
    <w:div w:id="1691569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6" ma:contentTypeDescription="Create a new document." ma:contentTypeScope="" ma:versionID="7c1fe6221fc8a3f0246312ef4960a233">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6fbedfa04d2ba8182a200854ade1c91c"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81417D-A9F7-4C59-9945-24781F3C07A2}">
  <ds:schemaRefs>
    <ds:schemaRef ds:uri="http://schemas.microsoft.com/sharepoint/v3/contenttype/forms"/>
  </ds:schemaRefs>
</ds:datastoreItem>
</file>

<file path=customXml/itemProps2.xml><?xml version="1.0" encoding="utf-8"?>
<ds:datastoreItem xmlns:ds="http://schemas.openxmlformats.org/officeDocument/2006/customXml" ds:itemID="{63CF5966-1D3A-45A6-85A0-730C8D9F9D0C}">
  <ds:schemaRefs>
    <ds:schemaRef ds:uri="http://purl.org/dc/elements/1.1/"/>
    <ds:schemaRef ds:uri="c3ee7220-abdd-4338-9539-ca1e86e03291"/>
    <ds:schemaRef ds:uri="http://purl.org/dc/terms/"/>
    <ds:schemaRef ds:uri="http://purl.org/dc/dcmitype/"/>
    <ds:schemaRef ds:uri="http://schemas.microsoft.com/office/infopath/2007/PartnerControls"/>
    <ds:schemaRef ds:uri="http://schemas.microsoft.com/office/2006/documentManagement/types"/>
    <ds:schemaRef ds:uri="http://www.w3.org/XML/1998/namespace"/>
    <ds:schemaRef ds:uri="http://schemas.openxmlformats.org/package/2006/metadata/core-properties"/>
    <ds:schemaRef ds:uri="ef828717-9db6-435b-80eb-4b903c669d75"/>
    <ds:schemaRef ds:uri="http://schemas.microsoft.com/office/2006/metadata/properties"/>
  </ds:schemaRefs>
</ds:datastoreItem>
</file>

<file path=customXml/itemProps3.xml><?xml version="1.0" encoding="utf-8"?>
<ds:datastoreItem xmlns:ds="http://schemas.openxmlformats.org/officeDocument/2006/customXml" ds:itemID="{6A82BCA6-AB2D-4DF4-9689-08AE0DDA25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5725</Words>
  <Characters>32634</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Campbell</dc:creator>
  <cp:keywords/>
  <dc:description/>
  <cp:lastModifiedBy>Elizabeth Campbell</cp:lastModifiedBy>
  <cp:revision>2</cp:revision>
  <dcterms:created xsi:type="dcterms:W3CDTF">2025-06-15T07:18:00Z</dcterms:created>
  <dcterms:modified xsi:type="dcterms:W3CDTF">2025-06-15T07:18:00Z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