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501B5" w14:textId="77777777" w:rsidR="00457CC6" w:rsidRPr="00A13F4B" w:rsidRDefault="00457CC6" w:rsidP="00457CC6">
      <w:pPr>
        <w:spacing w:line="360" w:lineRule="auto"/>
        <w:jc w:val="center"/>
        <w:rPr>
          <w:rFonts w:ascii="Times New Roman" w:hAnsi="Times New Roman" w:cs="Times New Roman"/>
          <w:b/>
          <w:bCs/>
          <w:sz w:val="32"/>
          <w:szCs w:val="32"/>
        </w:rPr>
      </w:pPr>
      <w:r w:rsidRPr="00A13F4B">
        <w:rPr>
          <w:rFonts w:ascii="Times New Roman" w:hAnsi="Times New Roman" w:cs="Times New Roman"/>
          <w:b/>
          <w:bCs/>
          <w:noProof/>
          <w:sz w:val="32"/>
          <w:szCs w:val="32"/>
        </w:rPr>
        <w:drawing>
          <wp:inline distT="0" distB="0" distL="0" distR="0" wp14:anchorId="24E22072" wp14:editId="12038571">
            <wp:extent cx="3787140" cy="1257300"/>
            <wp:effectExtent l="0" t="0" r="3810" b="0"/>
            <wp:docPr id="321312231"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a black squar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7140" cy="1257300"/>
                    </a:xfrm>
                    <a:prstGeom prst="rect">
                      <a:avLst/>
                    </a:prstGeom>
                    <a:noFill/>
                    <a:ln>
                      <a:noFill/>
                    </a:ln>
                  </pic:spPr>
                </pic:pic>
              </a:graphicData>
            </a:graphic>
          </wp:inline>
        </w:drawing>
      </w:r>
    </w:p>
    <w:p w14:paraId="5C4F26DD" w14:textId="77777777" w:rsidR="00457CC6" w:rsidRPr="00A13F4B" w:rsidRDefault="00457CC6" w:rsidP="00457CC6">
      <w:pPr>
        <w:spacing w:line="360" w:lineRule="auto"/>
        <w:jc w:val="center"/>
        <w:rPr>
          <w:rFonts w:ascii="Times New Roman" w:hAnsi="Times New Roman" w:cs="Times New Roman"/>
          <w:b/>
          <w:bCs/>
          <w:sz w:val="32"/>
          <w:szCs w:val="32"/>
        </w:rPr>
      </w:pPr>
    </w:p>
    <w:p w14:paraId="6392C945" w14:textId="77777777" w:rsidR="00457CC6" w:rsidRPr="00A13F4B" w:rsidRDefault="00457CC6" w:rsidP="00457CC6">
      <w:pPr>
        <w:spacing w:line="360" w:lineRule="auto"/>
        <w:jc w:val="center"/>
        <w:rPr>
          <w:rFonts w:ascii="Times New Roman" w:hAnsi="Times New Roman" w:cs="Times New Roman"/>
          <w:b/>
          <w:bCs/>
          <w:sz w:val="32"/>
          <w:szCs w:val="32"/>
        </w:rPr>
      </w:pPr>
    </w:p>
    <w:p w14:paraId="114045DE" w14:textId="77777777" w:rsidR="00457CC6" w:rsidRPr="00A13F4B" w:rsidRDefault="00457CC6" w:rsidP="00457CC6">
      <w:pPr>
        <w:spacing w:line="360" w:lineRule="auto"/>
        <w:jc w:val="center"/>
        <w:rPr>
          <w:rFonts w:ascii="Times New Roman" w:hAnsi="Times New Roman" w:cs="Times New Roman"/>
          <w:b/>
          <w:bCs/>
          <w:sz w:val="32"/>
          <w:szCs w:val="32"/>
        </w:rPr>
      </w:pPr>
    </w:p>
    <w:p w14:paraId="20A69FB3" w14:textId="77777777" w:rsidR="005D59D9" w:rsidRPr="00FA1EBE" w:rsidRDefault="005D59D9" w:rsidP="005D59D9">
      <w:pPr>
        <w:spacing w:line="360" w:lineRule="auto"/>
        <w:jc w:val="center"/>
        <w:rPr>
          <w:rFonts w:ascii="Times New Roman" w:hAnsi="Times New Roman" w:cs="Times New Roman"/>
          <w:b/>
          <w:bCs/>
          <w:sz w:val="32"/>
          <w:szCs w:val="32"/>
        </w:rPr>
      </w:pPr>
      <w:r w:rsidRPr="00FA1EBE">
        <w:rPr>
          <w:rFonts w:ascii="Times New Roman" w:hAnsi="Times New Roman" w:cs="Times New Roman"/>
          <w:b/>
          <w:bCs/>
          <w:sz w:val="32"/>
          <w:szCs w:val="32"/>
        </w:rPr>
        <w:t xml:space="preserve">Module name: </w:t>
      </w:r>
      <w:r>
        <w:rPr>
          <w:rFonts w:ascii="Times New Roman" w:hAnsi="Times New Roman" w:cs="Times New Roman"/>
          <w:b/>
          <w:bCs/>
          <w:sz w:val="32"/>
          <w:szCs w:val="32"/>
        </w:rPr>
        <w:t xml:space="preserve">Health Economics </w:t>
      </w:r>
    </w:p>
    <w:p w14:paraId="33495F15" w14:textId="77777777" w:rsidR="005D59D9" w:rsidRPr="00FA1EBE" w:rsidRDefault="005D59D9" w:rsidP="005D59D9">
      <w:pPr>
        <w:spacing w:line="360" w:lineRule="auto"/>
        <w:jc w:val="center"/>
        <w:rPr>
          <w:rFonts w:ascii="Times New Roman" w:hAnsi="Times New Roman" w:cs="Times New Roman"/>
          <w:b/>
          <w:bCs/>
          <w:sz w:val="32"/>
          <w:szCs w:val="32"/>
        </w:rPr>
      </w:pPr>
      <w:r w:rsidRPr="00FA1EBE">
        <w:rPr>
          <w:rFonts w:ascii="Times New Roman" w:hAnsi="Times New Roman" w:cs="Times New Roman"/>
          <w:b/>
          <w:bCs/>
          <w:sz w:val="32"/>
          <w:szCs w:val="32"/>
        </w:rPr>
        <w:t xml:space="preserve">Module Lead: </w:t>
      </w:r>
      <w:r>
        <w:rPr>
          <w:rFonts w:ascii="Times New Roman" w:hAnsi="Times New Roman" w:cs="Times New Roman"/>
          <w:b/>
          <w:bCs/>
          <w:sz w:val="32"/>
          <w:szCs w:val="32"/>
        </w:rPr>
        <w:t>Dr. L. Simona Ferraraccio</w:t>
      </w:r>
    </w:p>
    <w:p w14:paraId="20D1864B" w14:textId="77777777" w:rsidR="005D59D9" w:rsidRPr="00FA1EBE" w:rsidRDefault="005D59D9" w:rsidP="005D59D9">
      <w:pPr>
        <w:spacing w:line="360" w:lineRule="auto"/>
        <w:jc w:val="center"/>
        <w:rPr>
          <w:rFonts w:ascii="Times New Roman" w:hAnsi="Times New Roman" w:cs="Times New Roman"/>
          <w:b/>
          <w:bCs/>
          <w:sz w:val="32"/>
          <w:szCs w:val="32"/>
        </w:rPr>
      </w:pPr>
      <w:r w:rsidRPr="00FA1EBE">
        <w:rPr>
          <w:rFonts w:ascii="Times New Roman" w:hAnsi="Times New Roman" w:cs="Times New Roman"/>
          <w:b/>
          <w:bCs/>
          <w:sz w:val="32"/>
          <w:szCs w:val="32"/>
        </w:rPr>
        <w:t>Module code: BMHP502</w:t>
      </w:r>
      <w:r>
        <w:rPr>
          <w:rFonts w:ascii="Times New Roman" w:hAnsi="Times New Roman" w:cs="Times New Roman"/>
          <w:b/>
          <w:bCs/>
          <w:sz w:val="32"/>
          <w:szCs w:val="32"/>
        </w:rPr>
        <w:t>2</w:t>
      </w:r>
    </w:p>
    <w:p w14:paraId="2119A0AC" w14:textId="77777777" w:rsidR="005D59D9" w:rsidRPr="00FA1EBE" w:rsidRDefault="005D59D9" w:rsidP="005D59D9">
      <w:pPr>
        <w:spacing w:line="360" w:lineRule="auto"/>
        <w:jc w:val="center"/>
        <w:rPr>
          <w:rFonts w:ascii="Times New Roman" w:hAnsi="Times New Roman" w:cs="Times New Roman"/>
          <w:b/>
          <w:bCs/>
          <w:sz w:val="32"/>
          <w:szCs w:val="32"/>
          <w:lang w:val="nl-NL"/>
        </w:rPr>
      </w:pPr>
      <w:r w:rsidRPr="00FA1EBE">
        <w:rPr>
          <w:rFonts w:ascii="Times New Roman" w:hAnsi="Times New Roman" w:cs="Times New Roman"/>
          <w:b/>
          <w:bCs/>
          <w:sz w:val="32"/>
          <w:szCs w:val="32"/>
          <w:lang w:val="nl-NL"/>
        </w:rPr>
        <w:t>Student: Tami Biban</w:t>
      </w:r>
    </w:p>
    <w:p w14:paraId="6F35AD84" w14:textId="77777777" w:rsidR="005D59D9" w:rsidRPr="00FA1EBE" w:rsidRDefault="005D59D9" w:rsidP="005D59D9">
      <w:pPr>
        <w:spacing w:line="360" w:lineRule="auto"/>
        <w:jc w:val="center"/>
        <w:rPr>
          <w:rFonts w:ascii="Times New Roman" w:hAnsi="Times New Roman" w:cs="Times New Roman"/>
          <w:b/>
          <w:bCs/>
          <w:sz w:val="32"/>
          <w:szCs w:val="32"/>
          <w:lang w:val="nl-NL"/>
        </w:rPr>
      </w:pPr>
      <w:r w:rsidRPr="00FA1EBE">
        <w:rPr>
          <w:rFonts w:ascii="Times New Roman" w:hAnsi="Times New Roman" w:cs="Times New Roman"/>
          <w:b/>
          <w:bCs/>
          <w:sz w:val="32"/>
          <w:szCs w:val="32"/>
          <w:lang w:val="nl-NL"/>
        </w:rPr>
        <w:t>Student ID: 2311222</w:t>
      </w:r>
    </w:p>
    <w:p w14:paraId="794E8248" w14:textId="541C8D9E" w:rsidR="005D59D9" w:rsidRPr="00FA1EBE" w:rsidRDefault="005D59D9" w:rsidP="005D59D9">
      <w:pPr>
        <w:spacing w:line="360" w:lineRule="auto"/>
        <w:jc w:val="center"/>
        <w:rPr>
          <w:rFonts w:ascii="Times New Roman" w:hAnsi="Times New Roman" w:cs="Times New Roman"/>
          <w:b/>
          <w:bCs/>
          <w:sz w:val="32"/>
          <w:szCs w:val="32"/>
        </w:rPr>
      </w:pPr>
      <w:r w:rsidRPr="00FA1EBE">
        <w:rPr>
          <w:rFonts w:ascii="Times New Roman" w:hAnsi="Times New Roman" w:cs="Times New Roman"/>
          <w:b/>
          <w:bCs/>
          <w:sz w:val="32"/>
          <w:szCs w:val="32"/>
        </w:rPr>
        <w:t xml:space="preserve">Word count: </w:t>
      </w:r>
      <w:r w:rsidR="006126A3">
        <w:rPr>
          <w:rFonts w:ascii="Times New Roman" w:hAnsi="Times New Roman" w:cs="Times New Roman"/>
          <w:b/>
          <w:bCs/>
          <w:sz w:val="32"/>
          <w:szCs w:val="32"/>
        </w:rPr>
        <w:t>1183</w:t>
      </w:r>
    </w:p>
    <w:p w14:paraId="50B0ACCD" w14:textId="0A7E0C32" w:rsidR="00457CC6" w:rsidRPr="00A13F4B" w:rsidRDefault="00457CC6" w:rsidP="00457CC6">
      <w:pPr>
        <w:spacing w:line="360" w:lineRule="auto"/>
        <w:jc w:val="center"/>
        <w:rPr>
          <w:rFonts w:ascii="Times New Roman" w:hAnsi="Times New Roman" w:cs="Times New Roman"/>
          <w:b/>
          <w:bCs/>
          <w:sz w:val="32"/>
          <w:szCs w:val="32"/>
        </w:rPr>
      </w:pPr>
    </w:p>
    <w:p w14:paraId="2935E092" w14:textId="77777777" w:rsidR="00457CC6" w:rsidRDefault="00457CC6" w:rsidP="0040309C">
      <w:pPr>
        <w:spacing w:line="240" w:lineRule="auto"/>
        <w:rPr>
          <w:rFonts w:ascii="Times New Roman" w:hAnsi="Times New Roman" w:cs="Times New Roman"/>
          <w:b/>
          <w:bCs/>
          <w:sz w:val="24"/>
          <w:szCs w:val="24"/>
        </w:rPr>
      </w:pPr>
    </w:p>
    <w:p w14:paraId="2650C48C" w14:textId="77777777" w:rsidR="00A3491C" w:rsidRDefault="00A3491C" w:rsidP="00C94BC3">
      <w:pPr>
        <w:spacing w:line="240" w:lineRule="auto"/>
        <w:jc w:val="both"/>
        <w:rPr>
          <w:rFonts w:ascii="Times New Roman" w:hAnsi="Times New Roman" w:cs="Times New Roman"/>
          <w:b/>
          <w:bCs/>
          <w:sz w:val="24"/>
          <w:szCs w:val="24"/>
        </w:rPr>
      </w:pPr>
    </w:p>
    <w:p w14:paraId="6C7ADE8B" w14:textId="77777777" w:rsidR="00A3491C" w:rsidRDefault="00A3491C" w:rsidP="00C94BC3">
      <w:pPr>
        <w:spacing w:line="240" w:lineRule="auto"/>
        <w:jc w:val="both"/>
        <w:rPr>
          <w:rFonts w:ascii="Times New Roman" w:hAnsi="Times New Roman" w:cs="Times New Roman"/>
          <w:b/>
          <w:bCs/>
          <w:sz w:val="24"/>
          <w:szCs w:val="24"/>
        </w:rPr>
      </w:pPr>
    </w:p>
    <w:p w14:paraId="7F340330" w14:textId="77777777" w:rsidR="00A3491C" w:rsidRDefault="00A3491C" w:rsidP="00C94BC3">
      <w:pPr>
        <w:spacing w:line="240" w:lineRule="auto"/>
        <w:jc w:val="both"/>
        <w:rPr>
          <w:rFonts w:ascii="Times New Roman" w:hAnsi="Times New Roman" w:cs="Times New Roman"/>
          <w:b/>
          <w:bCs/>
          <w:sz w:val="24"/>
          <w:szCs w:val="24"/>
        </w:rPr>
      </w:pPr>
    </w:p>
    <w:p w14:paraId="70D4CFAB" w14:textId="77777777" w:rsidR="00A3491C" w:rsidRDefault="00A3491C" w:rsidP="00C94BC3">
      <w:pPr>
        <w:spacing w:line="240" w:lineRule="auto"/>
        <w:jc w:val="both"/>
        <w:rPr>
          <w:rFonts w:ascii="Times New Roman" w:hAnsi="Times New Roman" w:cs="Times New Roman"/>
          <w:b/>
          <w:bCs/>
          <w:sz w:val="24"/>
          <w:szCs w:val="24"/>
        </w:rPr>
      </w:pPr>
    </w:p>
    <w:p w14:paraId="57BF9500" w14:textId="77777777" w:rsidR="00A3491C" w:rsidRDefault="00A3491C" w:rsidP="00C94BC3">
      <w:pPr>
        <w:spacing w:line="240" w:lineRule="auto"/>
        <w:jc w:val="both"/>
        <w:rPr>
          <w:rFonts w:ascii="Times New Roman" w:hAnsi="Times New Roman" w:cs="Times New Roman"/>
          <w:b/>
          <w:bCs/>
          <w:sz w:val="24"/>
          <w:szCs w:val="24"/>
        </w:rPr>
      </w:pPr>
    </w:p>
    <w:p w14:paraId="2AEACC5C" w14:textId="77777777" w:rsidR="00744338" w:rsidRPr="00744338" w:rsidRDefault="00744338" w:rsidP="00744338">
      <w:pPr>
        <w:spacing w:line="240" w:lineRule="auto"/>
        <w:jc w:val="both"/>
        <w:rPr>
          <w:rFonts w:ascii="Times New Roman" w:hAnsi="Times New Roman" w:cs="Times New Roman"/>
          <w:b/>
          <w:bCs/>
          <w:sz w:val="24"/>
          <w:szCs w:val="24"/>
        </w:rPr>
      </w:pPr>
      <w:r w:rsidRPr="00744338">
        <w:rPr>
          <w:rFonts w:ascii="Times New Roman" w:hAnsi="Times New Roman" w:cs="Times New Roman"/>
          <w:b/>
          <w:bCs/>
          <w:sz w:val="24"/>
          <w:szCs w:val="24"/>
        </w:rPr>
        <w:lastRenderedPageBreak/>
        <w:t>Introduction</w:t>
      </w:r>
    </w:p>
    <w:p w14:paraId="50CC8230" w14:textId="77777777" w:rsidR="00296E2B" w:rsidRPr="00296E2B" w:rsidRDefault="00296E2B" w:rsidP="00296E2B">
      <w:pPr>
        <w:spacing w:line="240" w:lineRule="auto"/>
        <w:jc w:val="both"/>
        <w:rPr>
          <w:rFonts w:ascii="Times New Roman" w:hAnsi="Times New Roman" w:cs="Times New Roman"/>
          <w:sz w:val="24"/>
          <w:szCs w:val="24"/>
        </w:rPr>
      </w:pPr>
      <w:r w:rsidRPr="00296E2B">
        <w:rPr>
          <w:rFonts w:ascii="Times New Roman" w:hAnsi="Times New Roman" w:cs="Times New Roman"/>
          <w:sz w:val="24"/>
          <w:szCs w:val="24"/>
        </w:rPr>
        <w:t>This paper presents a reflection on a group debate exploring the advantages and disadvantages of financing Universal Health Coverage (UHC) through tax-based and mandatory insurance-based mechanisms. UHC refers to ensuring that all individuals can access essential health services without experiencing financial hardship. The discussion examines key health economics principles and relevant global case studies of both financing models. Ultimately, I argue in favour of the tax-based model as the most inclusive and sustainable approach to achieving UHC. A brief personal reflection on my contribution to the debate is also included.</w:t>
      </w:r>
    </w:p>
    <w:p w14:paraId="40677D6F" w14:textId="43B852C3" w:rsidR="00744338" w:rsidRPr="00744338" w:rsidRDefault="00744338" w:rsidP="00744338">
      <w:pPr>
        <w:spacing w:line="240" w:lineRule="auto"/>
        <w:jc w:val="both"/>
        <w:rPr>
          <w:rFonts w:ascii="Times New Roman" w:hAnsi="Times New Roman" w:cs="Times New Roman"/>
          <w:b/>
          <w:bCs/>
          <w:sz w:val="24"/>
          <w:szCs w:val="24"/>
        </w:rPr>
      </w:pPr>
      <w:r w:rsidRPr="00744338">
        <w:rPr>
          <w:rFonts w:ascii="Times New Roman" w:hAnsi="Times New Roman" w:cs="Times New Roman"/>
          <w:b/>
          <w:bCs/>
          <w:sz w:val="24"/>
          <w:szCs w:val="24"/>
        </w:rPr>
        <w:t xml:space="preserve">Health </w:t>
      </w:r>
      <w:r w:rsidR="006126A3">
        <w:rPr>
          <w:rFonts w:ascii="Times New Roman" w:hAnsi="Times New Roman" w:cs="Times New Roman"/>
          <w:b/>
          <w:bCs/>
          <w:sz w:val="24"/>
          <w:szCs w:val="24"/>
        </w:rPr>
        <w:t>e</w:t>
      </w:r>
      <w:r w:rsidRPr="00744338">
        <w:rPr>
          <w:rFonts w:ascii="Times New Roman" w:hAnsi="Times New Roman" w:cs="Times New Roman"/>
          <w:b/>
          <w:bCs/>
          <w:sz w:val="24"/>
          <w:szCs w:val="24"/>
        </w:rPr>
        <w:t xml:space="preserve">conomics and UHC: </w:t>
      </w:r>
      <w:r w:rsidR="006126A3">
        <w:rPr>
          <w:rFonts w:ascii="Times New Roman" w:hAnsi="Times New Roman" w:cs="Times New Roman"/>
          <w:b/>
          <w:bCs/>
          <w:sz w:val="24"/>
          <w:szCs w:val="24"/>
        </w:rPr>
        <w:t>b</w:t>
      </w:r>
      <w:r w:rsidRPr="00744338">
        <w:rPr>
          <w:rFonts w:ascii="Times New Roman" w:hAnsi="Times New Roman" w:cs="Times New Roman"/>
          <w:b/>
          <w:bCs/>
          <w:sz w:val="24"/>
          <w:szCs w:val="24"/>
        </w:rPr>
        <w:t xml:space="preserve">ackground and </w:t>
      </w:r>
      <w:r w:rsidR="006126A3">
        <w:rPr>
          <w:rFonts w:ascii="Times New Roman" w:hAnsi="Times New Roman" w:cs="Times New Roman"/>
          <w:b/>
          <w:bCs/>
          <w:sz w:val="24"/>
          <w:szCs w:val="24"/>
        </w:rPr>
        <w:t>c</w:t>
      </w:r>
      <w:r w:rsidRPr="00744338">
        <w:rPr>
          <w:rFonts w:ascii="Times New Roman" w:hAnsi="Times New Roman" w:cs="Times New Roman"/>
          <w:b/>
          <w:bCs/>
          <w:sz w:val="24"/>
          <w:szCs w:val="24"/>
        </w:rPr>
        <w:t>hallenges</w:t>
      </w:r>
    </w:p>
    <w:p w14:paraId="6AA4149B" w14:textId="5DB12AAD" w:rsidR="006D6277" w:rsidRPr="006D6277" w:rsidRDefault="006D6277" w:rsidP="006D6277">
      <w:pPr>
        <w:spacing w:line="240" w:lineRule="auto"/>
        <w:jc w:val="both"/>
        <w:rPr>
          <w:rFonts w:ascii="Times New Roman" w:hAnsi="Times New Roman" w:cs="Times New Roman"/>
          <w:sz w:val="24"/>
          <w:szCs w:val="24"/>
        </w:rPr>
      </w:pPr>
      <w:r w:rsidRPr="006D6277">
        <w:rPr>
          <w:rFonts w:ascii="Times New Roman" w:hAnsi="Times New Roman" w:cs="Times New Roman"/>
          <w:sz w:val="24"/>
          <w:szCs w:val="24"/>
        </w:rPr>
        <w:t>Universal Health Coverage (UHC) is widely acknowledged as a foundational element of effective public health policy. It is essential not only for improving population health but also for promoting social equity, reducing poverty, and supporting inclusive economic development. UHC ensures that all individuals have access to vital health services</w:t>
      </w:r>
      <w:r w:rsidR="00421779">
        <w:rPr>
          <w:rFonts w:ascii="Times New Roman" w:hAnsi="Times New Roman" w:cs="Times New Roman"/>
          <w:sz w:val="24"/>
          <w:szCs w:val="24"/>
        </w:rPr>
        <w:t xml:space="preserve"> </w:t>
      </w:r>
      <w:r w:rsidRPr="006D6277">
        <w:rPr>
          <w:rFonts w:ascii="Times New Roman" w:hAnsi="Times New Roman" w:cs="Times New Roman"/>
          <w:sz w:val="24"/>
          <w:szCs w:val="24"/>
        </w:rPr>
        <w:t>including prevention, treatment, rehabilitation, and palliative care</w:t>
      </w:r>
      <w:r w:rsidR="00421779">
        <w:rPr>
          <w:rFonts w:ascii="Times New Roman" w:hAnsi="Times New Roman" w:cs="Times New Roman"/>
          <w:sz w:val="24"/>
          <w:szCs w:val="24"/>
        </w:rPr>
        <w:t xml:space="preserve"> </w:t>
      </w:r>
      <w:r w:rsidRPr="006D6277">
        <w:rPr>
          <w:rFonts w:ascii="Times New Roman" w:hAnsi="Times New Roman" w:cs="Times New Roman"/>
          <w:sz w:val="24"/>
          <w:szCs w:val="24"/>
        </w:rPr>
        <w:t xml:space="preserve">without financial risk. From a health economics perspective, UHC entails not just service provision but also the equitable and efficient allocation of limited health resources (O'Connell, </w:t>
      </w:r>
      <w:proofErr w:type="spellStart"/>
      <w:r w:rsidRPr="006D6277">
        <w:rPr>
          <w:rFonts w:ascii="Times New Roman" w:hAnsi="Times New Roman" w:cs="Times New Roman"/>
          <w:sz w:val="24"/>
          <w:szCs w:val="24"/>
        </w:rPr>
        <w:t>Rasanathan</w:t>
      </w:r>
      <w:proofErr w:type="spellEnd"/>
      <w:r w:rsidRPr="006D6277">
        <w:rPr>
          <w:rFonts w:ascii="Times New Roman" w:hAnsi="Times New Roman" w:cs="Times New Roman"/>
          <w:sz w:val="24"/>
          <w:szCs w:val="24"/>
        </w:rPr>
        <w:t xml:space="preserve"> and Chopra, 2014).</w:t>
      </w:r>
    </w:p>
    <w:p w14:paraId="33B77658" w14:textId="77777777" w:rsidR="006D6277" w:rsidRPr="006D6277" w:rsidRDefault="006D6277" w:rsidP="006D6277">
      <w:pPr>
        <w:spacing w:line="240" w:lineRule="auto"/>
        <w:jc w:val="both"/>
        <w:rPr>
          <w:rFonts w:ascii="Times New Roman" w:hAnsi="Times New Roman" w:cs="Times New Roman"/>
          <w:sz w:val="24"/>
          <w:szCs w:val="24"/>
        </w:rPr>
      </w:pPr>
      <w:r w:rsidRPr="006D6277">
        <w:rPr>
          <w:rFonts w:ascii="Times New Roman" w:hAnsi="Times New Roman" w:cs="Times New Roman"/>
          <w:sz w:val="24"/>
          <w:szCs w:val="24"/>
        </w:rPr>
        <w:t>Fundamental economic principles such as allocative efficiency, technical efficiency, and equity play a central role in assessing UHC financing systems. Allocative efficiency involves directing resources to services that generate the greatest health benefits. Technical efficiency focuses on providing services at the lowest possible cost. Equity ensures that access to care is based on medical need rather than financial means. UHC financing models should protect individuals from financial hardship, reduce dependence on out-of-pocket payments, and address structural market failures, such as asymmetrical information and unequal bargaining power between providers and patients (Olsen, 2017).</w:t>
      </w:r>
    </w:p>
    <w:p w14:paraId="2043E75C" w14:textId="77777777" w:rsidR="006D6277" w:rsidRPr="006D6277" w:rsidRDefault="006D6277" w:rsidP="006D6277">
      <w:pPr>
        <w:spacing w:line="240" w:lineRule="auto"/>
        <w:jc w:val="both"/>
        <w:rPr>
          <w:rFonts w:ascii="Times New Roman" w:hAnsi="Times New Roman" w:cs="Times New Roman"/>
          <w:sz w:val="24"/>
          <w:szCs w:val="24"/>
        </w:rPr>
      </w:pPr>
      <w:r w:rsidRPr="006D6277">
        <w:rPr>
          <w:rFonts w:ascii="Times New Roman" w:hAnsi="Times New Roman" w:cs="Times New Roman"/>
          <w:sz w:val="24"/>
          <w:szCs w:val="24"/>
        </w:rPr>
        <w:t>Achieving UHC requires a robust health system underpinned by a well-trained workforce, adequate infrastructure, a reliable supply of medicines, and strong governance mechanisms. Central to this is a sustainable and inclusive financing strategy that ensures coverage for the entire population. Countries must generate sufficient domestic revenue, prioritise healthcare in public budgets, and ensure equitable distribution of resources (Jordi et al., 2020).</w:t>
      </w:r>
    </w:p>
    <w:p w14:paraId="680F82A5" w14:textId="681DA848" w:rsidR="006D6277" w:rsidRPr="006D6277" w:rsidRDefault="006D6277" w:rsidP="006D6277">
      <w:pPr>
        <w:spacing w:line="240" w:lineRule="auto"/>
        <w:jc w:val="both"/>
        <w:rPr>
          <w:rFonts w:ascii="Times New Roman" w:hAnsi="Times New Roman" w:cs="Times New Roman"/>
          <w:sz w:val="24"/>
          <w:szCs w:val="24"/>
        </w:rPr>
      </w:pPr>
      <w:r w:rsidRPr="006D6277">
        <w:rPr>
          <w:rFonts w:ascii="Times New Roman" w:hAnsi="Times New Roman" w:cs="Times New Roman"/>
          <w:sz w:val="24"/>
          <w:szCs w:val="24"/>
        </w:rPr>
        <w:t>Nevertheless, many low and middle-income countries face significant obstacles. High levels of informal employment make it difficult to collect payroll-based insurance contributions. Weak tax systems, political instability, and heavy debt burdens further constrain public funding capacity. In such contexts, contributory insurance schemes risk deepening existing inequalities. Furthermore, reliance on external donor funding often leads to unsustainable financial flows, while disparities in health infrastructure between rural and urban areas hinder equitable access to care (Jordi et al., 2020).</w:t>
      </w:r>
    </w:p>
    <w:p w14:paraId="3613E60F" w14:textId="77777777" w:rsidR="006D6277" w:rsidRPr="006D6277" w:rsidRDefault="006D6277" w:rsidP="006D6277">
      <w:pPr>
        <w:spacing w:line="240" w:lineRule="auto"/>
        <w:jc w:val="both"/>
        <w:rPr>
          <w:rFonts w:ascii="Times New Roman" w:hAnsi="Times New Roman" w:cs="Times New Roman"/>
          <w:sz w:val="24"/>
          <w:szCs w:val="24"/>
        </w:rPr>
      </w:pPr>
      <w:r w:rsidRPr="006D6277">
        <w:rPr>
          <w:rFonts w:ascii="Times New Roman" w:hAnsi="Times New Roman" w:cs="Times New Roman"/>
          <w:sz w:val="24"/>
          <w:szCs w:val="24"/>
        </w:rPr>
        <w:t>These challenges underscore that achieving UHC is not solely a technical undertaking but also a political and social process. Financing strategies must be tailored to each country's economic, demographic, and institutional context. Inclusive, progressive public financing approaches offer the most feasible route to achieving equitable and sustainable UHC.</w:t>
      </w:r>
    </w:p>
    <w:p w14:paraId="27E59D65" w14:textId="77777777" w:rsidR="00024E3E" w:rsidRDefault="00024E3E" w:rsidP="00744338">
      <w:pPr>
        <w:spacing w:line="240" w:lineRule="auto"/>
        <w:jc w:val="both"/>
        <w:rPr>
          <w:rFonts w:ascii="Times New Roman" w:hAnsi="Times New Roman" w:cs="Times New Roman"/>
          <w:b/>
          <w:bCs/>
          <w:sz w:val="24"/>
          <w:szCs w:val="24"/>
        </w:rPr>
      </w:pPr>
    </w:p>
    <w:p w14:paraId="64E9EDD9" w14:textId="4DFEE010" w:rsidR="00744338" w:rsidRPr="00744338" w:rsidRDefault="00744338" w:rsidP="00744338">
      <w:pPr>
        <w:spacing w:line="240" w:lineRule="auto"/>
        <w:jc w:val="both"/>
        <w:rPr>
          <w:rFonts w:ascii="Times New Roman" w:hAnsi="Times New Roman" w:cs="Times New Roman"/>
          <w:b/>
          <w:bCs/>
          <w:sz w:val="24"/>
          <w:szCs w:val="24"/>
        </w:rPr>
      </w:pPr>
      <w:r w:rsidRPr="00744338">
        <w:rPr>
          <w:rFonts w:ascii="Times New Roman" w:hAnsi="Times New Roman" w:cs="Times New Roman"/>
          <w:b/>
          <w:bCs/>
          <w:sz w:val="24"/>
          <w:szCs w:val="24"/>
        </w:rPr>
        <w:lastRenderedPageBreak/>
        <w:t>Tax-</w:t>
      </w:r>
      <w:r w:rsidR="006126A3">
        <w:rPr>
          <w:rFonts w:ascii="Times New Roman" w:hAnsi="Times New Roman" w:cs="Times New Roman"/>
          <w:b/>
          <w:bCs/>
          <w:sz w:val="24"/>
          <w:szCs w:val="24"/>
        </w:rPr>
        <w:t>b</w:t>
      </w:r>
      <w:r w:rsidRPr="00744338">
        <w:rPr>
          <w:rFonts w:ascii="Times New Roman" w:hAnsi="Times New Roman" w:cs="Times New Roman"/>
          <w:b/>
          <w:bCs/>
          <w:sz w:val="24"/>
          <w:szCs w:val="24"/>
        </w:rPr>
        <w:t xml:space="preserve">ased </w:t>
      </w:r>
      <w:r w:rsidR="006126A3">
        <w:rPr>
          <w:rFonts w:ascii="Times New Roman" w:hAnsi="Times New Roman" w:cs="Times New Roman"/>
          <w:b/>
          <w:bCs/>
          <w:sz w:val="24"/>
          <w:szCs w:val="24"/>
        </w:rPr>
        <w:t>f</w:t>
      </w:r>
      <w:r w:rsidRPr="00744338">
        <w:rPr>
          <w:rFonts w:ascii="Times New Roman" w:hAnsi="Times New Roman" w:cs="Times New Roman"/>
          <w:b/>
          <w:bCs/>
          <w:sz w:val="24"/>
          <w:szCs w:val="24"/>
        </w:rPr>
        <w:t xml:space="preserve">inancing: </w:t>
      </w:r>
      <w:r w:rsidR="006126A3">
        <w:rPr>
          <w:rFonts w:ascii="Times New Roman" w:hAnsi="Times New Roman" w:cs="Times New Roman"/>
          <w:b/>
          <w:bCs/>
          <w:sz w:val="24"/>
          <w:szCs w:val="24"/>
        </w:rPr>
        <w:t>t</w:t>
      </w:r>
      <w:r w:rsidRPr="00744338">
        <w:rPr>
          <w:rFonts w:ascii="Times New Roman" w:hAnsi="Times New Roman" w:cs="Times New Roman"/>
          <w:b/>
          <w:bCs/>
          <w:sz w:val="24"/>
          <w:szCs w:val="24"/>
        </w:rPr>
        <w:t xml:space="preserve">he </w:t>
      </w:r>
      <w:r w:rsidR="006126A3">
        <w:rPr>
          <w:rFonts w:ascii="Times New Roman" w:hAnsi="Times New Roman" w:cs="Times New Roman"/>
          <w:b/>
          <w:bCs/>
          <w:sz w:val="24"/>
          <w:szCs w:val="24"/>
        </w:rPr>
        <w:t>c</w:t>
      </w:r>
      <w:r w:rsidRPr="00744338">
        <w:rPr>
          <w:rFonts w:ascii="Times New Roman" w:hAnsi="Times New Roman" w:cs="Times New Roman"/>
          <w:b/>
          <w:bCs/>
          <w:sz w:val="24"/>
          <w:szCs w:val="24"/>
        </w:rPr>
        <w:t>ase of the United Kingdom</w:t>
      </w:r>
    </w:p>
    <w:p w14:paraId="689F1586" w14:textId="77777777" w:rsidR="006D6277" w:rsidRPr="006D6277" w:rsidRDefault="006D6277" w:rsidP="006D6277">
      <w:pPr>
        <w:spacing w:line="240" w:lineRule="auto"/>
        <w:jc w:val="both"/>
        <w:rPr>
          <w:rFonts w:ascii="Times New Roman" w:hAnsi="Times New Roman" w:cs="Times New Roman"/>
          <w:sz w:val="24"/>
          <w:szCs w:val="24"/>
        </w:rPr>
      </w:pPr>
      <w:r w:rsidRPr="006D6277">
        <w:rPr>
          <w:rFonts w:ascii="Times New Roman" w:hAnsi="Times New Roman" w:cs="Times New Roman"/>
          <w:sz w:val="24"/>
          <w:szCs w:val="24"/>
        </w:rPr>
        <w:t>The United Kingdom’s National Health Service (NHS) serves as a leading example of a tax-funded healthcare system. Founded in 1948, the NHS is primarily financed through general taxation, supplemented by National Insurance contributions. It provides comprehensive healthcare services free at the point of use for all legal residents, regardless of income, employment status, or medical condition. This model reflects the principle that healthcare is a public good and a fundamental human right (Dayan et al., 2018).</w:t>
      </w:r>
    </w:p>
    <w:p w14:paraId="3A09A64C" w14:textId="6E0C01D0" w:rsidR="006D6277" w:rsidRPr="006D6277" w:rsidRDefault="006D6277" w:rsidP="006D6277">
      <w:pPr>
        <w:spacing w:line="240" w:lineRule="auto"/>
        <w:jc w:val="both"/>
        <w:rPr>
          <w:rFonts w:ascii="Times New Roman" w:hAnsi="Times New Roman" w:cs="Times New Roman"/>
          <w:sz w:val="24"/>
          <w:szCs w:val="24"/>
        </w:rPr>
      </w:pPr>
      <w:r w:rsidRPr="006D6277">
        <w:rPr>
          <w:rFonts w:ascii="Times New Roman" w:hAnsi="Times New Roman" w:cs="Times New Roman"/>
          <w:sz w:val="24"/>
          <w:szCs w:val="24"/>
        </w:rPr>
        <w:t xml:space="preserve">The NHS pools financial resources from across the population, enabling risk-sharing and redistribution between high and low-income individuals. Its structure facilitates cost containment through centralised procurement, unified planning, and standardised service delivery. Administrative expenses are significantly lower compared to </w:t>
      </w:r>
      <w:r w:rsidR="00D202D0" w:rsidRPr="006D6277">
        <w:rPr>
          <w:rFonts w:ascii="Times New Roman" w:hAnsi="Times New Roman" w:cs="Times New Roman"/>
          <w:sz w:val="24"/>
          <w:szCs w:val="24"/>
        </w:rPr>
        <w:t>insurance</w:t>
      </w:r>
      <w:r w:rsidR="00D202D0">
        <w:rPr>
          <w:rFonts w:ascii="Times New Roman" w:hAnsi="Times New Roman" w:cs="Times New Roman"/>
          <w:sz w:val="24"/>
          <w:szCs w:val="24"/>
        </w:rPr>
        <w:t>-based</w:t>
      </w:r>
      <w:r w:rsidRPr="006D6277">
        <w:rPr>
          <w:rFonts w:ascii="Times New Roman" w:hAnsi="Times New Roman" w:cs="Times New Roman"/>
          <w:sz w:val="24"/>
          <w:szCs w:val="24"/>
        </w:rPr>
        <w:t xml:space="preserve"> systems, owing to the absence of multiple payers and complex billing procedures (Lorenzoni</w:t>
      </w:r>
      <w:r w:rsidR="008A2A7F">
        <w:rPr>
          <w:rFonts w:ascii="Times New Roman" w:hAnsi="Times New Roman" w:cs="Times New Roman"/>
          <w:sz w:val="24"/>
          <w:szCs w:val="24"/>
        </w:rPr>
        <w:t>,</w:t>
      </w:r>
      <w:r w:rsidR="00592A10" w:rsidRPr="00150DD0">
        <w:rPr>
          <w:rFonts w:ascii="Times New Roman" w:hAnsi="Times New Roman" w:cs="Times New Roman"/>
        </w:rPr>
        <w:t xml:space="preserve"> Barber and Ong</w:t>
      </w:r>
      <w:r w:rsidRPr="006D6277">
        <w:rPr>
          <w:rFonts w:ascii="Times New Roman" w:hAnsi="Times New Roman" w:cs="Times New Roman"/>
          <w:sz w:val="24"/>
          <w:szCs w:val="24"/>
        </w:rPr>
        <w:t>, 2019).</w:t>
      </w:r>
    </w:p>
    <w:p w14:paraId="1F3D8BAD" w14:textId="025DE2EB" w:rsidR="006D6277" w:rsidRPr="006D6277" w:rsidRDefault="006D6277" w:rsidP="006D6277">
      <w:pPr>
        <w:spacing w:line="240" w:lineRule="auto"/>
        <w:jc w:val="both"/>
        <w:rPr>
          <w:rFonts w:ascii="Times New Roman" w:hAnsi="Times New Roman" w:cs="Times New Roman"/>
          <w:sz w:val="24"/>
          <w:szCs w:val="24"/>
        </w:rPr>
      </w:pPr>
      <w:r w:rsidRPr="006D6277">
        <w:rPr>
          <w:rFonts w:ascii="Times New Roman" w:hAnsi="Times New Roman" w:cs="Times New Roman"/>
          <w:sz w:val="24"/>
          <w:szCs w:val="24"/>
        </w:rPr>
        <w:t>Although the NHS faces operational issues, such as waiting times for elective procedures and periods of underfunding, these are implementation</w:t>
      </w:r>
      <w:r w:rsidR="00147E00">
        <w:rPr>
          <w:rFonts w:ascii="Times New Roman" w:hAnsi="Times New Roman" w:cs="Times New Roman"/>
          <w:sz w:val="24"/>
          <w:szCs w:val="24"/>
        </w:rPr>
        <w:t xml:space="preserve"> </w:t>
      </w:r>
      <w:r w:rsidRPr="006D6277">
        <w:rPr>
          <w:rFonts w:ascii="Times New Roman" w:hAnsi="Times New Roman" w:cs="Times New Roman"/>
          <w:sz w:val="24"/>
          <w:szCs w:val="24"/>
        </w:rPr>
        <w:t>related rather than structural. They can be addressed through more effective resource allocation and increased investment. Overall, the NHS remains a globally respected model that exemplifies how tax-based financing can deliver equitable, universal access to healthcare (Dayan et al., 2018).</w:t>
      </w:r>
    </w:p>
    <w:p w14:paraId="12C9EBC0" w14:textId="183D82AA" w:rsidR="00744338" w:rsidRPr="00744338" w:rsidRDefault="00744338" w:rsidP="00744338">
      <w:pPr>
        <w:spacing w:line="240" w:lineRule="auto"/>
        <w:jc w:val="both"/>
        <w:rPr>
          <w:rFonts w:ascii="Times New Roman" w:hAnsi="Times New Roman" w:cs="Times New Roman"/>
          <w:b/>
          <w:bCs/>
          <w:sz w:val="24"/>
          <w:szCs w:val="24"/>
        </w:rPr>
      </w:pPr>
      <w:r w:rsidRPr="00744338">
        <w:rPr>
          <w:rFonts w:ascii="Times New Roman" w:hAnsi="Times New Roman" w:cs="Times New Roman"/>
          <w:b/>
          <w:bCs/>
          <w:sz w:val="24"/>
          <w:szCs w:val="24"/>
        </w:rPr>
        <w:t xml:space="preserve">Mandatory </w:t>
      </w:r>
      <w:r w:rsidR="006126A3">
        <w:rPr>
          <w:rFonts w:ascii="Times New Roman" w:hAnsi="Times New Roman" w:cs="Times New Roman"/>
          <w:b/>
          <w:bCs/>
          <w:sz w:val="24"/>
          <w:szCs w:val="24"/>
        </w:rPr>
        <w:t>i</w:t>
      </w:r>
      <w:r w:rsidRPr="00744338">
        <w:rPr>
          <w:rFonts w:ascii="Times New Roman" w:hAnsi="Times New Roman" w:cs="Times New Roman"/>
          <w:b/>
          <w:bCs/>
          <w:sz w:val="24"/>
          <w:szCs w:val="24"/>
        </w:rPr>
        <w:t xml:space="preserve">nsurance </w:t>
      </w:r>
      <w:r w:rsidR="006126A3">
        <w:rPr>
          <w:rFonts w:ascii="Times New Roman" w:hAnsi="Times New Roman" w:cs="Times New Roman"/>
          <w:b/>
          <w:bCs/>
          <w:sz w:val="24"/>
          <w:szCs w:val="24"/>
        </w:rPr>
        <w:t>f</w:t>
      </w:r>
      <w:r w:rsidRPr="00744338">
        <w:rPr>
          <w:rFonts w:ascii="Times New Roman" w:hAnsi="Times New Roman" w:cs="Times New Roman"/>
          <w:b/>
          <w:bCs/>
          <w:sz w:val="24"/>
          <w:szCs w:val="24"/>
        </w:rPr>
        <w:t xml:space="preserve">inancing: </w:t>
      </w:r>
      <w:r w:rsidR="006126A3">
        <w:rPr>
          <w:rFonts w:ascii="Times New Roman" w:hAnsi="Times New Roman" w:cs="Times New Roman"/>
          <w:b/>
          <w:bCs/>
          <w:sz w:val="24"/>
          <w:szCs w:val="24"/>
        </w:rPr>
        <w:t>t</w:t>
      </w:r>
      <w:r w:rsidRPr="00744338">
        <w:rPr>
          <w:rFonts w:ascii="Times New Roman" w:hAnsi="Times New Roman" w:cs="Times New Roman"/>
          <w:b/>
          <w:bCs/>
          <w:sz w:val="24"/>
          <w:szCs w:val="24"/>
        </w:rPr>
        <w:t xml:space="preserve">he </w:t>
      </w:r>
      <w:r w:rsidR="006126A3">
        <w:rPr>
          <w:rFonts w:ascii="Times New Roman" w:hAnsi="Times New Roman" w:cs="Times New Roman"/>
          <w:b/>
          <w:bCs/>
          <w:sz w:val="24"/>
          <w:szCs w:val="24"/>
        </w:rPr>
        <w:t>c</w:t>
      </w:r>
      <w:r w:rsidRPr="00744338">
        <w:rPr>
          <w:rFonts w:ascii="Times New Roman" w:hAnsi="Times New Roman" w:cs="Times New Roman"/>
          <w:b/>
          <w:bCs/>
          <w:sz w:val="24"/>
          <w:szCs w:val="24"/>
        </w:rPr>
        <w:t>ase of Germany</w:t>
      </w:r>
    </w:p>
    <w:p w14:paraId="6765D261" w14:textId="1BE8728A" w:rsidR="00744338" w:rsidRPr="00744338" w:rsidRDefault="00046BF0" w:rsidP="00744338">
      <w:pPr>
        <w:spacing w:line="240" w:lineRule="auto"/>
        <w:jc w:val="both"/>
        <w:rPr>
          <w:rFonts w:ascii="Times New Roman" w:hAnsi="Times New Roman" w:cs="Times New Roman"/>
          <w:sz w:val="24"/>
          <w:szCs w:val="24"/>
        </w:rPr>
      </w:pPr>
      <w:r w:rsidRPr="00046BF0">
        <w:rPr>
          <w:rFonts w:ascii="Times New Roman" w:hAnsi="Times New Roman" w:cs="Times New Roman"/>
          <w:sz w:val="24"/>
          <w:szCs w:val="24"/>
        </w:rPr>
        <w:t>Germany represents the Bismarckian model of healthcare financing, based on mandatory social health insurance. Contributions are shared between employers and employees and managed by non-profit sickness funds. Insurance coverage is legally mandated for all citizens. This system provides extensive healthcare services and incorporates competition and consumer choice. However, it also presents several challenges. Its reliance on formal employment reduces its effectiveness in countries with large informal labour sectors. Additionally, the involvement of multiple insurers increases administrative costs and introduces complexity, which can lead to inefficiencies and inequalities. While this model performs well in high-income countries, it may not be adaptable or scalable in low-income settings with less structured labour markets (Tulchinsky, 2018).</w:t>
      </w:r>
    </w:p>
    <w:p w14:paraId="113FE0F2" w14:textId="13CFE47D" w:rsidR="00744338" w:rsidRPr="00744338" w:rsidRDefault="00744338" w:rsidP="00744338">
      <w:pPr>
        <w:spacing w:line="240" w:lineRule="auto"/>
        <w:jc w:val="both"/>
        <w:rPr>
          <w:rFonts w:ascii="Times New Roman" w:hAnsi="Times New Roman" w:cs="Times New Roman"/>
          <w:b/>
          <w:bCs/>
          <w:sz w:val="24"/>
          <w:szCs w:val="24"/>
        </w:rPr>
      </w:pPr>
      <w:r w:rsidRPr="00744338">
        <w:rPr>
          <w:rFonts w:ascii="Times New Roman" w:hAnsi="Times New Roman" w:cs="Times New Roman"/>
          <w:b/>
          <w:bCs/>
          <w:sz w:val="24"/>
          <w:szCs w:val="24"/>
        </w:rPr>
        <w:t xml:space="preserve">Position and </w:t>
      </w:r>
      <w:r w:rsidR="006126A3">
        <w:rPr>
          <w:rFonts w:ascii="Times New Roman" w:hAnsi="Times New Roman" w:cs="Times New Roman"/>
          <w:b/>
          <w:bCs/>
          <w:sz w:val="24"/>
          <w:szCs w:val="24"/>
        </w:rPr>
        <w:t>r</w:t>
      </w:r>
      <w:r w:rsidRPr="00744338">
        <w:rPr>
          <w:rFonts w:ascii="Times New Roman" w:hAnsi="Times New Roman" w:cs="Times New Roman"/>
          <w:b/>
          <w:bCs/>
          <w:sz w:val="24"/>
          <w:szCs w:val="24"/>
        </w:rPr>
        <w:t>ecommendations</w:t>
      </w:r>
    </w:p>
    <w:p w14:paraId="3684EF56" w14:textId="6CE65DEA" w:rsidR="00046BF0" w:rsidRPr="00046BF0" w:rsidRDefault="00046BF0" w:rsidP="00046BF0">
      <w:pPr>
        <w:spacing w:line="240" w:lineRule="auto"/>
        <w:jc w:val="both"/>
        <w:rPr>
          <w:rFonts w:ascii="Times New Roman" w:hAnsi="Times New Roman" w:cs="Times New Roman"/>
          <w:sz w:val="24"/>
          <w:szCs w:val="24"/>
        </w:rPr>
      </w:pPr>
      <w:r w:rsidRPr="00046BF0">
        <w:rPr>
          <w:rFonts w:ascii="Times New Roman" w:hAnsi="Times New Roman" w:cs="Times New Roman"/>
          <w:sz w:val="24"/>
          <w:szCs w:val="24"/>
        </w:rPr>
        <w:t>Based on the evidence discussed, I strongly advocate for a tax-based approach to financing UHC. In my view, it is simpler to administer, inherently more equitable, and better suited to ensuring coverage for all</w:t>
      </w:r>
      <w:r w:rsidR="00ED7FDB">
        <w:rPr>
          <w:rFonts w:ascii="Times New Roman" w:hAnsi="Times New Roman" w:cs="Times New Roman"/>
          <w:sz w:val="24"/>
          <w:szCs w:val="24"/>
        </w:rPr>
        <w:t xml:space="preserve">, </w:t>
      </w:r>
      <w:r w:rsidRPr="00046BF0">
        <w:rPr>
          <w:rFonts w:ascii="Times New Roman" w:hAnsi="Times New Roman" w:cs="Times New Roman"/>
          <w:sz w:val="24"/>
          <w:szCs w:val="24"/>
        </w:rPr>
        <w:t>especially in countries with diverse populations and significant informal labour sectors</w:t>
      </w:r>
      <w:r w:rsidR="00D11F5A">
        <w:rPr>
          <w:rFonts w:ascii="Times New Roman" w:hAnsi="Times New Roman" w:cs="Times New Roman"/>
          <w:sz w:val="24"/>
          <w:szCs w:val="24"/>
        </w:rPr>
        <w:t xml:space="preserve"> </w:t>
      </w:r>
      <w:r w:rsidR="00D11F5A" w:rsidRPr="00D11F5A">
        <w:rPr>
          <w:rFonts w:ascii="Times New Roman" w:hAnsi="Times New Roman" w:cs="Times New Roman"/>
          <w:sz w:val="24"/>
          <w:szCs w:val="24"/>
        </w:rPr>
        <w:t>(</w:t>
      </w:r>
      <w:proofErr w:type="spellStart"/>
      <w:r w:rsidR="00D11F5A" w:rsidRPr="00D11F5A">
        <w:rPr>
          <w:rFonts w:ascii="Times New Roman" w:hAnsi="Times New Roman" w:cs="Times New Roman"/>
          <w:sz w:val="24"/>
          <w:szCs w:val="24"/>
        </w:rPr>
        <w:t>Savedoff</w:t>
      </w:r>
      <w:proofErr w:type="spellEnd"/>
      <w:r w:rsidR="00D11F5A" w:rsidRPr="00D11F5A">
        <w:rPr>
          <w:rFonts w:ascii="Times New Roman" w:hAnsi="Times New Roman" w:cs="Times New Roman"/>
          <w:sz w:val="24"/>
          <w:szCs w:val="24"/>
        </w:rPr>
        <w:t>, 2015)</w:t>
      </w:r>
      <w:r w:rsidRPr="00046BF0">
        <w:rPr>
          <w:rFonts w:ascii="Times New Roman" w:hAnsi="Times New Roman" w:cs="Times New Roman"/>
          <w:sz w:val="24"/>
          <w:szCs w:val="24"/>
        </w:rPr>
        <w:t>. Unlike contributory systems, tax-based models are not tied to employment status, making them more inclusive and resilient.</w:t>
      </w:r>
    </w:p>
    <w:p w14:paraId="24DE7A6E" w14:textId="29A11097" w:rsidR="00046BF0" w:rsidRPr="00046BF0" w:rsidRDefault="00046BF0" w:rsidP="00046BF0">
      <w:pPr>
        <w:spacing w:line="240" w:lineRule="auto"/>
        <w:jc w:val="both"/>
        <w:rPr>
          <w:rFonts w:ascii="Times New Roman" w:hAnsi="Times New Roman" w:cs="Times New Roman"/>
          <w:sz w:val="24"/>
          <w:szCs w:val="24"/>
        </w:rPr>
      </w:pPr>
      <w:r w:rsidRPr="00046BF0">
        <w:rPr>
          <w:rFonts w:ascii="Times New Roman" w:hAnsi="Times New Roman" w:cs="Times New Roman"/>
          <w:sz w:val="24"/>
          <w:szCs w:val="24"/>
        </w:rPr>
        <w:t>I recommend that countries yet to implement UHC adopt a phased transition towards tax-funded public health services, starting with essential care. Policymakers should prioritise progressive tax reforms and direct public investment into primary healthcare infrastructure. From my perspective, this approach offers predictable funding for providers, strengthens health systems, and reduces the financial burden on households</w:t>
      </w:r>
      <w:r w:rsidR="008345B1">
        <w:rPr>
          <w:rFonts w:ascii="Times New Roman" w:hAnsi="Times New Roman" w:cs="Times New Roman"/>
          <w:sz w:val="24"/>
          <w:szCs w:val="24"/>
        </w:rPr>
        <w:t xml:space="preserve"> </w:t>
      </w:r>
      <w:r w:rsidR="008345B1" w:rsidRPr="008345B1">
        <w:rPr>
          <w:rFonts w:ascii="Times New Roman" w:hAnsi="Times New Roman" w:cs="Times New Roman"/>
          <w:sz w:val="24"/>
          <w:szCs w:val="24"/>
        </w:rPr>
        <w:t>(WHO, 2010)</w:t>
      </w:r>
      <w:r w:rsidRPr="00046BF0">
        <w:rPr>
          <w:rFonts w:ascii="Times New Roman" w:hAnsi="Times New Roman" w:cs="Times New Roman"/>
          <w:sz w:val="24"/>
          <w:szCs w:val="24"/>
        </w:rPr>
        <w:t>.</w:t>
      </w:r>
    </w:p>
    <w:p w14:paraId="060B8CAE" w14:textId="6642D47F" w:rsidR="00046BF0" w:rsidRPr="00046BF0" w:rsidRDefault="00046BF0" w:rsidP="00046BF0">
      <w:pPr>
        <w:spacing w:line="240" w:lineRule="auto"/>
        <w:jc w:val="both"/>
        <w:rPr>
          <w:rFonts w:ascii="Times New Roman" w:hAnsi="Times New Roman" w:cs="Times New Roman"/>
          <w:sz w:val="24"/>
          <w:szCs w:val="24"/>
        </w:rPr>
      </w:pPr>
      <w:r w:rsidRPr="00046BF0">
        <w:rPr>
          <w:rFonts w:ascii="Times New Roman" w:hAnsi="Times New Roman" w:cs="Times New Roman"/>
          <w:sz w:val="24"/>
          <w:szCs w:val="24"/>
        </w:rPr>
        <w:lastRenderedPageBreak/>
        <w:t>That said, I acknowledge that tax-based systems are not without their challenges. They may be vulnerable to political instability, underfunding during economic downturns, and competing fiscal demands. Public dissatisfaction can arise if services are poorly managed or under</w:t>
      </w:r>
      <w:r w:rsidR="00B777B1">
        <w:rPr>
          <w:rFonts w:ascii="Times New Roman" w:hAnsi="Times New Roman" w:cs="Times New Roman"/>
          <w:sz w:val="24"/>
          <w:szCs w:val="24"/>
        </w:rPr>
        <w:t xml:space="preserve"> </w:t>
      </w:r>
      <w:r w:rsidRPr="00046BF0">
        <w:rPr>
          <w:rFonts w:ascii="Times New Roman" w:hAnsi="Times New Roman" w:cs="Times New Roman"/>
          <w:sz w:val="24"/>
          <w:szCs w:val="24"/>
        </w:rPr>
        <w:t>resourced. These risks highlight the importance of sound governance and sustained investment to maintain public confidence in the system</w:t>
      </w:r>
      <w:r w:rsidR="003B5DB2">
        <w:rPr>
          <w:rFonts w:ascii="Times New Roman" w:hAnsi="Times New Roman" w:cs="Times New Roman"/>
          <w:sz w:val="24"/>
          <w:szCs w:val="24"/>
        </w:rPr>
        <w:t xml:space="preserve"> </w:t>
      </w:r>
      <w:r w:rsidR="003B5DB2" w:rsidRPr="003B5DB2">
        <w:rPr>
          <w:rFonts w:ascii="Times New Roman" w:hAnsi="Times New Roman" w:cs="Times New Roman"/>
          <w:sz w:val="24"/>
          <w:szCs w:val="24"/>
        </w:rPr>
        <w:t>(Reeves et al., 2015)</w:t>
      </w:r>
      <w:r w:rsidRPr="00046BF0">
        <w:rPr>
          <w:rFonts w:ascii="Times New Roman" w:hAnsi="Times New Roman" w:cs="Times New Roman"/>
          <w:sz w:val="24"/>
          <w:szCs w:val="24"/>
        </w:rPr>
        <w:t>.</w:t>
      </w:r>
    </w:p>
    <w:p w14:paraId="2BA6E133" w14:textId="43E9623E" w:rsidR="002E2FED" w:rsidRPr="002E2FED" w:rsidRDefault="002E2FED" w:rsidP="002E2FED">
      <w:pPr>
        <w:spacing w:line="240" w:lineRule="auto"/>
        <w:jc w:val="both"/>
        <w:rPr>
          <w:rFonts w:ascii="Times New Roman" w:hAnsi="Times New Roman" w:cs="Times New Roman"/>
          <w:b/>
          <w:bCs/>
          <w:sz w:val="24"/>
          <w:szCs w:val="24"/>
        </w:rPr>
      </w:pPr>
      <w:r w:rsidRPr="002E2FED">
        <w:rPr>
          <w:rFonts w:ascii="Times New Roman" w:hAnsi="Times New Roman" w:cs="Times New Roman"/>
          <w:b/>
          <w:bCs/>
          <w:sz w:val="24"/>
          <w:szCs w:val="24"/>
        </w:rPr>
        <w:t xml:space="preserve">Personal </w:t>
      </w:r>
      <w:r w:rsidR="006126A3">
        <w:rPr>
          <w:rFonts w:ascii="Times New Roman" w:hAnsi="Times New Roman" w:cs="Times New Roman"/>
          <w:b/>
          <w:bCs/>
          <w:sz w:val="24"/>
          <w:szCs w:val="24"/>
        </w:rPr>
        <w:t>r</w:t>
      </w:r>
      <w:r w:rsidRPr="002E2FED">
        <w:rPr>
          <w:rFonts w:ascii="Times New Roman" w:hAnsi="Times New Roman" w:cs="Times New Roman"/>
          <w:b/>
          <w:bCs/>
          <w:sz w:val="24"/>
          <w:szCs w:val="24"/>
        </w:rPr>
        <w:t>eflection</w:t>
      </w:r>
    </w:p>
    <w:p w14:paraId="3C1A3C0B" w14:textId="384412FF" w:rsidR="002E2FED" w:rsidRPr="002E2FED" w:rsidRDefault="002E2FED" w:rsidP="002E2FED">
      <w:pPr>
        <w:spacing w:line="240" w:lineRule="auto"/>
        <w:jc w:val="both"/>
        <w:rPr>
          <w:rFonts w:ascii="Times New Roman" w:hAnsi="Times New Roman" w:cs="Times New Roman"/>
          <w:sz w:val="24"/>
          <w:szCs w:val="24"/>
        </w:rPr>
      </w:pPr>
      <w:r w:rsidRPr="002E2FED">
        <w:rPr>
          <w:rFonts w:ascii="Times New Roman" w:hAnsi="Times New Roman" w:cs="Times New Roman"/>
          <w:sz w:val="24"/>
          <w:szCs w:val="24"/>
        </w:rPr>
        <w:t xml:space="preserve">During the debate, I was actively involved in researching the tax-based model, with a particular focus on the NHS as a case study. I prepared </w:t>
      </w:r>
      <w:r w:rsidR="00BD13C4" w:rsidRPr="002E2FED">
        <w:rPr>
          <w:rFonts w:ascii="Times New Roman" w:hAnsi="Times New Roman" w:cs="Times New Roman"/>
          <w:sz w:val="24"/>
          <w:szCs w:val="24"/>
        </w:rPr>
        <w:t>evidence</w:t>
      </w:r>
      <w:r w:rsidR="00BD13C4">
        <w:rPr>
          <w:rFonts w:ascii="Times New Roman" w:hAnsi="Times New Roman" w:cs="Times New Roman"/>
          <w:sz w:val="24"/>
          <w:szCs w:val="24"/>
        </w:rPr>
        <w:t>-based</w:t>
      </w:r>
      <w:r w:rsidRPr="002E2FED">
        <w:rPr>
          <w:rFonts w:ascii="Times New Roman" w:hAnsi="Times New Roman" w:cs="Times New Roman"/>
          <w:sz w:val="24"/>
          <w:szCs w:val="24"/>
        </w:rPr>
        <w:t xml:space="preserve"> arguments and contributed to the structure of our presentation. I also helped identify counterarguments for the insurance-based model to strengthen our position through contrast. Engaging in this process deepened my understanding of the relationship between health financing, policy, and equity</w:t>
      </w:r>
      <w:r w:rsidR="00E02F6D">
        <w:rPr>
          <w:rFonts w:ascii="Times New Roman" w:hAnsi="Times New Roman" w:cs="Times New Roman"/>
          <w:sz w:val="24"/>
          <w:szCs w:val="24"/>
        </w:rPr>
        <w:t xml:space="preserve"> (</w:t>
      </w:r>
      <w:r w:rsidR="00E02F6D">
        <w:t>Beacham and Shambaugh, 2007)</w:t>
      </w:r>
      <w:r w:rsidRPr="002E2FED">
        <w:rPr>
          <w:rFonts w:ascii="Times New Roman" w:hAnsi="Times New Roman" w:cs="Times New Roman"/>
          <w:sz w:val="24"/>
          <w:szCs w:val="24"/>
        </w:rPr>
        <w:t>.</w:t>
      </w:r>
    </w:p>
    <w:p w14:paraId="557E35A8" w14:textId="39EC797C" w:rsidR="002E2FED" w:rsidRPr="002E2FED" w:rsidRDefault="002E2FED" w:rsidP="002E2FED">
      <w:pPr>
        <w:spacing w:line="240" w:lineRule="auto"/>
        <w:jc w:val="both"/>
        <w:rPr>
          <w:rFonts w:ascii="Times New Roman" w:hAnsi="Times New Roman" w:cs="Times New Roman"/>
          <w:sz w:val="24"/>
          <w:szCs w:val="24"/>
        </w:rPr>
      </w:pPr>
      <w:r w:rsidRPr="002E2FED">
        <w:rPr>
          <w:rFonts w:ascii="Times New Roman" w:hAnsi="Times New Roman" w:cs="Times New Roman"/>
          <w:sz w:val="24"/>
          <w:szCs w:val="24"/>
        </w:rPr>
        <w:t>Through the discussion, I gained confidence in presenting complex ideas and recognised the importance of tailoring communication to persuade different stakeholders. Most importantly, I realised that while evidence is essential, clarity and conviction in delivery are equally important in influencing opinion. This experience enhanced my teamwork, critical thinking, and public speaking skills</w:t>
      </w:r>
      <w:r w:rsidR="00B777B1">
        <w:rPr>
          <w:rFonts w:ascii="Times New Roman" w:hAnsi="Times New Roman" w:cs="Times New Roman"/>
          <w:sz w:val="24"/>
          <w:szCs w:val="24"/>
        </w:rPr>
        <w:t xml:space="preserve"> </w:t>
      </w:r>
      <w:r w:rsidRPr="002E2FED">
        <w:rPr>
          <w:rFonts w:ascii="Times New Roman" w:hAnsi="Times New Roman" w:cs="Times New Roman"/>
          <w:sz w:val="24"/>
          <w:szCs w:val="24"/>
        </w:rPr>
        <w:t>competencies that will serve me well in both academic and professional settings</w:t>
      </w:r>
      <w:r w:rsidR="00EE64E4">
        <w:rPr>
          <w:rFonts w:ascii="Times New Roman" w:hAnsi="Times New Roman" w:cs="Times New Roman"/>
          <w:sz w:val="24"/>
          <w:szCs w:val="24"/>
        </w:rPr>
        <w:t xml:space="preserve"> </w:t>
      </w:r>
      <w:r w:rsidR="00EE64E4" w:rsidRPr="00EE64E4">
        <w:rPr>
          <w:rFonts w:ascii="Times New Roman" w:hAnsi="Times New Roman" w:cs="Times New Roman"/>
          <w:sz w:val="24"/>
          <w:szCs w:val="24"/>
        </w:rPr>
        <w:t>(Goodwin, 2003)</w:t>
      </w:r>
      <w:r w:rsidRPr="002E2FED">
        <w:rPr>
          <w:rFonts w:ascii="Times New Roman" w:hAnsi="Times New Roman" w:cs="Times New Roman"/>
          <w:sz w:val="24"/>
          <w:szCs w:val="24"/>
        </w:rPr>
        <w:t>.</w:t>
      </w:r>
    </w:p>
    <w:p w14:paraId="1243B9DD" w14:textId="77777777" w:rsidR="00744338" w:rsidRPr="00744338" w:rsidRDefault="00744338" w:rsidP="00744338">
      <w:pPr>
        <w:spacing w:line="240" w:lineRule="auto"/>
        <w:jc w:val="both"/>
        <w:rPr>
          <w:rFonts w:ascii="Times New Roman" w:hAnsi="Times New Roman" w:cs="Times New Roman"/>
          <w:b/>
          <w:bCs/>
          <w:sz w:val="24"/>
          <w:szCs w:val="24"/>
        </w:rPr>
      </w:pPr>
      <w:r w:rsidRPr="00744338">
        <w:rPr>
          <w:rFonts w:ascii="Times New Roman" w:hAnsi="Times New Roman" w:cs="Times New Roman"/>
          <w:b/>
          <w:bCs/>
          <w:sz w:val="24"/>
          <w:szCs w:val="24"/>
        </w:rPr>
        <w:t>Conclusion</w:t>
      </w:r>
    </w:p>
    <w:p w14:paraId="3CDD86F1" w14:textId="671233B5" w:rsidR="002E2FED" w:rsidRPr="002E2FED" w:rsidRDefault="002E2FED" w:rsidP="00EC70FE">
      <w:pPr>
        <w:spacing w:line="240" w:lineRule="auto"/>
        <w:jc w:val="both"/>
        <w:rPr>
          <w:rFonts w:ascii="Times New Roman" w:hAnsi="Times New Roman" w:cs="Times New Roman"/>
          <w:sz w:val="24"/>
          <w:szCs w:val="24"/>
        </w:rPr>
      </w:pPr>
      <w:r w:rsidRPr="002E2FED">
        <w:rPr>
          <w:rFonts w:ascii="Times New Roman" w:hAnsi="Times New Roman" w:cs="Times New Roman"/>
          <w:sz w:val="24"/>
          <w:szCs w:val="24"/>
        </w:rPr>
        <w:t>Both tax-based and insurance-based models can support the realisation of Universal Health Coverage. However, tax-funded systems stand out for their fairness, inclusivity, and efficiency. By removing financial barriers and distributing healthcare based on need rather than ability to pay, they embody the foundational values of UHC. Despite some limitations, tax-based models have consistently demonstrated their capacity to deliver equitable care, as seen in the NHS</w:t>
      </w:r>
      <w:r w:rsidR="00163181">
        <w:rPr>
          <w:rFonts w:ascii="Times New Roman" w:hAnsi="Times New Roman" w:cs="Times New Roman"/>
          <w:sz w:val="24"/>
          <w:szCs w:val="24"/>
        </w:rPr>
        <w:t xml:space="preserve"> </w:t>
      </w:r>
      <w:r w:rsidR="00163181" w:rsidRPr="00163181">
        <w:rPr>
          <w:rFonts w:ascii="Times New Roman" w:hAnsi="Times New Roman" w:cs="Times New Roman"/>
          <w:sz w:val="24"/>
          <w:szCs w:val="24"/>
        </w:rPr>
        <w:t xml:space="preserve">(McIntyre and </w:t>
      </w:r>
      <w:proofErr w:type="spellStart"/>
      <w:r w:rsidR="00163181" w:rsidRPr="00163181">
        <w:rPr>
          <w:rFonts w:ascii="Times New Roman" w:hAnsi="Times New Roman" w:cs="Times New Roman"/>
          <w:sz w:val="24"/>
          <w:szCs w:val="24"/>
        </w:rPr>
        <w:t>Kutzin</w:t>
      </w:r>
      <w:proofErr w:type="spellEnd"/>
      <w:r w:rsidR="00163181" w:rsidRPr="00163181">
        <w:rPr>
          <w:rFonts w:ascii="Times New Roman" w:hAnsi="Times New Roman" w:cs="Times New Roman"/>
          <w:sz w:val="24"/>
          <w:szCs w:val="24"/>
        </w:rPr>
        <w:t>, 2016)</w:t>
      </w:r>
      <w:r w:rsidRPr="002E2FED">
        <w:rPr>
          <w:rFonts w:ascii="Times New Roman" w:hAnsi="Times New Roman" w:cs="Times New Roman"/>
          <w:sz w:val="24"/>
          <w:szCs w:val="24"/>
        </w:rPr>
        <w:t>.</w:t>
      </w:r>
    </w:p>
    <w:p w14:paraId="198EAF22" w14:textId="767292DE" w:rsidR="002E2FED" w:rsidRPr="002E2FED" w:rsidRDefault="002E2FED" w:rsidP="00EC70FE">
      <w:pPr>
        <w:spacing w:line="240" w:lineRule="auto"/>
        <w:jc w:val="both"/>
        <w:rPr>
          <w:rFonts w:ascii="Times New Roman" w:hAnsi="Times New Roman" w:cs="Times New Roman"/>
          <w:sz w:val="24"/>
          <w:szCs w:val="24"/>
        </w:rPr>
      </w:pPr>
      <w:r w:rsidRPr="002E2FED">
        <w:rPr>
          <w:rFonts w:ascii="Times New Roman" w:hAnsi="Times New Roman" w:cs="Times New Roman"/>
          <w:sz w:val="24"/>
          <w:szCs w:val="24"/>
        </w:rPr>
        <w:t>Achieving UHC is not merely a policy challenge</w:t>
      </w:r>
      <w:r w:rsidR="00696B8C">
        <w:rPr>
          <w:rFonts w:ascii="Times New Roman" w:hAnsi="Times New Roman" w:cs="Times New Roman"/>
          <w:sz w:val="24"/>
          <w:szCs w:val="24"/>
        </w:rPr>
        <w:t xml:space="preserve">, </w:t>
      </w:r>
      <w:r w:rsidRPr="002E2FED">
        <w:rPr>
          <w:rFonts w:ascii="Times New Roman" w:hAnsi="Times New Roman" w:cs="Times New Roman"/>
          <w:sz w:val="24"/>
          <w:szCs w:val="24"/>
        </w:rPr>
        <w:t>it is a moral imperative. If healthcare is a right, then tax-based public funding is its most just and practical expression</w:t>
      </w:r>
      <w:r w:rsidR="00EC70FE">
        <w:rPr>
          <w:rFonts w:ascii="Times New Roman" w:hAnsi="Times New Roman" w:cs="Times New Roman"/>
          <w:sz w:val="24"/>
          <w:szCs w:val="24"/>
        </w:rPr>
        <w:t xml:space="preserve"> </w:t>
      </w:r>
      <w:r w:rsidR="00EC70FE" w:rsidRPr="00EC70FE">
        <w:rPr>
          <w:rFonts w:ascii="Times New Roman" w:hAnsi="Times New Roman" w:cs="Times New Roman"/>
          <w:sz w:val="24"/>
          <w:szCs w:val="24"/>
        </w:rPr>
        <w:t>(World Health Organization, 2014)</w:t>
      </w:r>
      <w:r w:rsidRPr="002E2FED">
        <w:rPr>
          <w:rFonts w:ascii="Times New Roman" w:hAnsi="Times New Roman" w:cs="Times New Roman"/>
          <w:sz w:val="24"/>
          <w:szCs w:val="24"/>
        </w:rPr>
        <w:t>.</w:t>
      </w:r>
    </w:p>
    <w:p w14:paraId="663D9E9B" w14:textId="77777777" w:rsidR="00AC4400" w:rsidRDefault="00AC4400" w:rsidP="00EC70FE">
      <w:pPr>
        <w:spacing w:line="240" w:lineRule="auto"/>
        <w:jc w:val="both"/>
        <w:rPr>
          <w:rFonts w:ascii="Times New Roman" w:hAnsi="Times New Roman" w:cs="Times New Roman"/>
          <w:sz w:val="24"/>
          <w:szCs w:val="24"/>
        </w:rPr>
      </w:pPr>
    </w:p>
    <w:p w14:paraId="758B4F80" w14:textId="77777777" w:rsidR="003E7FB3" w:rsidRDefault="003E7FB3" w:rsidP="005F0255">
      <w:pPr>
        <w:widowControl w:val="0"/>
        <w:autoSpaceDE w:val="0"/>
        <w:autoSpaceDN w:val="0"/>
        <w:adjustRightInd w:val="0"/>
        <w:spacing w:after="240" w:line="360" w:lineRule="auto"/>
        <w:jc w:val="both"/>
        <w:rPr>
          <w:rFonts w:ascii="Times New Roman" w:hAnsi="Times New Roman" w:cs="Times New Roman"/>
          <w:sz w:val="36"/>
          <w:szCs w:val="36"/>
        </w:rPr>
      </w:pPr>
    </w:p>
    <w:p w14:paraId="4E610A98" w14:textId="77777777" w:rsidR="003E7FB3" w:rsidRDefault="003E7FB3" w:rsidP="005F0255">
      <w:pPr>
        <w:widowControl w:val="0"/>
        <w:autoSpaceDE w:val="0"/>
        <w:autoSpaceDN w:val="0"/>
        <w:adjustRightInd w:val="0"/>
        <w:spacing w:after="240" w:line="360" w:lineRule="auto"/>
        <w:jc w:val="both"/>
        <w:rPr>
          <w:rFonts w:ascii="Times New Roman" w:hAnsi="Times New Roman" w:cs="Times New Roman"/>
          <w:sz w:val="36"/>
          <w:szCs w:val="36"/>
        </w:rPr>
      </w:pPr>
    </w:p>
    <w:p w14:paraId="63967DD9" w14:textId="77777777" w:rsidR="003E7FB3" w:rsidRDefault="003E7FB3" w:rsidP="005F0255">
      <w:pPr>
        <w:widowControl w:val="0"/>
        <w:autoSpaceDE w:val="0"/>
        <w:autoSpaceDN w:val="0"/>
        <w:adjustRightInd w:val="0"/>
        <w:spacing w:after="240" w:line="360" w:lineRule="auto"/>
        <w:jc w:val="both"/>
        <w:rPr>
          <w:rFonts w:ascii="Times New Roman" w:hAnsi="Times New Roman" w:cs="Times New Roman"/>
          <w:sz w:val="36"/>
          <w:szCs w:val="36"/>
        </w:rPr>
      </w:pPr>
    </w:p>
    <w:p w14:paraId="45406092" w14:textId="77777777" w:rsidR="003E7FB3" w:rsidRDefault="003E7FB3" w:rsidP="005F0255">
      <w:pPr>
        <w:widowControl w:val="0"/>
        <w:autoSpaceDE w:val="0"/>
        <w:autoSpaceDN w:val="0"/>
        <w:adjustRightInd w:val="0"/>
        <w:spacing w:after="240" w:line="360" w:lineRule="auto"/>
        <w:jc w:val="both"/>
        <w:rPr>
          <w:rFonts w:ascii="Times New Roman" w:hAnsi="Times New Roman" w:cs="Times New Roman"/>
          <w:sz w:val="36"/>
          <w:szCs w:val="36"/>
        </w:rPr>
      </w:pPr>
    </w:p>
    <w:p w14:paraId="338D92B6" w14:textId="1A606468" w:rsidR="005F0255" w:rsidRDefault="005F0255" w:rsidP="005F0255">
      <w:pPr>
        <w:widowControl w:val="0"/>
        <w:autoSpaceDE w:val="0"/>
        <w:autoSpaceDN w:val="0"/>
        <w:adjustRightInd w:val="0"/>
        <w:spacing w:after="240" w:line="360" w:lineRule="auto"/>
        <w:jc w:val="both"/>
        <w:rPr>
          <w:rFonts w:ascii="Times New Roman" w:hAnsi="Times New Roman" w:cs="Times New Roman"/>
        </w:rPr>
      </w:pPr>
      <w:r>
        <w:rPr>
          <w:rFonts w:ascii="Times New Roman" w:hAnsi="Times New Roman" w:cs="Times New Roman"/>
          <w:sz w:val="36"/>
          <w:szCs w:val="36"/>
        </w:rPr>
        <w:lastRenderedPageBreak/>
        <w:t>Reference:</w:t>
      </w:r>
    </w:p>
    <w:p w14:paraId="4877A701" w14:textId="77777777" w:rsidR="002564FC" w:rsidRDefault="002564FC" w:rsidP="009B56A9">
      <w:pPr>
        <w:pStyle w:val="NormalWeb"/>
        <w:numPr>
          <w:ilvl w:val="0"/>
          <w:numId w:val="11"/>
        </w:numPr>
        <w:spacing w:before="0" w:beforeAutospacing="0" w:after="240" w:afterAutospacing="0" w:line="360" w:lineRule="auto"/>
        <w:jc w:val="both"/>
      </w:pPr>
      <w:r>
        <w:t xml:space="preserve">Beacham, C. and Shambaugh, N. (2007) ‘Advocacy as a Problem-Based Learning (PBL) Teaching Strategy’. </w:t>
      </w:r>
      <w:r>
        <w:rPr>
          <w:i/>
          <w:iCs/>
        </w:rPr>
        <w:t>International Journal of Teaching and Learning in Higher Education</w:t>
      </w:r>
      <w:r>
        <w:t xml:space="preserve"> 19(3), pp. 315–324. Available at: http://www.isetl.org/ijtlhe/pdf/IJTLHE240.pdf (Accessed: 9 May 2025).</w:t>
      </w:r>
    </w:p>
    <w:p w14:paraId="59422F0D" w14:textId="60557851" w:rsidR="005F0255" w:rsidRDefault="005F0255" w:rsidP="005F0255">
      <w:pPr>
        <w:pStyle w:val="ListParagraph"/>
        <w:widowControl w:val="0"/>
        <w:numPr>
          <w:ilvl w:val="0"/>
          <w:numId w:val="11"/>
        </w:numPr>
        <w:autoSpaceDE w:val="0"/>
        <w:autoSpaceDN w:val="0"/>
        <w:adjustRightInd w:val="0"/>
        <w:spacing w:after="240" w:line="360" w:lineRule="auto"/>
        <w:jc w:val="both"/>
        <w:rPr>
          <w:rFonts w:ascii="Times New Roman" w:hAnsi="Times New Roman" w:cs="Times New Roman"/>
        </w:rPr>
      </w:pPr>
      <w:r w:rsidRPr="00636667">
        <w:rPr>
          <w:rFonts w:ascii="Times New Roman" w:hAnsi="Times New Roman" w:cs="Times New Roman"/>
        </w:rPr>
        <w:t xml:space="preserve">Dayan, M., Ward, D, Gardner, T. and Kelly, E. (2018) </w:t>
      </w:r>
      <w:r w:rsidRPr="00636667">
        <w:rPr>
          <w:rFonts w:ascii="Times New Roman" w:hAnsi="Times New Roman" w:cs="Times New Roman"/>
          <w:i/>
          <w:iCs/>
        </w:rPr>
        <w:t xml:space="preserve">Mark Dayan How good is the </w:t>
      </w:r>
      <w:proofErr w:type="gramStart"/>
      <w:r w:rsidRPr="00636667">
        <w:rPr>
          <w:rFonts w:ascii="Times New Roman" w:hAnsi="Times New Roman" w:cs="Times New Roman"/>
          <w:i/>
          <w:iCs/>
        </w:rPr>
        <w:t>NHS?</w:t>
      </w:r>
      <w:r w:rsidRPr="00636667">
        <w:rPr>
          <w:rFonts w:ascii="Times New Roman" w:hAnsi="Times New Roman" w:cs="Times New Roman"/>
        </w:rPr>
        <w:t>.</w:t>
      </w:r>
      <w:proofErr w:type="gramEnd"/>
      <w:r w:rsidRPr="00636667">
        <w:rPr>
          <w:rFonts w:ascii="Times New Roman" w:hAnsi="Times New Roman" w:cs="Times New Roman"/>
        </w:rPr>
        <w:t xml:space="preserve"> Available at: </w:t>
      </w:r>
      <w:hyperlink r:id="rId9" w:history="1">
        <w:r w:rsidRPr="00636667">
          <w:rPr>
            <w:rFonts w:ascii="Times New Roman" w:hAnsi="Times New Roman" w:cs="Times New Roman"/>
          </w:rPr>
          <w:t>https://www.health.org.uk/sites/default/files/NHS-70-How-good-is-the-NHS.pdf</w:t>
        </w:r>
      </w:hyperlink>
      <w:r w:rsidRPr="00636667">
        <w:rPr>
          <w:rFonts w:ascii="Times New Roman" w:hAnsi="Times New Roman" w:cs="Times New Roman"/>
        </w:rPr>
        <w:t>.</w:t>
      </w:r>
    </w:p>
    <w:p w14:paraId="3183AD3C" w14:textId="62C5DB44" w:rsidR="00B2698C" w:rsidRDefault="00B2698C" w:rsidP="009B56A9">
      <w:pPr>
        <w:pStyle w:val="NormalWeb"/>
        <w:numPr>
          <w:ilvl w:val="0"/>
          <w:numId w:val="11"/>
        </w:numPr>
        <w:spacing w:before="0" w:beforeAutospacing="0" w:after="240" w:afterAutospacing="0" w:line="360" w:lineRule="auto"/>
        <w:jc w:val="both"/>
      </w:pPr>
      <w:r>
        <w:t xml:space="preserve">Goodwin, J. (2003) ‘Students’ Perspectives on Debate Exercises in Content Area Classes’. </w:t>
      </w:r>
      <w:r>
        <w:rPr>
          <w:i/>
          <w:iCs/>
        </w:rPr>
        <w:t>Communication Education</w:t>
      </w:r>
      <w:r>
        <w:t xml:space="preserve"> 52(2), pp. 157–163. </w:t>
      </w:r>
      <w:r w:rsidR="009B56A9">
        <w:t>Available at</w:t>
      </w:r>
      <w:r w:rsidR="009B56A9" w:rsidRPr="00636667">
        <w:t xml:space="preserve">: </w:t>
      </w:r>
      <w:r>
        <w:t>https://doi.org/10.1080/03634520302466.</w:t>
      </w:r>
    </w:p>
    <w:p w14:paraId="5B13E4E1" w14:textId="77777777" w:rsidR="005F0255" w:rsidRDefault="005F0255" w:rsidP="005F0255">
      <w:pPr>
        <w:pStyle w:val="ListParagraph"/>
        <w:widowControl w:val="0"/>
        <w:numPr>
          <w:ilvl w:val="0"/>
          <w:numId w:val="11"/>
        </w:numPr>
        <w:autoSpaceDE w:val="0"/>
        <w:autoSpaceDN w:val="0"/>
        <w:adjustRightInd w:val="0"/>
        <w:spacing w:after="240" w:line="360" w:lineRule="auto"/>
        <w:jc w:val="both"/>
        <w:rPr>
          <w:rFonts w:ascii="Times New Roman" w:hAnsi="Times New Roman" w:cs="Times New Roman"/>
        </w:rPr>
      </w:pPr>
      <w:r w:rsidRPr="00636667">
        <w:rPr>
          <w:rFonts w:ascii="Times New Roman" w:hAnsi="Times New Roman" w:cs="Times New Roman"/>
        </w:rPr>
        <w:t xml:space="preserve">Jordi, E., </w:t>
      </w:r>
      <w:proofErr w:type="spellStart"/>
      <w:r w:rsidRPr="00636667">
        <w:rPr>
          <w:rFonts w:ascii="Times New Roman" w:hAnsi="Times New Roman" w:cs="Times New Roman"/>
        </w:rPr>
        <w:t>Pley</w:t>
      </w:r>
      <w:proofErr w:type="spellEnd"/>
      <w:r w:rsidRPr="00636667">
        <w:rPr>
          <w:rFonts w:ascii="Times New Roman" w:hAnsi="Times New Roman" w:cs="Times New Roman"/>
        </w:rPr>
        <w:t xml:space="preserve">, C., Jowett, M., Abou </w:t>
      </w:r>
      <w:proofErr w:type="spellStart"/>
      <w:r w:rsidRPr="00636667">
        <w:rPr>
          <w:rFonts w:ascii="Times New Roman" w:hAnsi="Times New Roman" w:cs="Times New Roman"/>
        </w:rPr>
        <w:t>Jaoude</w:t>
      </w:r>
      <w:proofErr w:type="spellEnd"/>
      <w:r w:rsidRPr="00636667">
        <w:rPr>
          <w:rFonts w:ascii="Times New Roman" w:hAnsi="Times New Roman" w:cs="Times New Roman"/>
        </w:rPr>
        <w:t xml:space="preserve">, G.J. and </w:t>
      </w:r>
      <w:proofErr w:type="spellStart"/>
      <w:r w:rsidRPr="00636667">
        <w:rPr>
          <w:rFonts w:ascii="Times New Roman" w:hAnsi="Times New Roman" w:cs="Times New Roman"/>
        </w:rPr>
        <w:t>Haghparast</w:t>
      </w:r>
      <w:proofErr w:type="spellEnd"/>
      <w:r w:rsidRPr="00636667">
        <w:rPr>
          <w:rFonts w:ascii="Times New Roman" w:hAnsi="Times New Roman" w:cs="Times New Roman"/>
        </w:rPr>
        <w:t xml:space="preserve">-Bidgoli, H. (2020) ‘Assessing the efficiency of countries in making progress towards universal health coverage: a data envelopment analysis of 172 </w:t>
      </w:r>
      <w:proofErr w:type="gramStart"/>
      <w:r w:rsidRPr="00636667">
        <w:rPr>
          <w:rFonts w:ascii="Times New Roman" w:hAnsi="Times New Roman" w:cs="Times New Roman"/>
        </w:rPr>
        <w:t>countries’</w:t>
      </w:r>
      <w:proofErr w:type="gramEnd"/>
      <w:r w:rsidRPr="00636667">
        <w:rPr>
          <w:rFonts w:ascii="Times New Roman" w:hAnsi="Times New Roman" w:cs="Times New Roman"/>
        </w:rPr>
        <w:t xml:space="preserve">. </w:t>
      </w:r>
      <w:r w:rsidRPr="00636667">
        <w:rPr>
          <w:rFonts w:ascii="Times New Roman" w:hAnsi="Times New Roman" w:cs="Times New Roman"/>
          <w:i/>
          <w:iCs/>
        </w:rPr>
        <w:t>BMJ Global Health</w:t>
      </w:r>
      <w:r w:rsidRPr="00636667">
        <w:rPr>
          <w:rFonts w:ascii="Times New Roman" w:hAnsi="Times New Roman" w:cs="Times New Roman"/>
        </w:rPr>
        <w:t xml:space="preserve"> 5(10), p. e002992. </w:t>
      </w:r>
      <w:r>
        <w:rPr>
          <w:rFonts w:ascii="Times New Roman" w:hAnsi="Times New Roman" w:cs="Times New Roman"/>
        </w:rPr>
        <w:t>Available at</w:t>
      </w:r>
      <w:r w:rsidRPr="00636667">
        <w:rPr>
          <w:rFonts w:ascii="Times New Roman" w:hAnsi="Times New Roman" w:cs="Times New Roman"/>
        </w:rPr>
        <w:t xml:space="preserve">: </w:t>
      </w:r>
      <w:hyperlink r:id="rId10" w:history="1">
        <w:r w:rsidRPr="00636667">
          <w:rPr>
            <w:rFonts w:ascii="Times New Roman" w:hAnsi="Times New Roman" w:cs="Times New Roman"/>
          </w:rPr>
          <w:t>https://doi.org/10.1136/bmjgh-2020-002992</w:t>
        </w:r>
      </w:hyperlink>
      <w:r w:rsidRPr="00636667">
        <w:rPr>
          <w:rFonts w:ascii="Times New Roman" w:hAnsi="Times New Roman" w:cs="Times New Roman"/>
        </w:rPr>
        <w:t>.</w:t>
      </w:r>
    </w:p>
    <w:p w14:paraId="25407FCE" w14:textId="77777777" w:rsidR="005F0255" w:rsidRDefault="005F0255" w:rsidP="005F0255">
      <w:pPr>
        <w:pStyle w:val="ListParagraph"/>
        <w:widowControl w:val="0"/>
        <w:numPr>
          <w:ilvl w:val="0"/>
          <w:numId w:val="11"/>
        </w:numPr>
        <w:autoSpaceDE w:val="0"/>
        <w:autoSpaceDN w:val="0"/>
        <w:adjustRightInd w:val="0"/>
        <w:spacing w:after="240" w:line="360" w:lineRule="auto"/>
        <w:jc w:val="both"/>
        <w:rPr>
          <w:rFonts w:ascii="Times New Roman" w:hAnsi="Times New Roman" w:cs="Times New Roman"/>
        </w:rPr>
      </w:pPr>
      <w:r w:rsidRPr="00150DD0">
        <w:rPr>
          <w:rFonts w:ascii="Times New Roman" w:hAnsi="Times New Roman" w:cs="Times New Roman"/>
        </w:rPr>
        <w:t xml:space="preserve">Lorenzoni, L, Barber, S and Ong, P. (2019) </w:t>
      </w:r>
      <w:r w:rsidRPr="00150DD0">
        <w:rPr>
          <w:rFonts w:ascii="Times New Roman" w:hAnsi="Times New Roman" w:cs="Times New Roman"/>
          <w:i/>
          <w:iCs/>
        </w:rPr>
        <w:t>Price setting and price regulation in health care Lessons for advancing Universal Health Coverage</w:t>
      </w:r>
      <w:r w:rsidRPr="00150DD0">
        <w:rPr>
          <w:rFonts w:ascii="Times New Roman" w:hAnsi="Times New Roman" w:cs="Times New Roman"/>
        </w:rPr>
        <w:t xml:space="preserve">. Available at: </w:t>
      </w:r>
      <w:hyperlink r:id="rId11" w:history="1">
        <w:r w:rsidRPr="00150DD0">
          <w:rPr>
            <w:rFonts w:ascii="Times New Roman" w:hAnsi="Times New Roman" w:cs="Times New Roman"/>
          </w:rPr>
          <w:t>https://www.oecd.org/content/dam/oecd/en/publications/reports/2019/06/price-setting-and-price-regulation-in-health-care_1c38bffd/ed3c16ff-en.pdf</w:t>
        </w:r>
      </w:hyperlink>
      <w:r w:rsidRPr="00150DD0">
        <w:rPr>
          <w:rFonts w:ascii="Times New Roman" w:hAnsi="Times New Roman" w:cs="Times New Roman"/>
        </w:rPr>
        <w:t>.</w:t>
      </w:r>
    </w:p>
    <w:p w14:paraId="0850B5AF" w14:textId="0FB8C27E" w:rsidR="004D3D86" w:rsidRDefault="004D3D86" w:rsidP="00204B29">
      <w:pPr>
        <w:pStyle w:val="NormalWeb"/>
        <w:numPr>
          <w:ilvl w:val="0"/>
          <w:numId w:val="11"/>
        </w:numPr>
        <w:spacing w:before="0" w:beforeAutospacing="0" w:after="240" w:afterAutospacing="0" w:line="360" w:lineRule="auto"/>
        <w:jc w:val="both"/>
      </w:pPr>
      <w:r>
        <w:t xml:space="preserve">McIntyre, D. and </w:t>
      </w:r>
      <w:proofErr w:type="spellStart"/>
      <w:r>
        <w:t>Kutzin</w:t>
      </w:r>
      <w:proofErr w:type="spellEnd"/>
      <w:r>
        <w:t xml:space="preserve">, J. (2016) ‘Health financing country diagnostic: a foundation for national strategy development’. </w:t>
      </w:r>
      <w:r>
        <w:rPr>
          <w:i/>
          <w:iCs/>
        </w:rPr>
        <w:t>Who.int</w:t>
      </w:r>
      <w:r>
        <w:t>. Available at: https://iris.who.int/handle/10665/204283 (Accessed: 9 May 2025).</w:t>
      </w:r>
    </w:p>
    <w:p w14:paraId="3673C32D" w14:textId="2ED3837D" w:rsidR="005F0255" w:rsidRDefault="005F0255" w:rsidP="005F0255">
      <w:pPr>
        <w:pStyle w:val="ListParagraph"/>
        <w:widowControl w:val="0"/>
        <w:numPr>
          <w:ilvl w:val="0"/>
          <w:numId w:val="11"/>
        </w:numPr>
        <w:autoSpaceDE w:val="0"/>
        <w:autoSpaceDN w:val="0"/>
        <w:adjustRightInd w:val="0"/>
        <w:spacing w:after="240" w:line="360" w:lineRule="auto"/>
        <w:jc w:val="both"/>
        <w:rPr>
          <w:rFonts w:ascii="Times New Roman" w:hAnsi="Times New Roman" w:cs="Times New Roman"/>
        </w:rPr>
      </w:pPr>
      <w:r w:rsidRPr="00150DD0">
        <w:rPr>
          <w:rFonts w:ascii="Times New Roman" w:hAnsi="Times New Roman" w:cs="Times New Roman"/>
        </w:rPr>
        <w:t xml:space="preserve">O’Connell, T., </w:t>
      </w:r>
      <w:proofErr w:type="spellStart"/>
      <w:r w:rsidRPr="00150DD0">
        <w:rPr>
          <w:rFonts w:ascii="Times New Roman" w:hAnsi="Times New Roman" w:cs="Times New Roman"/>
        </w:rPr>
        <w:t>Rasanathan</w:t>
      </w:r>
      <w:proofErr w:type="spellEnd"/>
      <w:r w:rsidRPr="00150DD0">
        <w:rPr>
          <w:rFonts w:ascii="Times New Roman" w:hAnsi="Times New Roman" w:cs="Times New Roman"/>
        </w:rPr>
        <w:t xml:space="preserve">, K. and Chopra, M. (2014) ‘What does universal health coverage mean?’ </w:t>
      </w:r>
      <w:r w:rsidRPr="00150DD0">
        <w:rPr>
          <w:rFonts w:ascii="Times New Roman" w:hAnsi="Times New Roman" w:cs="Times New Roman"/>
          <w:i/>
          <w:iCs/>
        </w:rPr>
        <w:t>The Lancet</w:t>
      </w:r>
      <w:r w:rsidRPr="00150DD0">
        <w:rPr>
          <w:rFonts w:ascii="Times New Roman" w:hAnsi="Times New Roman" w:cs="Times New Roman"/>
        </w:rPr>
        <w:t xml:space="preserve"> 383(9913), pp. 277–279. Available at: </w:t>
      </w:r>
      <w:hyperlink r:id="rId12" w:history="1">
        <w:r w:rsidR="007457FE" w:rsidRPr="001E3B32">
          <w:rPr>
            <w:rStyle w:val="Hyperlink"/>
            <w:rFonts w:ascii="Times New Roman" w:hAnsi="Times New Roman" w:cs="Times New Roman"/>
            <w:color w:val="auto"/>
            <w:u w:val="none"/>
          </w:rPr>
          <w:t>https://www.thelancet.com/journals/lancet/article/PIIS0140-6736(13)60955-1/fulltext?_eventId=login</w:t>
        </w:r>
      </w:hyperlink>
      <w:r w:rsidRPr="001E3B32">
        <w:rPr>
          <w:rFonts w:ascii="Times New Roman" w:hAnsi="Times New Roman" w:cs="Times New Roman"/>
        </w:rPr>
        <w:t>.</w:t>
      </w:r>
    </w:p>
    <w:p w14:paraId="121357D0" w14:textId="77777777" w:rsidR="005F0255" w:rsidRDefault="005F0255" w:rsidP="005F0255">
      <w:pPr>
        <w:pStyle w:val="ListParagraph"/>
        <w:widowControl w:val="0"/>
        <w:numPr>
          <w:ilvl w:val="0"/>
          <w:numId w:val="11"/>
        </w:numPr>
        <w:autoSpaceDE w:val="0"/>
        <w:autoSpaceDN w:val="0"/>
        <w:adjustRightInd w:val="0"/>
        <w:spacing w:after="240" w:line="360" w:lineRule="auto"/>
        <w:jc w:val="both"/>
        <w:rPr>
          <w:rFonts w:ascii="Times New Roman" w:hAnsi="Times New Roman" w:cs="Times New Roman"/>
        </w:rPr>
      </w:pPr>
      <w:r w:rsidRPr="00150DD0">
        <w:rPr>
          <w:rFonts w:ascii="Times New Roman" w:hAnsi="Times New Roman" w:cs="Times New Roman"/>
        </w:rPr>
        <w:t xml:space="preserve">Olsen, J.A. (2017) </w:t>
      </w:r>
      <w:r w:rsidRPr="00150DD0">
        <w:rPr>
          <w:rFonts w:ascii="Times New Roman" w:hAnsi="Times New Roman" w:cs="Times New Roman"/>
          <w:i/>
          <w:iCs/>
        </w:rPr>
        <w:t>Principles in Health Economics and Policy</w:t>
      </w:r>
      <w:r w:rsidRPr="00150DD0">
        <w:rPr>
          <w:rFonts w:ascii="Times New Roman" w:hAnsi="Times New Roman" w:cs="Times New Roman"/>
        </w:rPr>
        <w:t xml:space="preserve">. Oxford University Press. Available at: </w:t>
      </w:r>
      <w:hyperlink r:id="rId13" w:anchor="v=onepage&amp;q=allocative%20efficiency&amp;f=false" w:history="1">
        <w:r w:rsidRPr="00150DD0">
          <w:rPr>
            <w:rFonts w:ascii="Times New Roman" w:hAnsi="Times New Roman" w:cs="Times New Roman"/>
          </w:rPr>
          <w:t>https://books.google.com/books?hl=en&amp;lr=&amp;id=OXAuDwAAQBAJ&amp;oi=fnd&amp;pg=PP1&amp;dq=health+economics+principles+in+Universal+health+coverage&amp;ots=jUddLLnX08&amp;sig=0cJKN3uUq</w:t>
        </w:r>
        <w:r w:rsidRPr="00150DD0">
          <w:rPr>
            <w:rFonts w:ascii="Times New Roman" w:hAnsi="Times New Roman" w:cs="Times New Roman"/>
          </w:rPr>
          <w:lastRenderedPageBreak/>
          <w:t>UrMYJY7wLKJko7OaZ4&amp;redir_esc=y#v=onepage&amp;q=allocative%20efficiency&amp;f=false</w:t>
        </w:r>
      </w:hyperlink>
      <w:r w:rsidRPr="00150DD0">
        <w:rPr>
          <w:rFonts w:ascii="Times New Roman" w:hAnsi="Times New Roman" w:cs="Times New Roman"/>
        </w:rPr>
        <w:t xml:space="preserve"> (Accessed: 30 April 2025).</w:t>
      </w:r>
    </w:p>
    <w:p w14:paraId="65E5D1AF" w14:textId="77777777" w:rsidR="0012548B" w:rsidRDefault="0012548B" w:rsidP="001E3B32">
      <w:pPr>
        <w:pStyle w:val="NormalWeb"/>
        <w:numPr>
          <w:ilvl w:val="0"/>
          <w:numId w:val="11"/>
        </w:numPr>
        <w:spacing w:before="0" w:beforeAutospacing="0" w:after="240" w:afterAutospacing="0" w:line="360" w:lineRule="auto"/>
        <w:jc w:val="both"/>
      </w:pPr>
      <w:r>
        <w:t xml:space="preserve">Reeves, A., </w:t>
      </w:r>
      <w:proofErr w:type="spellStart"/>
      <w:r>
        <w:t>Gourtsoyannis</w:t>
      </w:r>
      <w:proofErr w:type="spellEnd"/>
      <w:r>
        <w:t xml:space="preserve">, Y., Basu, S., McCoy, D., McKee, M. and Stuckler, D. (2015) ‘Financing universal health coverage—effects of alternative tax structures on public health systems: cross-national modelling in 89 low-income and middle-income </w:t>
      </w:r>
      <w:proofErr w:type="gramStart"/>
      <w:r>
        <w:t>countries’</w:t>
      </w:r>
      <w:proofErr w:type="gramEnd"/>
      <w:r>
        <w:t xml:space="preserve">. </w:t>
      </w:r>
      <w:r>
        <w:rPr>
          <w:i/>
          <w:iCs/>
        </w:rPr>
        <w:t>The Lancet</w:t>
      </w:r>
      <w:r>
        <w:t xml:space="preserve"> 386(9990), pp. 274–280. Available at: https://www.ncbi.nlm.nih.gov/pmc/articles/PMC4513966/ (Accessed: 17 December 2019).</w:t>
      </w:r>
    </w:p>
    <w:p w14:paraId="2FA30475" w14:textId="77777777" w:rsidR="00235CD2" w:rsidRDefault="00235CD2" w:rsidP="001E3B32">
      <w:pPr>
        <w:pStyle w:val="NormalWeb"/>
        <w:numPr>
          <w:ilvl w:val="0"/>
          <w:numId w:val="11"/>
        </w:numPr>
        <w:spacing w:before="0" w:beforeAutospacing="0" w:after="240" w:afterAutospacing="0" w:line="360" w:lineRule="auto"/>
        <w:jc w:val="both"/>
      </w:pPr>
      <w:r>
        <w:t xml:space="preserve">Savedoff, W.D. (2004) </w:t>
      </w:r>
      <w:r>
        <w:rPr>
          <w:i/>
          <w:iCs/>
        </w:rPr>
        <w:t>World Health Organization Geneva DISCUSSION PAPER NUMBER 4 -2004 Department ‘Health System Financing, Expenditure and Resource Allocation’ (FER) Cluster ‘Evidence and Information for Policy’ (EIP) Tax-Based Financing for Health Systems: Options and Experiences</w:t>
      </w:r>
      <w:r>
        <w:t>. Available at: https://iris.who.int/bitstream/handle/10665/69022/EIP_FER_DP_04.4.pdf?sequence=1.</w:t>
      </w:r>
    </w:p>
    <w:p w14:paraId="0B1C7E76" w14:textId="0B0375B1" w:rsidR="005F0255" w:rsidRDefault="005F0255" w:rsidP="005F0255">
      <w:pPr>
        <w:pStyle w:val="ListParagraph"/>
        <w:widowControl w:val="0"/>
        <w:numPr>
          <w:ilvl w:val="0"/>
          <w:numId w:val="11"/>
        </w:numPr>
        <w:autoSpaceDE w:val="0"/>
        <w:autoSpaceDN w:val="0"/>
        <w:adjustRightInd w:val="0"/>
        <w:spacing w:after="240" w:line="360" w:lineRule="auto"/>
        <w:jc w:val="both"/>
        <w:rPr>
          <w:rFonts w:ascii="Times New Roman" w:hAnsi="Times New Roman" w:cs="Times New Roman"/>
        </w:rPr>
      </w:pPr>
      <w:r w:rsidRPr="00150DD0">
        <w:rPr>
          <w:rFonts w:ascii="Times New Roman" w:hAnsi="Times New Roman" w:cs="Times New Roman"/>
        </w:rPr>
        <w:t xml:space="preserve">Tulchinsky, T.H. (2018) ‘Bismarck and the Long Road to Universal Health Coverage’. </w:t>
      </w:r>
      <w:r w:rsidRPr="00150DD0">
        <w:rPr>
          <w:rFonts w:ascii="Times New Roman" w:hAnsi="Times New Roman" w:cs="Times New Roman"/>
          <w:i/>
          <w:iCs/>
        </w:rPr>
        <w:t>Case Studies in Public Health</w:t>
      </w:r>
      <w:r w:rsidRPr="00150DD0">
        <w:rPr>
          <w:rFonts w:ascii="Times New Roman" w:hAnsi="Times New Roman" w:cs="Times New Roman"/>
        </w:rPr>
        <w:t xml:space="preserve">, pp. 131–179. Available at: </w:t>
      </w:r>
      <w:hyperlink r:id="rId14" w:history="1">
        <w:r w:rsidRPr="00150DD0">
          <w:rPr>
            <w:rFonts w:ascii="Times New Roman" w:hAnsi="Times New Roman" w:cs="Times New Roman"/>
          </w:rPr>
          <w:t>https://www.ncbi.nlm.nih.gov/pmc/articles/PMC7149836/</w:t>
        </w:r>
      </w:hyperlink>
      <w:r w:rsidRPr="00150DD0">
        <w:rPr>
          <w:rFonts w:ascii="Times New Roman" w:hAnsi="Times New Roman" w:cs="Times New Roman"/>
        </w:rPr>
        <w:t>.</w:t>
      </w:r>
    </w:p>
    <w:p w14:paraId="5AA7EE0A" w14:textId="23D64F1F" w:rsidR="000B52C1" w:rsidRDefault="000B52C1" w:rsidP="001E3B32">
      <w:pPr>
        <w:pStyle w:val="NormalWeb"/>
        <w:numPr>
          <w:ilvl w:val="0"/>
          <w:numId w:val="11"/>
        </w:numPr>
        <w:spacing w:before="0" w:beforeAutospacing="0" w:after="240" w:afterAutospacing="0" w:line="360" w:lineRule="auto"/>
        <w:jc w:val="both"/>
      </w:pPr>
      <w:r>
        <w:t xml:space="preserve">World Health Organization (2010) </w:t>
      </w:r>
      <w:r>
        <w:rPr>
          <w:i/>
          <w:iCs/>
        </w:rPr>
        <w:t>The World Health Report 2010</w:t>
      </w:r>
      <w:r>
        <w:t xml:space="preserve">. Available at: </w:t>
      </w:r>
      <w:hyperlink r:id="rId15" w:history="1">
        <w:r w:rsidR="00013C5B" w:rsidRPr="00013C5B">
          <w:rPr>
            <w:rStyle w:val="Hyperlink"/>
            <w:color w:val="auto"/>
            <w:u w:val="none"/>
          </w:rPr>
          <w:t>https://www.who.int/publications/i/item/9789241564021</w:t>
        </w:r>
      </w:hyperlink>
      <w:r>
        <w:t>.</w:t>
      </w:r>
    </w:p>
    <w:p w14:paraId="3B60F4E9" w14:textId="77777777" w:rsidR="00013C5B" w:rsidRDefault="00013C5B" w:rsidP="001E3B32">
      <w:pPr>
        <w:pStyle w:val="NormalWeb"/>
        <w:numPr>
          <w:ilvl w:val="0"/>
          <w:numId w:val="11"/>
        </w:numPr>
        <w:spacing w:before="0" w:beforeAutospacing="0" w:after="240" w:afterAutospacing="0" w:line="360" w:lineRule="auto"/>
        <w:jc w:val="both"/>
      </w:pPr>
      <w:r>
        <w:t xml:space="preserve">World Health Organization (2014) ‘Making fair choices on the path to universal health coverage: final report of the WHO consultative group on equity and universal health coverage’. </w:t>
      </w:r>
      <w:proofErr w:type="gramStart"/>
      <w:r>
        <w:rPr>
          <w:i/>
          <w:iCs/>
        </w:rPr>
        <w:t>Who.int</w:t>
      </w:r>
      <w:r>
        <w:t xml:space="preserve"> .</w:t>
      </w:r>
      <w:proofErr w:type="gramEnd"/>
      <w:r>
        <w:t xml:space="preserve"> Available at: https://iris.who.int/handle/10665/112671 (Accessed: 2 May 2025).</w:t>
      </w:r>
    </w:p>
    <w:p w14:paraId="69998BD5" w14:textId="77777777" w:rsidR="00013C5B" w:rsidRDefault="00013C5B" w:rsidP="00013C5B">
      <w:pPr>
        <w:pStyle w:val="NormalWeb"/>
        <w:spacing w:before="0" w:beforeAutospacing="0" w:after="240" w:afterAutospacing="0" w:line="360" w:lineRule="auto"/>
        <w:ind w:left="360"/>
      </w:pPr>
    </w:p>
    <w:p w14:paraId="4A5C6DFB" w14:textId="77777777" w:rsidR="000B52C1" w:rsidRPr="00150DD0" w:rsidRDefault="000B52C1" w:rsidP="00EE7C44">
      <w:pPr>
        <w:pStyle w:val="ListParagraph"/>
        <w:widowControl w:val="0"/>
        <w:autoSpaceDE w:val="0"/>
        <w:autoSpaceDN w:val="0"/>
        <w:adjustRightInd w:val="0"/>
        <w:spacing w:after="240" w:line="360" w:lineRule="auto"/>
        <w:jc w:val="both"/>
        <w:rPr>
          <w:rFonts w:ascii="Times New Roman" w:hAnsi="Times New Roman" w:cs="Times New Roman"/>
        </w:rPr>
      </w:pPr>
    </w:p>
    <w:p w14:paraId="71DF7126" w14:textId="2BC805A7" w:rsidR="00905713" w:rsidRPr="00AC4400" w:rsidRDefault="00905713" w:rsidP="005F0255">
      <w:pPr>
        <w:spacing w:line="240" w:lineRule="auto"/>
        <w:rPr>
          <w:rFonts w:ascii="Times New Roman" w:hAnsi="Times New Roman" w:cs="Times New Roman"/>
          <w:sz w:val="24"/>
          <w:szCs w:val="24"/>
        </w:rPr>
      </w:pPr>
    </w:p>
    <w:sectPr w:rsidR="00905713" w:rsidRPr="00AC4400" w:rsidSect="009C436B">
      <w:footerReference w:type="default" r:id="rId16"/>
      <w:pgSz w:w="12240" w:h="15840"/>
      <w:pgMar w:top="1440" w:right="1440" w:bottom="1440" w:left="1440"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2910" w14:textId="77777777" w:rsidR="0098434A" w:rsidRDefault="0098434A" w:rsidP="002E5D8B">
      <w:pPr>
        <w:spacing w:after="0" w:line="240" w:lineRule="auto"/>
      </w:pPr>
      <w:r>
        <w:separator/>
      </w:r>
    </w:p>
  </w:endnote>
  <w:endnote w:type="continuationSeparator" w:id="0">
    <w:p w14:paraId="17D84FE4" w14:textId="77777777" w:rsidR="0098434A" w:rsidRDefault="0098434A" w:rsidP="002E5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3AC43" w14:textId="7FCC5B71" w:rsidR="002E5D8B" w:rsidRDefault="002E5D8B" w:rsidP="00A3491C">
    <w:pPr>
      <w:pStyle w:val="Footer"/>
      <w:jc w:val="both"/>
    </w:pPr>
    <w:r w:rsidRPr="00FA1EBE">
      <w:rPr>
        <w:rFonts w:ascii="Times New Roman" w:hAnsi="Times New Roman" w:cs="Times New Roman"/>
        <w:b/>
        <w:bCs/>
        <w:noProof/>
        <w:sz w:val="32"/>
        <w:szCs w:val="32"/>
      </w:rPr>
      <w:drawing>
        <wp:inline distT="0" distB="0" distL="0" distR="0" wp14:anchorId="6DB5A52D" wp14:editId="6C8EAFD9">
          <wp:extent cx="1233805" cy="538162"/>
          <wp:effectExtent l="0" t="0" r="4445" b="0"/>
          <wp:docPr id="572562639"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a black squar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801" cy="568693"/>
                  </a:xfrm>
                  <a:prstGeom prst="rect">
                    <a:avLst/>
                  </a:prstGeom>
                  <a:noFill/>
                  <a:ln>
                    <a:noFill/>
                  </a:ln>
                </pic:spPr>
              </pic:pic>
            </a:graphicData>
          </a:graphic>
        </wp:inline>
      </w:drawing>
    </w:r>
    <w:r>
      <w:t xml:space="preserve">  </w:t>
    </w:r>
    <w:sdt>
      <w:sdtPr>
        <w:id w:val="998225660"/>
        <w:docPartObj>
          <w:docPartGallery w:val="Page Numbers (Bottom of Page)"/>
          <w:docPartUnique/>
        </w:docPartObj>
      </w:sdtPr>
      <w:sdtEndPr/>
      <w:sdtContent>
        <w:r>
          <w:t xml:space="preserve">     </w:t>
        </w:r>
        <w:r w:rsidR="00A3491C">
          <w:t xml:space="preserve">                  </w:t>
        </w:r>
        <w:r>
          <w:t xml:space="preserve">                                                                                                                                </w:t>
        </w:r>
        <w:r>
          <w:fldChar w:fldCharType="begin"/>
        </w:r>
        <w:r>
          <w:instrText>PAGE   \* MERGEFORMAT</w:instrText>
        </w:r>
        <w:r>
          <w:fldChar w:fldCharType="separate"/>
        </w:r>
        <w:r>
          <w:t>1</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95886" w14:textId="77777777" w:rsidR="0098434A" w:rsidRDefault="0098434A" w:rsidP="002E5D8B">
      <w:pPr>
        <w:spacing w:after="0" w:line="240" w:lineRule="auto"/>
      </w:pPr>
      <w:r>
        <w:separator/>
      </w:r>
    </w:p>
  </w:footnote>
  <w:footnote w:type="continuationSeparator" w:id="0">
    <w:p w14:paraId="646E4AE2" w14:textId="77777777" w:rsidR="0098434A" w:rsidRDefault="0098434A" w:rsidP="002E5D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AE2FFC"/>
    <w:multiLevelType w:val="hybridMultilevel"/>
    <w:tmpl w:val="32F69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6601E5"/>
    <w:multiLevelType w:val="hybridMultilevel"/>
    <w:tmpl w:val="9EE8A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7395006">
    <w:abstractNumId w:val="8"/>
  </w:num>
  <w:num w:numId="2" w16cid:durableId="1945728811">
    <w:abstractNumId w:val="6"/>
  </w:num>
  <w:num w:numId="3" w16cid:durableId="806051083">
    <w:abstractNumId w:val="5"/>
  </w:num>
  <w:num w:numId="4" w16cid:durableId="702752292">
    <w:abstractNumId w:val="4"/>
  </w:num>
  <w:num w:numId="5" w16cid:durableId="74672491">
    <w:abstractNumId w:val="7"/>
  </w:num>
  <w:num w:numId="6" w16cid:durableId="895240664">
    <w:abstractNumId w:val="3"/>
  </w:num>
  <w:num w:numId="7" w16cid:durableId="1665888114">
    <w:abstractNumId w:val="2"/>
  </w:num>
  <w:num w:numId="8" w16cid:durableId="1087918019">
    <w:abstractNumId w:val="1"/>
  </w:num>
  <w:num w:numId="9" w16cid:durableId="1726836066">
    <w:abstractNumId w:val="0"/>
  </w:num>
  <w:num w:numId="10" w16cid:durableId="187069379">
    <w:abstractNumId w:val="10"/>
  </w:num>
  <w:num w:numId="11" w16cid:durableId="18964998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3578"/>
    <w:rsid w:val="00013C5B"/>
    <w:rsid w:val="0001725F"/>
    <w:rsid w:val="00024E3E"/>
    <w:rsid w:val="00034616"/>
    <w:rsid w:val="00046BF0"/>
    <w:rsid w:val="0006063C"/>
    <w:rsid w:val="00070375"/>
    <w:rsid w:val="000A68F7"/>
    <w:rsid w:val="000B136B"/>
    <w:rsid w:val="000B52C1"/>
    <w:rsid w:val="000F27D1"/>
    <w:rsid w:val="0012548B"/>
    <w:rsid w:val="00147E00"/>
    <w:rsid w:val="0015074B"/>
    <w:rsid w:val="00163181"/>
    <w:rsid w:val="001E3B32"/>
    <w:rsid w:val="001F074E"/>
    <w:rsid w:val="00204B29"/>
    <w:rsid w:val="00235CD2"/>
    <w:rsid w:val="002564FC"/>
    <w:rsid w:val="0029639D"/>
    <w:rsid w:val="00296E2B"/>
    <w:rsid w:val="002A3881"/>
    <w:rsid w:val="002E2FED"/>
    <w:rsid w:val="002E5D8B"/>
    <w:rsid w:val="002F3B73"/>
    <w:rsid w:val="00326F90"/>
    <w:rsid w:val="00340AE0"/>
    <w:rsid w:val="003B5DB2"/>
    <w:rsid w:val="003E7FB3"/>
    <w:rsid w:val="0040309C"/>
    <w:rsid w:val="00421779"/>
    <w:rsid w:val="00444F8F"/>
    <w:rsid w:val="0044718E"/>
    <w:rsid w:val="00457CC6"/>
    <w:rsid w:val="004D3D86"/>
    <w:rsid w:val="00526F63"/>
    <w:rsid w:val="00592A10"/>
    <w:rsid w:val="005D59D9"/>
    <w:rsid w:val="005F0255"/>
    <w:rsid w:val="00605A22"/>
    <w:rsid w:val="006126A3"/>
    <w:rsid w:val="00692176"/>
    <w:rsid w:val="00696B8C"/>
    <w:rsid w:val="006D6277"/>
    <w:rsid w:val="00744338"/>
    <w:rsid w:val="007457FE"/>
    <w:rsid w:val="008345B1"/>
    <w:rsid w:val="008A2A7F"/>
    <w:rsid w:val="008F4A8D"/>
    <w:rsid w:val="00905713"/>
    <w:rsid w:val="0098434A"/>
    <w:rsid w:val="009B56A9"/>
    <w:rsid w:val="009C436B"/>
    <w:rsid w:val="009C4909"/>
    <w:rsid w:val="00A3491C"/>
    <w:rsid w:val="00A76D48"/>
    <w:rsid w:val="00AA1D8D"/>
    <w:rsid w:val="00AB7397"/>
    <w:rsid w:val="00AC4400"/>
    <w:rsid w:val="00B2698C"/>
    <w:rsid w:val="00B47730"/>
    <w:rsid w:val="00B62081"/>
    <w:rsid w:val="00B777B1"/>
    <w:rsid w:val="00BC04D2"/>
    <w:rsid w:val="00BD13C4"/>
    <w:rsid w:val="00C00559"/>
    <w:rsid w:val="00C94BC3"/>
    <w:rsid w:val="00CB0664"/>
    <w:rsid w:val="00D11F5A"/>
    <w:rsid w:val="00D202D0"/>
    <w:rsid w:val="00D8185B"/>
    <w:rsid w:val="00E02F6D"/>
    <w:rsid w:val="00EB7288"/>
    <w:rsid w:val="00EC70FE"/>
    <w:rsid w:val="00ED7FDB"/>
    <w:rsid w:val="00EE64E4"/>
    <w:rsid w:val="00EE7C44"/>
    <w:rsid w:val="00F2174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7FC570"/>
  <w14:defaultImageDpi w14:val="300"/>
  <w15:docId w15:val="{2D753620-1961-401F-8FFB-4468A57CA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C4400"/>
    <w:rPr>
      <w:color w:val="0000FF" w:themeColor="hyperlink"/>
      <w:u w:val="single"/>
    </w:rPr>
  </w:style>
  <w:style w:type="character" w:styleId="UnresolvedMention">
    <w:name w:val="Unresolved Mention"/>
    <w:basedOn w:val="DefaultParagraphFont"/>
    <w:uiPriority w:val="99"/>
    <w:semiHidden/>
    <w:unhideWhenUsed/>
    <w:rsid w:val="00AC4400"/>
    <w:rPr>
      <w:color w:val="605E5C"/>
      <w:shd w:val="clear" w:color="auto" w:fill="E1DFDD"/>
    </w:rPr>
  </w:style>
  <w:style w:type="character" w:styleId="FollowedHyperlink">
    <w:name w:val="FollowedHyperlink"/>
    <w:basedOn w:val="DefaultParagraphFont"/>
    <w:uiPriority w:val="99"/>
    <w:semiHidden/>
    <w:unhideWhenUsed/>
    <w:rsid w:val="00C00559"/>
    <w:rPr>
      <w:color w:val="800080" w:themeColor="followedHyperlink"/>
      <w:u w:val="single"/>
    </w:rPr>
  </w:style>
  <w:style w:type="paragraph" w:styleId="NormalWeb">
    <w:name w:val="Normal (Web)"/>
    <w:basedOn w:val="Normal"/>
    <w:uiPriority w:val="99"/>
    <w:semiHidden/>
    <w:unhideWhenUsed/>
    <w:rsid w:val="00235C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48933">
      <w:bodyDiv w:val="1"/>
      <w:marLeft w:val="0"/>
      <w:marRight w:val="0"/>
      <w:marTop w:val="0"/>
      <w:marBottom w:val="0"/>
      <w:divBdr>
        <w:top w:val="none" w:sz="0" w:space="0" w:color="auto"/>
        <w:left w:val="none" w:sz="0" w:space="0" w:color="auto"/>
        <w:bottom w:val="none" w:sz="0" w:space="0" w:color="auto"/>
        <w:right w:val="none" w:sz="0" w:space="0" w:color="auto"/>
      </w:divBdr>
      <w:divsChild>
        <w:div w:id="674840430">
          <w:marLeft w:val="0"/>
          <w:marRight w:val="0"/>
          <w:marTop w:val="0"/>
          <w:marBottom w:val="0"/>
          <w:divBdr>
            <w:top w:val="none" w:sz="0" w:space="0" w:color="auto"/>
            <w:left w:val="none" w:sz="0" w:space="0" w:color="auto"/>
            <w:bottom w:val="none" w:sz="0" w:space="0" w:color="auto"/>
            <w:right w:val="none" w:sz="0" w:space="0" w:color="auto"/>
          </w:divBdr>
        </w:div>
      </w:divsChild>
    </w:div>
    <w:div w:id="123624788">
      <w:bodyDiv w:val="1"/>
      <w:marLeft w:val="0"/>
      <w:marRight w:val="0"/>
      <w:marTop w:val="0"/>
      <w:marBottom w:val="0"/>
      <w:divBdr>
        <w:top w:val="none" w:sz="0" w:space="0" w:color="auto"/>
        <w:left w:val="none" w:sz="0" w:space="0" w:color="auto"/>
        <w:bottom w:val="none" w:sz="0" w:space="0" w:color="auto"/>
        <w:right w:val="none" w:sz="0" w:space="0" w:color="auto"/>
      </w:divBdr>
    </w:div>
    <w:div w:id="143090868">
      <w:bodyDiv w:val="1"/>
      <w:marLeft w:val="0"/>
      <w:marRight w:val="0"/>
      <w:marTop w:val="0"/>
      <w:marBottom w:val="0"/>
      <w:divBdr>
        <w:top w:val="none" w:sz="0" w:space="0" w:color="auto"/>
        <w:left w:val="none" w:sz="0" w:space="0" w:color="auto"/>
        <w:bottom w:val="none" w:sz="0" w:space="0" w:color="auto"/>
        <w:right w:val="none" w:sz="0" w:space="0" w:color="auto"/>
      </w:divBdr>
    </w:div>
    <w:div w:id="207687775">
      <w:bodyDiv w:val="1"/>
      <w:marLeft w:val="0"/>
      <w:marRight w:val="0"/>
      <w:marTop w:val="0"/>
      <w:marBottom w:val="0"/>
      <w:divBdr>
        <w:top w:val="none" w:sz="0" w:space="0" w:color="auto"/>
        <w:left w:val="none" w:sz="0" w:space="0" w:color="auto"/>
        <w:bottom w:val="none" w:sz="0" w:space="0" w:color="auto"/>
        <w:right w:val="none" w:sz="0" w:space="0" w:color="auto"/>
      </w:divBdr>
    </w:div>
    <w:div w:id="296884369">
      <w:bodyDiv w:val="1"/>
      <w:marLeft w:val="0"/>
      <w:marRight w:val="0"/>
      <w:marTop w:val="0"/>
      <w:marBottom w:val="0"/>
      <w:divBdr>
        <w:top w:val="none" w:sz="0" w:space="0" w:color="auto"/>
        <w:left w:val="none" w:sz="0" w:space="0" w:color="auto"/>
        <w:bottom w:val="none" w:sz="0" w:space="0" w:color="auto"/>
        <w:right w:val="none" w:sz="0" w:space="0" w:color="auto"/>
      </w:divBdr>
    </w:div>
    <w:div w:id="397285715">
      <w:bodyDiv w:val="1"/>
      <w:marLeft w:val="0"/>
      <w:marRight w:val="0"/>
      <w:marTop w:val="0"/>
      <w:marBottom w:val="0"/>
      <w:divBdr>
        <w:top w:val="none" w:sz="0" w:space="0" w:color="auto"/>
        <w:left w:val="none" w:sz="0" w:space="0" w:color="auto"/>
        <w:bottom w:val="none" w:sz="0" w:space="0" w:color="auto"/>
        <w:right w:val="none" w:sz="0" w:space="0" w:color="auto"/>
      </w:divBdr>
    </w:div>
    <w:div w:id="414324486">
      <w:bodyDiv w:val="1"/>
      <w:marLeft w:val="0"/>
      <w:marRight w:val="0"/>
      <w:marTop w:val="0"/>
      <w:marBottom w:val="0"/>
      <w:divBdr>
        <w:top w:val="none" w:sz="0" w:space="0" w:color="auto"/>
        <w:left w:val="none" w:sz="0" w:space="0" w:color="auto"/>
        <w:bottom w:val="none" w:sz="0" w:space="0" w:color="auto"/>
        <w:right w:val="none" w:sz="0" w:space="0" w:color="auto"/>
      </w:divBdr>
    </w:div>
    <w:div w:id="430050105">
      <w:bodyDiv w:val="1"/>
      <w:marLeft w:val="0"/>
      <w:marRight w:val="0"/>
      <w:marTop w:val="0"/>
      <w:marBottom w:val="0"/>
      <w:divBdr>
        <w:top w:val="none" w:sz="0" w:space="0" w:color="auto"/>
        <w:left w:val="none" w:sz="0" w:space="0" w:color="auto"/>
        <w:bottom w:val="none" w:sz="0" w:space="0" w:color="auto"/>
        <w:right w:val="none" w:sz="0" w:space="0" w:color="auto"/>
      </w:divBdr>
    </w:div>
    <w:div w:id="481240832">
      <w:bodyDiv w:val="1"/>
      <w:marLeft w:val="0"/>
      <w:marRight w:val="0"/>
      <w:marTop w:val="0"/>
      <w:marBottom w:val="0"/>
      <w:divBdr>
        <w:top w:val="none" w:sz="0" w:space="0" w:color="auto"/>
        <w:left w:val="none" w:sz="0" w:space="0" w:color="auto"/>
        <w:bottom w:val="none" w:sz="0" w:space="0" w:color="auto"/>
        <w:right w:val="none" w:sz="0" w:space="0" w:color="auto"/>
      </w:divBdr>
      <w:divsChild>
        <w:div w:id="938372938">
          <w:marLeft w:val="0"/>
          <w:marRight w:val="0"/>
          <w:marTop w:val="0"/>
          <w:marBottom w:val="0"/>
          <w:divBdr>
            <w:top w:val="none" w:sz="0" w:space="0" w:color="auto"/>
            <w:left w:val="none" w:sz="0" w:space="0" w:color="auto"/>
            <w:bottom w:val="none" w:sz="0" w:space="0" w:color="auto"/>
            <w:right w:val="none" w:sz="0" w:space="0" w:color="auto"/>
          </w:divBdr>
        </w:div>
      </w:divsChild>
    </w:div>
    <w:div w:id="769281841">
      <w:bodyDiv w:val="1"/>
      <w:marLeft w:val="0"/>
      <w:marRight w:val="0"/>
      <w:marTop w:val="0"/>
      <w:marBottom w:val="0"/>
      <w:divBdr>
        <w:top w:val="none" w:sz="0" w:space="0" w:color="auto"/>
        <w:left w:val="none" w:sz="0" w:space="0" w:color="auto"/>
        <w:bottom w:val="none" w:sz="0" w:space="0" w:color="auto"/>
        <w:right w:val="none" w:sz="0" w:space="0" w:color="auto"/>
      </w:divBdr>
    </w:div>
    <w:div w:id="782925397">
      <w:bodyDiv w:val="1"/>
      <w:marLeft w:val="0"/>
      <w:marRight w:val="0"/>
      <w:marTop w:val="0"/>
      <w:marBottom w:val="0"/>
      <w:divBdr>
        <w:top w:val="none" w:sz="0" w:space="0" w:color="auto"/>
        <w:left w:val="none" w:sz="0" w:space="0" w:color="auto"/>
        <w:bottom w:val="none" w:sz="0" w:space="0" w:color="auto"/>
        <w:right w:val="none" w:sz="0" w:space="0" w:color="auto"/>
      </w:divBdr>
    </w:div>
    <w:div w:id="958147948">
      <w:bodyDiv w:val="1"/>
      <w:marLeft w:val="0"/>
      <w:marRight w:val="0"/>
      <w:marTop w:val="0"/>
      <w:marBottom w:val="0"/>
      <w:divBdr>
        <w:top w:val="none" w:sz="0" w:space="0" w:color="auto"/>
        <w:left w:val="none" w:sz="0" w:space="0" w:color="auto"/>
        <w:bottom w:val="none" w:sz="0" w:space="0" w:color="auto"/>
        <w:right w:val="none" w:sz="0" w:space="0" w:color="auto"/>
      </w:divBdr>
    </w:div>
    <w:div w:id="979461568">
      <w:bodyDiv w:val="1"/>
      <w:marLeft w:val="0"/>
      <w:marRight w:val="0"/>
      <w:marTop w:val="0"/>
      <w:marBottom w:val="0"/>
      <w:divBdr>
        <w:top w:val="none" w:sz="0" w:space="0" w:color="auto"/>
        <w:left w:val="none" w:sz="0" w:space="0" w:color="auto"/>
        <w:bottom w:val="none" w:sz="0" w:space="0" w:color="auto"/>
        <w:right w:val="none" w:sz="0" w:space="0" w:color="auto"/>
      </w:divBdr>
    </w:div>
    <w:div w:id="1065369767">
      <w:bodyDiv w:val="1"/>
      <w:marLeft w:val="0"/>
      <w:marRight w:val="0"/>
      <w:marTop w:val="0"/>
      <w:marBottom w:val="0"/>
      <w:divBdr>
        <w:top w:val="none" w:sz="0" w:space="0" w:color="auto"/>
        <w:left w:val="none" w:sz="0" w:space="0" w:color="auto"/>
        <w:bottom w:val="none" w:sz="0" w:space="0" w:color="auto"/>
        <w:right w:val="none" w:sz="0" w:space="0" w:color="auto"/>
      </w:divBdr>
    </w:div>
    <w:div w:id="1130048093">
      <w:bodyDiv w:val="1"/>
      <w:marLeft w:val="0"/>
      <w:marRight w:val="0"/>
      <w:marTop w:val="0"/>
      <w:marBottom w:val="0"/>
      <w:divBdr>
        <w:top w:val="none" w:sz="0" w:space="0" w:color="auto"/>
        <w:left w:val="none" w:sz="0" w:space="0" w:color="auto"/>
        <w:bottom w:val="none" w:sz="0" w:space="0" w:color="auto"/>
        <w:right w:val="none" w:sz="0" w:space="0" w:color="auto"/>
      </w:divBdr>
    </w:div>
    <w:div w:id="1219779955">
      <w:bodyDiv w:val="1"/>
      <w:marLeft w:val="0"/>
      <w:marRight w:val="0"/>
      <w:marTop w:val="0"/>
      <w:marBottom w:val="0"/>
      <w:divBdr>
        <w:top w:val="none" w:sz="0" w:space="0" w:color="auto"/>
        <w:left w:val="none" w:sz="0" w:space="0" w:color="auto"/>
        <w:bottom w:val="none" w:sz="0" w:space="0" w:color="auto"/>
        <w:right w:val="none" w:sz="0" w:space="0" w:color="auto"/>
      </w:divBdr>
      <w:divsChild>
        <w:div w:id="1828933116">
          <w:marLeft w:val="0"/>
          <w:marRight w:val="0"/>
          <w:marTop w:val="0"/>
          <w:marBottom w:val="0"/>
          <w:divBdr>
            <w:top w:val="none" w:sz="0" w:space="0" w:color="auto"/>
            <w:left w:val="none" w:sz="0" w:space="0" w:color="auto"/>
            <w:bottom w:val="none" w:sz="0" w:space="0" w:color="auto"/>
            <w:right w:val="none" w:sz="0" w:space="0" w:color="auto"/>
          </w:divBdr>
        </w:div>
      </w:divsChild>
    </w:div>
    <w:div w:id="1365904541">
      <w:bodyDiv w:val="1"/>
      <w:marLeft w:val="0"/>
      <w:marRight w:val="0"/>
      <w:marTop w:val="0"/>
      <w:marBottom w:val="0"/>
      <w:divBdr>
        <w:top w:val="none" w:sz="0" w:space="0" w:color="auto"/>
        <w:left w:val="none" w:sz="0" w:space="0" w:color="auto"/>
        <w:bottom w:val="none" w:sz="0" w:space="0" w:color="auto"/>
        <w:right w:val="none" w:sz="0" w:space="0" w:color="auto"/>
      </w:divBdr>
    </w:div>
    <w:div w:id="1399478799">
      <w:bodyDiv w:val="1"/>
      <w:marLeft w:val="0"/>
      <w:marRight w:val="0"/>
      <w:marTop w:val="0"/>
      <w:marBottom w:val="0"/>
      <w:divBdr>
        <w:top w:val="none" w:sz="0" w:space="0" w:color="auto"/>
        <w:left w:val="none" w:sz="0" w:space="0" w:color="auto"/>
        <w:bottom w:val="none" w:sz="0" w:space="0" w:color="auto"/>
        <w:right w:val="none" w:sz="0" w:space="0" w:color="auto"/>
      </w:divBdr>
    </w:div>
    <w:div w:id="1505631609">
      <w:bodyDiv w:val="1"/>
      <w:marLeft w:val="0"/>
      <w:marRight w:val="0"/>
      <w:marTop w:val="0"/>
      <w:marBottom w:val="0"/>
      <w:divBdr>
        <w:top w:val="none" w:sz="0" w:space="0" w:color="auto"/>
        <w:left w:val="none" w:sz="0" w:space="0" w:color="auto"/>
        <w:bottom w:val="none" w:sz="0" w:space="0" w:color="auto"/>
        <w:right w:val="none" w:sz="0" w:space="0" w:color="auto"/>
      </w:divBdr>
    </w:div>
    <w:div w:id="1543861259">
      <w:bodyDiv w:val="1"/>
      <w:marLeft w:val="0"/>
      <w:marRight w:val="0"/>
      <w:marTop w:val="0"/>
      <w:marBottom w:val="0"/>
      <w:divBdr>
        <w:top w:val="none" w:sz="0" w:space="0" w:color="auto"/>
        <w:left w:val="none" w:sz="0" w:space="0" w:color="auto"/>
        <w:bottom w:val="none" w:sz="0" w:space="0" w:color="auto"/>
        <w:right w:val="none" w:sz="0" w:space="0" w:color="auto"/>
      </w:divBdr>
    </w:div>
    <w:div w:id="1678732744">
      <w:bodyDiv w:val="1"/>
      <w:marLeft w:val="0"/>
      <w:marRight w:val="0"/>
      <w:marTop w:val="0"/>
      <w:marBottom w:val="0"/>
      <w:divBdr>
        <w:top w:val="none" w:sz="0" w:space="0" w:color="auto"/>
        <w:left w:val="none" w:sz="0" w:space="0" w:color="auto"/>
        <w:bottom w:val="none" w:sz="0" w:space="0" w:color="auto"/>
        <w:right w:val="none" w:sz="0" w:space="0" w:color="auto"/>
      </w:divBdr>
      <w:divsChild>
        <w:div w:id="1859852305">
          <w:marLeft w:val="0"/>
          <w:marRight w:val="0"/>
          <w:marTop w:val="0"/>
          <w:marBottom w:val="0"/>
          <w:divBdr>
            <w:top w:val="none" w:sz="0" w:space="0" w:color="auto"/>
            <w:left w:val="none" w:sz="0" w:space="0" w:color="auto"/>
            <w:bottom w:val="none" w:sz="0" w:space="0" w:color="auto"/>
            <w:right w:val="none" w:sz="0" w:space="0" w:color="auto"/>
          </w:divBdr>
        </w:div>
      </w:divsChild>
    </w:div>
    <w:div w:id="1693334539">
      <w:bodyDiv w:val="1"/>
      <w:marLeft w:val="0"/>
      <w:marRight w:val="0"/>
      <w:marTop w:val="0"/>
      <w:marBottom w:val="0"/>
      <w:divBdr>
        <w:top w:val="none" w:sz="0" w:space="0" w:color="auto"/>
        <w:left w:val="none" w:sz="0" w:space="0" w:color="auto"/>
        <w:bottom w:val="none" w:sz="0" w:space="0" w:color="auto"/>
        <w:right w:val="none" w:sz="0" w:space="0" w:color="auto"/>
      </w:divBdr>
    </w:div>
    <w:div w:id="1705325835">
      <w:bodyDiv w:val="1"/>
      <w:marLeft w:val="0"/>
      <w:marRight w:val="0"/>
      <w:marTop w:val="0"/>
      <w:marBottom w:val="0"/>
      <w:divBdr>
        <w:top w:val="none" w:sz="0" w:space="0" w:color="auto"/>
        <w:left w:val="none" w:sz="0" w:space="0" w:color="auto"/>
        <w:bottom w:val="none" w:sz="0" w:space="0" w:color="auto"/>
        <w:right w:val="none" w:sz="0" w:space="0" w:color="auto"/>
      </w:divBdr>
    </w:div>
    <w:div w:id="1714109169">
      <w:bodyDiv w:val="1"/>
      <w:marLeft w:val="0"/>
      <w:marRight w:val="0"/>
      <w:marTop w:val="0"/>
      <w:marBottom w:val="0"/>
      <w:divBdr>
        <w:top w:val="none" w:sz="0" w:space="0" w:color="auto"/>
        <w:left w:val="none" w:sz="0" w:space="0" w:color="auto"/>
        <w:bottom w:val="none" w:sz="0" w:space="0" w:color="auto"/>
        <w:right w:val="none" w:sz="0" w:space="0" w:color="auto"/>
      </w:divBdr>
    </w:div>
    <w:div w:id="1728531514">
      <w:bodyDiv w:val="1"/>
      <w:marLeft w:val="0"/>
      <w:marRight w:val="0"/>
      <w:marTop w:val="0"/>
      <w:marBottom w:val="0"/>
      <w:divBdr>
        <w:top w:val="none" w:sz="0" w:space="0" w:color="auto"/>
        <w:left w:val="none" w:sz="0" w:space="0" w:color="auto"/>
        <w:bottom w:val="none" w:sz="0" w:space="0" w:color="auto"/>
        <w:right w:val="none" w:sz="0" w:space="0" w:color="auto"/>
      </w:divBdr>
    </w:div>
    <w:div w:id="1763137575">
      <w:bodyDiv w:val="1"/>
      <w:marLeft w:val="0"/>
      <w:marRight w:val="0"/>
      <w:marTop w:val="0"/>
      <w:marBottom w:val="0"/>
      <w:divBdr>
        <w:top w:val="none" w:sz="0" w:space="0" w:color="auto"/>
        <w:left w:val="none" w:sz="0" w:space="0" w:color="auto"/>
        <w:bottom w:val="none" w:sz="0" w:space="0" w:color="auto"/>
        <w:right w:val="none" w:sz="0" w:space="0" w:color="auto"/>
      </w:divBdr>
    </w:div>
    <w:div w:id="1900433628">
      <w:bodyDiv w:val="1"/>
      <w:marLeft w:val="0"/>
      <w:marRight w:val="0"/>
      <w:marTop w:val="0"/>
      <w:marBottom w:val="0"/>
      <w:divBdr>
        <w:top w:val="none" w:sz="0" w:space="0" w:color="auto"/>
        <w:left w:val="none" w:sz="0" w:space="0" w:color="auto"/>
        <w:bottom w:val="none" w:sz="0" w:space="0" w:color="auto"/>
        <w:right w:val="none" w:sz="0" w:space="0" w:color="auto"/>
      </w:divBdr>
    </w:div>
    <w:div w:id="1903175997">
      <w:bodyDiv w:val="1"/>
      <w:marLeft w:val="0"/>
      <w:marRight w:val="0"/>
      <w:marTop w:val="0"/>
      <w:marBottom w:val="0"/>
      <w:divBdr>
        <w:top w:val="none" w:sz="0" w:space="0" w:color="auto"/>
        <w:left w:val="none" w:sz="0" w:space="0" w:color="auto"/>
        <w:bottom w:val="none" w:sz="0" w:space="0" w:color="auto"/>
        <w:right w:val="none" w:sz="0" w:space="0" w:color="auto"/>
      </w:divBdr>
      <w:divsChild>
        <w:div w:id="1670251823">
          <w:marLeft w:val="0"/>
          <w:marRight w:val="0"/>
          <w:marTop w:val="0"/>
          <w:marBottom w:val="0"/>
          <w:divBdr>
            <w:top w:val="none" w:sz="0" w:space="0" w:color="auto"/>
            <w:left w:val="none" w:sz="0" w:space="0" w:color="auto"/>
            <w:bottom w:val="none" w:sz="0" w:space="0" w:color="auto"/>
            <w:right w:val="none" w:sz="0" w:space="0" w:color="auto"/>
          </w:divBdr>
        </w:div>
      </w:divsChild>
    </w:div>
    <w:div w:id="1997492285">
      <w:bodyDiv w:val="1"/>
      <w:marLeft w:val="0"/>
      <w:marRight w:val="0"/>
      <w:marTop w:val="0"/>
      <w:marBottom w:val="0"/>
      <w:divBdr>
        <w:top w:val="none" w:sz="0" w:space="0" w:color="auto"/>
        <w:left w:val="none" w:sz="0" w:space="0" w:color="auto"/>
        <w:bottom w:val="none" w:sz="0" w:space="0" w:color="auto"/>
        <w:right w:val="none" w:sz="0" w:space="0" w:color="auto"/>
      </w:divBdr>
      <w:divsChild>
        <w:div w:id="1203051688">
          <w:marLeft w:val="0"/>
          <w:marRight w:val="0"/>
          <w:marTop w:val="0"/>
          <w:marBottom w:val="0"/>
          <w:divBdr>
            <w:top w:val="none" w:sz="0" w:space="0" w:color="auto"/>
            <w:left w:val="none" w:sz="0" w:space="0" w:color="auto"/>
            <w:bottom w:val="none" w:sz="0" w:space="0" w:color="auto"/>
            <w:right w:val="none" w:sz="0" w:space="0" w:color="auto"/>
          </w:divBdr>
        </w:div>
      </w:divsChild>
    </w:div>
    <w:div w:id="2032563605">
      <w:bodyDiv w:val="1"/>
      <w:marLeft w:val="0"/>
      <w:marRight w:val="0"/>
      <w:marTop w:val="0"/>
      <w:marBottom w:val="0"/>
      <w:divBdr>
        <w:top w:val="none" w:sz="0" w:space="0" w:color="auto"/>
        <w:left w:val="none" w:sz="0" w:space="0" w:color="auto"/>
        <w:bottom w:val="none" w:sz="0" w:space="0" w:color="auto"/>
        <w:right w:val="none" w:sz="0" w:space="0" w:color="auto"/>
      </w:divBdr>
      <w:divsChild>
        <w:div w:id="161081265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books?hl=en&amp;lr=&amp;id=OXAuDwAAQBAJ&amp;oi=fnd&amp;pg=PP1&amp;dq=health+economics+principles+in+Universal+health+coverage&amp;ots=jUddLLnX08&amp;sig=0cJKN3uUqUrMYJY7wLKJko7OaZ4&amp;redir_esc=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lancet.com/journals/lancet/article/PIIS0140-6736(13)60955-1/fulltext?_eventId=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content/dam/oecd/en/publications/reports/2019/06/price-setting-and-price-regulation-in-health-care_1c38bffd/ed3c16ff-en.pdf" TargetMode="External"/><Relationship Id="rId5" Type="http://schemas.openxmlformats.org/officeDocument/2006/relationships/webSettings" Target="webSettings.xml"/><Relationship Id="rId15" Type="http://schemas.openxmlformats.org/officeDocument/2006/relationships/hyperlink" Target="https://www.who.int/publications/i/item/9789241564021" TargetMode="External"/><Relationship Id="rId10" Type="http://schemas.openxmlformats.org/officeDocument/2006/relationships/hyperlink" Target="https://doi.org/10.1136/bmjgh-2020-002992" TargetMode="External"/><Relationship Id="rId4" Type="http://schemas.openxmlformats.org/officeDocument/2006/relationships/settings" Target="settings.xml"/><Relationship Id="rId9" Type="http://schemas.openxmlformats.org/officeDocument/2006/relationships/hyperlink" Target="https://www.health.org.uk/sites/default/files/NHS-70-How-good-is-the-NHS.pdf" TargetMode="External"/><Relationship Id="rId14" Type="http://schemas.openxmlformats.org/officeDocument/2006/relationships/hyperlink" Target="https://www.ncbi.nlm.nih.gov/pmc/articles/PMC714983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1984</Words>
  <Characters>11311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Tami Biban</cp:lastModifiedBy>
  <cp:revision>2</cp:revision>
  <dcterms:created xsi:type="dcterms:W3CDTF">2025-05-09T11:10:00Z</dcterms:created>
  <dcterms:modified xsi:type="dcterms:W3CDTF">2025-05-09T11:10:00Z</dcterms:modified>
  <cp:category/>
</cp:coreProperties>
</file>