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DD18B" w14:textId="77777777" w:rsidR="003133DE" w:rsidRDefault="003133DE" w:rsidP="003133DE">
      <w:pPr>
        <w:jc w:val="center"/>
      </w:pPr>
      <w:r w:rsidRPr="00957CC8">
        <w:rPr>
          <w:rFonts w:ascii="Arial" w:hAnsi="Arial"/>
          <w:noProof/>
          <w:sz w:val="22"/>
        </w:rPr>
        <w:drawing>
          <wp:inline distT="0" distB="0" distL="0" distR="0" wp14:anchorId="54EFFAB6" wp14:editId="1571F362">
            <wp:extent cx="2886075" cy="1133475"/>
            <wp:effectExtent l="0" t="0" r="9525" b="9525"/>
            <wp:docPr id="2" name="Picture 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19CFB1B4" w14:textId="77777777" w:rsidR="003133DE" w:rsidRDefault="003133DE" w:rsidP="003133DE">
      <w:pPr>
        <w:tabs>
          <w:tab w:val="left" w:pos="720"/>
          <w:tab w:val="left" w:pos="1440"/>
          <w:tab w:val="left" w:pos="2160"/>
          <w:tab w:val="left" w:pos="2880"/>
        </w:tabs>
        <w:overflowPunct w:val="0"/>
        <w:autoSpaceDE w:val="0"/>
        <w:autoSpaceDN w:val="0"/>
        <w:adjustRightInd w:val="0"/>
        <w:ind w:left="3600" w:hanging="3600"/>
        <w:jc w:val="center"/>
        <w:textAlignment w:val="baseline"/>
        <w:rPr>
          <w:b/>
          <w:sz w:val="48"/>
          <w:szCs w:val="48"/>
        </w:rPr>
      </w:pPr>
    </w:p>
    <w:p w14:paraId="7563F513" w14:textId="77777777" w:rsidR="00FA18A1" w:rsidRDefault="00FA18A1" w:rsidP="00FA18A1">
      <w:pPr>
        <w:rPr>
          <w:sz w:val="32"/>
          <w:szCs w:val="36"/>
        </w:rPr>
      </w:pPr>
    </w:p>
    <w:tbl>
      <w:tblPr>
        <w:tblStyle w:val="TableGrid"/>
        <w:tblW w:w="9922" w:type="dxa"/>
        <w:tblLayout w:type="fixed"/>
        <w:tblLook w:val="0000" w:firstRow="0" w:lastRow="0" w:firstColumn="0" w:lastColumn="0" w:noHBand="0" w:noVBand="0"/>
      </w:tblPr>
      <w:tblGrid>
        <w:gridCol w:w="2093"/>
        <w:gridCol w:w="3293"/>
        <w:gridCol w:w="2268"/>
        <w:gridCol w:w="2268"/>
      </w:tblGrid>
      <w:tr w:rsidR="00A63984" w:rsidRPr="00756F4C" w14:paraId="596C6B0B" w14:textId="77777777" w:rsidTr="00A63984">
        <w:tc>
          <w:tcPr>
            <w:tcW w:w="2093" w:type="dxa"/>
          </w:tcPr>
          <w:p w14:paraId="16BDD29D" w14:textId="1530B8B4" w:rsidR="00A63984" w:rsidRPr="00A63984" w:rsidRDefault="00A63984" w:rsidP="00A63984">
            <w:pPr>
              <w:spacing w:before="120" w:after="120" w:line="360" w:lineRule="auto"/>
              <w:rPr>
                <w:b/>
                <w:bCs/>
                <w:szCs w:val="24"/>
              </w:rPr>
            </w:pPr>
            <w:r w:rsidRPr="00A63984">
              <w:rPr>
                <w:b/>
                <w:bCs/>
              </w:rPr>
              <w:t>Student name:</w:t>
            </w:r>
          </w:p>
        </w:tc>
        <w:tc>
          <w:tcPr>
            <w:tcW w:w="3293" w:type="dxa"/>
          </w:tcPr>
          <w:p w14:paraId="0B459C7E" w14:textId="430F3518" w:rsidR="00A63984" w:rsidRPr="00A63984" w:rsidRDefault="00A63984" w:rsidP="00A63984">
            <w:pPr>
              <w:spacing w:before="120" w:after="120" w:line="360" w:lineRule="auto"/>
              <w:rPr>
                <w:b/>
                <w:bCs/>
                <w:szCs w:val="24"/>
              </w:rPr>
            </w:pPr>
            <w:r w:rsidRPr="00A63984">
              <w:rPr>
                <w:b/>
                <w:bCs/>
              </w:rPr>
              <w:t>Rahat Hossain</w:t>
            </w:r>
          </w:p>
        </w:tc>
        <w:tc>
          <w:tcPr>
            <w:tcW w:w="2268" w:type="dxa"/>
          </w:tcPr>
          <w:p w14:paraId="08913DE2" w14:textId="4D2D65B7" w:rsidR="00A63984" w:rsidRPr="00A63984" w:rsidRDefault="00A63984" w:rsidP="00A63984">
            <w:pPr>
              <w:spacing w:before="120" w:after="120" w:line="360" w:lineRule="auto"/>
              <w:rPr>
                <w:b/>
                <w:bCs/>
                <w:szCs w:val="24"/>
              </w:rPr>
            </w:pPr>
            <w:r w:rsidRPr="00A63984">
              <w:rPr>
                <w:b/>
                <w:bCs/>
              </w:rPr>
              <w:t>Student ID number:</w:t>
            </w:r>
          </w:p>
        </w:tc>
        <w:tc>
          <w:tcPr>
            <w:tcW w:w="2268" w:type="dxa"/>
          </w:tcPr>
          <w:p w14:paraId="46FFABBE" w14:textId="61A40062" w:rsidR="00A63984" w:rsidRPr="00A63984" w:rsidRDefault="00A63984" w:rsidP="00A63984">
            <w:pPr>
              <w:spacing w:before="120" w:after="120" w:line="360" w:lineRule="auto"/>
              <w:rPr>
                <w:b/>
                <w:bCs/>
                <w:szCs w:val="24"/>
              </w:rPr>
            </w:pPr>
            <w:r w:rsidRPr="00A63984">
              <w:rPr>
                <w:b/>
                <w:bCs/>
              </w:rPr>
              <w:t>2506481</w:t>
            </w:r>
          </w:p>
        </w:tc>
      </w:tr>
      <w:tr w:rsidR="00FA18A1" w:rsidRPr="00756F4C" w14:paraId="57469A77" w14:textId="77777777" w:rsidTr="00A63984">
        <w:tc>
          <w:tcPr>
            <w:tcW w:w="2093" w:type="dxa"/>
          </w:tcPr>
          <w:p w14:paraId="2F5368BA" w14:textId="77777777" w:rsidR="00FA18A1" w:rsidRPr="00756F4C" w:rsidRDefault="00FA18A1" w:rsidP="00766FC8">
            <w:pPr>
              <w:spacing w:before="120" w:after="120" w:line="360" w:lineRule="auto"/>
              <w:rPr>
                <w:b/>
                <w:szCs w:val="24"/>
              </w:rPr>
            </w:pPr>
            <w:proofErr w:type="spellStart"/>
            <w:r w:rsidRPr="00756F4C">
              <w:rPr>
                <w:b/>
                <w:szCs w:val="24"/>
              </w:rPr>
              <w:t>Programme</w:t>
            </w:r>
            <w:proofErr w:type="spellEnd"/>
            <w:r w:rsidRPr="00756F4C">
              <w:rPr>
                <w:b/>
                <w:szCs w:val="24"/>
              </w:rPr>
              <w:t>:</w:t>
            </w:r>
          </w:p>
        </w:tc>
        <w:tc>
          <w:tcPr>
            <w:tcW w:w="7829" w:type="dxa"/>
            <w:gridSpan w:val="3"/>
          </w:tcPr>
          <w:p w14:paraId="2DE57858" w14:textId="77777777" w:rsidR="00FA18A1" w:rsidRPr="00756F4C" w:rsidRDefault="00FA18A1" w:rsidP="00766FC8">
            <w:pPr>
              <w:spacing w:before="120" w:after="120" w:line="360" w:lineRule="auto"/>
              <w:rPr>
                <w:b/>
                <w:szCs w:val="24"/>
              </w:rPr>
            </w:pPr>
            <w:r w:rsidRPr="00756F4C">
              <w:rPr>
                <w:szCs w:val="24"/>
              </w:rPr>
              <w:t>MBA</w:t>
            </w:r>
          </w:p>
        </w:tc>
      </w:tr>
      <w:tr w:rsidR="00FA18A1" w:rsidRPr="00756F4C" w14:paraId="075E68C7" w14:textId="77777777" w:rsidTr="00A63984">
        <w:tc>
          <w:tcPr>
            <w:tcW w:w="2093" w:type="dxa"/>
          </w:tcPr>
          <w:p w14:paraId="4AA0A08B" w14:textId="77777777" w:rsidR="00FA18A1" w:rsidRPr="00756F4C" w:rsidRDefault="00FA18A1" w:rsidP="00766FC8">
            <w:pPr>
              <w:spacing w:before="120" w:after="120" w:line="360" w:lineRule="auto"/>
              <w:rPr>
                <w:b/>
                <w:szCs w:val="24"/>
              </w:rPr>
            </w:pPr>
            <w:r w:rsidRPr="00756F4C">
              <w:rPr>
                <w:b/>
                <w:szCs w:val="24"/>
              </w:rPr>
              <w:t>Module:</w:t>
            </w:r>
          </w:p>
        </w:tc>
        <w:tc>
          <w:tcPr>
            <w:tcW w:w="7829" w:type="dxa"/>
            <w:gridSpan w:val="3"/>
          </w:tcPr>
          <w:p w14:paraId="0F3BE21F" w14:textId="77777777" w:rsidR="00FA18A1" w:rsidRPr="00756F4C" w:rsidRDefault="00FA18A1" w:rsidP="00766FC8">
            <w:pPr>
              <w:spacing w:before="120" w:after="120" w:line="360" w:lineRule="auto"/>
              <w:rPr>
                <w:b/>
                <w:szCs w:val="24"/>
              </w:rPr>
            </w:pPr>
            <w:r w:rsidRPr="00756F4C">
              <w:rPr>
                <w:szCs w:val="24"/>
              </w:rPr>
              <w:t>Finance for Business Managers</w:t>
            </w:r>
          </w:p>
        </w:tc>
      </w:tr>
      <w:tr w:rsidR="00FA18A1" w:rsidRPr="00756F4C" w14:paraId="68643792" w14:textId="77777777" w:rsidTr="00A63984">
        <w:tc>
          <w:tcPr>
            <w:tcW w:w="2093" w:type="dxa"/>
          </w:tcPr>
          <w:p w14:paraId="4BE63F88" w14:textId="77777777" w:rsidR="00FA18A1" w:rsidRPr="00756F4C" w:rsidRDefault="00FA18A1" w:rsidP="00766FC8">
            <w:pPr>
              <w:spacing w:before="120" w:after="120" w:line="360" w:lineRule="auto"/>
              <w:rPr>
                <w:b/>
                <w:szCs w:val="24"/>
              </w:rPr>
            </w:pPr>
            <w:r w:rsidRPr="00756F4C">
              <w:rPr>
                <w:b/>
                <w:szCs w:val="24"/>
              </w:rPr>
              <w:t>Module code:</w:t>
            </w:r>
          </w:p>
        </w:tc>
        <w:tc>
          <w:tcPr>
            <w:tcW w:w="3293" w:type="dxa"/>
          </w:tcPr>
          <w:p w14:paraId="5B2028CF" w14:textId="77777777" w:rsidR="00FA18A1" w:rsidRPr="00756F4C" w:rsidRDefault="00FA18A1" w:rsidP="00766FC8">
            <w:pPr>
              <w:spacing w:before="120" w:after="120" w:line="360" w:lineRule="auto"/>
              <w:rPr>
                <w:b/>
                <w:szCs w:val="24"/>
              </w:rPr>
            </w:pPr>
            <w:r w:rsidRPr="00756F4C">
              <w:rPr>
                <w:bCs/>
                <w:szCs w:val="24"/>
              </w:rPr>
              <w:t>BMMB7005D</w:t>
            </w:r>
          </w:p>
        </w:tc>
        <w:tc>
          <w:tcPr>
            <w:tcW w:w="2268" w:type="dxa"/>
          </w:tcPr>
          <w:p w14:paraId="7BCA7652" w14:textId="77777777" w:rsidR="00FA18A1" w:rsidRPr="00756F4C" w:rsidRDefault="00FA18A1" w:rsidP="00766FC8">
            <w:pPr>
              <w:pStyle w:val="Heading2"/>
              <w:spacing w:line="360" w:lineRule="auto"/>
              <w:outlineLvl w:val="1"/>
              <w:rPr>
                <w:rFonts w:cs="Times New Roman"/>
                <w:sz w:val="24"/>
                <w:szCs w:val="24"/>
              </w:rPr>
            </w:pPr>
            <w:r w:rsidRPr="00756F4C">
              <w:rPr>
                <w:rFonts w:cs="Times New Roman"/>
                <w:sz w:val="24"/>
                <w:szCs w:val="24"/>
              </w:rPr>
              <w:t>Contribution to Overall Module Assessment (%):</w:t>
            </w:r>
          </w:p>
        </w:tc>
        <w:tc>
          <w:tcPr>
            <w:tcW w:w="2268" w:type="dxa"/>
          </w:tcPr>
          <w:p w14:paraId="212A21ED" w14:textId="77777777" w:rsidR="00FA18A1" w:rsidRPr="00756F4C" w:rsidRDefault="00FA18A1" w:rsidP="00766FC8">
            <w:pPr>
              <w:spacing w:before="120" w:after="120" w:line="360" w:lineRule="auto"/>
              <w:rPr>
                <w:b/>
                <w:szCs w:val="24"/>
              </w:rPr>
            </w:pPr>
            <w:r w:rsidRPr="00756F4C">
              <w:rPr>
                <w:szCs w:val="24"/>
              </w:rPr>
              <w:t>100%</w:t>
            </w:r>
          </w:p>
        </w:tc>
      </w:tr>
      <w:tr w:rsidR="00FA18A1" w:rsidRPr="00756F4C" w14:paraId="77A10959" w14:textId="77777777" w:rsidTr="00A63984">
        <w:tc>
          <w:tcPr>
            <w:tcW w:w="2093" w:type="dxa"/>
          </w:tcPr>
          <w:p w14:paraId="67B4B7E6" w14:textId="77777777" w:rsidR="00FA18A1" w:rsidRPr="00756F4C" w:rsidRDefault="00FA18A1" w:rsidP="00766FC8">
            <w:pPr>
              <w:spacing w:before="120" w:after="120" w:line="360" w:lineRule="auto"/>
              <w:rPr>
                <w:b/>
                <w:szCs w:val="24"/>
              </w:rPr>
            </w:pPr>
            <w:r w:rsidRPr="00756F4C">
              <w:rPr>
                <w:b/>
                <w:szCs w:val="24"/>
              </w:rPr>
              <w:t>Lecturer:</w:t>
            </w:r>
          </w:p>
        </w:tc>
        <w:tc>
          <w:tcPr>
            <w:tcW w:w="3293" w:type="dxa"/>
          </w:tcPr>
          <w:p w14:paraId="1AFFE6EC" w14:textId="77777777" w:rsidR="00FA18A1" w:rsidRPr="00756F4C" w:rsidRDefault="00FA18A1" w:rsidP="00766FC8">
            <w:pPr>
              <w:spacing w:before="120" w:after="120" w:line="360" w:lineRule="auto"/>
              <w:rPr>
                <w:b/>
                <w:szCs w:val="24"/>
              </w:rPr>
            </w:pPr>
            <w:r w:rsidRPr="00756F4C">
              <w:rPr>
                <w:szCs w:val="24"/>
              </w:rPr>
              <w:t xml:space="preserve">Marie </w:t>
            </w:r>
            <w:proofErr w:type="spellStart"/>
            <w:r w:rsidRPr="00756F4C">
              <w:rPr>
                <w:szCs w:val="24"/>
              </w:rPr>
              <w:t>Pitson</w:t>
            </w:r>
            <w:proofErr w:type="spellEnd"/>
          </w:p>
        </w:tc>
        <w:tc>
          <w:tcPr>
            <w:tcW w:w="2268" w:type="dxa"/>
          </w:tcPr>
          <w:p w14:paraId="664AA294" w14:textId="77777777" w:rsidR="00FA18A1" w:rsidRPr="00756F4C" w:rsidRDefault="00FA18A1" w:rsidP="00766FC8">
            <w:pPr>
              <w:spacing w:before="120" w:after="120" w:line="360" w:lineRule="auto"/>
              <w:rPr>
                <w:b/>
                <w:szCs w:val="24"/>
              </w:rPr>
            </w:pPr>
            <w:r w:rsidRPr="00756F4C">
              <w:rPr>
                <w:b/>
                <w:szCs w:val="24"/>
              </w:rPr>
              <w:t>Internal Verifier:</w:t>
            </w:r>
          </w:p>
        </w:tc>
        <w:tc>
          <w:tcPr>
            <w:tcW w:w="2268" w:type="dxa"/>
          </w:tcPr>
          <w:p w14:paraId="584C0678" w14:textId="77777777" w:rsidR="00FA18A1" w:rsidRPr="00756F4C" w:rsidRDefault="00FA18A1" w:rsidP="00766FC8">
            <w:pPr>
              <w:spacing w:before="120" w:after="120" w:line="360" w:lineRule="auto"/>
              <w:rPr>
                <w:b/>
                <w:szCs w:val="24"/>
              </w:rPr>
            </w:pPr>
            <w:proofErr w:type="spellStart"/>
            <w:r w:rsidRPr="00756F4C">
              <w:rPr>
                <w:szCs w:val="24"/>
              </w:rPr>
              <w:t>Badir</w:t>
            </w:r>
            <w:proofErr w:type="spellEnd"/>
            <w:r w:rsidRPr="00756F4C">
              <w:rPr>
                <w:szCs w:val="24"/>
              </w:rPr>
              <w:t xml:space="preserve"> </w:t>
            </w:r>
            <w:proofErr w:type="spellStart"/>
            <w:r w:rsidRPr="00756F4C">
              <w:rPr>
                <w:szCs w:val="24"/>
              </w:rPr>
              <w:t>Miftah</w:t>
            </w:r>
            <w:proofErr w:type="spellEnd"/>
          </w:p>
        </w:tc>
      </w:tr>
      <w:tr w:rsidR="00FA18A1" w:rsidRPr="00756F4C" w14:paraId="29850678" w14:textId="77777777" w:rsidTr="00A63984">
        <w:tc>
          <w:tcPr>
            <w:tcW w:w="2093" w:type="dxa"/>
          </w:tcPr>
          <w:p w14:paraId="77F0A0C7" w14:textId="77777777" w:rsidR="00FA18A1" w:rsidRPr="00756F4C" w:rsidRDefault="00FA18A1" w:rsidP="00766FC8">
            <w:pPr>
              <w:spacing w:before="120" w:after="120" w:line="360" w:lineRule="auto"/>
              <w:rPr>
                <w:b/>
                <w:szCs w:val="24"/>
              </w:rPr>
            </w:pPr>
            <w:r w:rsidRPr="00756F4C">
              <w:rPr>
                <w:b/>
                <w:szCs w:val="24"/>
              </w:rPr>
              <w:t>Assignment Title:</w:t>
            </w:r>
          </w:p>
        </w:tc>
        <w:tc>
          <w:tcPr>
            <w:tcW w:w="3293" w:type="dxa"/>
          </w:tcPr>
          <w:p w14:paraId="6554DF76" w14:textId="4C3D27B4" w:rsidR="00FA18A1" w:rsidRPr="00756F4C" w:rsidRDefault="00FA18A1" w:rsidP="00766FC8">
            <w:pPr>
              <w:spacing w:before="120" w:after="120" w:line="360" w:lineRule="auto"/>
              <w:rPr>
                <w:szCs w:val="24"/>
              </w:rPr>
            </w:pPr>
            <w:r>
              <w:rPr>
                <w:szCs w:val="24"/>
              </w:rPr>
              <w:t xml:space="preserve">Finance Report for </w:t>
            </w:r>
            <w:r w:rsidR="008739B5">
              <w:rPr>
                <w:szCs w:val="24"/>
              </w:rPr>
              <w:t xml:space="preserve">Whitbread </w:t>
            </w:r>
            <w:r>
              <w:rPr>
                <w:szCs w:val="24"/>
              </w:rPr>
              <w:t xml:space="preserve">Plc &amp; </w:t>
            </w:r>
            <w:r w:rsidRPr="00756F4C">
              <w:rPr>
                <w:szCs w:val="24"/>
              </w:rPr>
              <w:t>Westward Plc</w:t>
            </w:r>
          </w:p>
        </w:tc>
        <w:tc>
          <w:tcPr>
            <w:tcW w:w="2268" w:type="dxa"/>
          </w:tcPr>
          <w:p w14:paraId="040DA4BC" w14:textId="77777777" w:rsidR="00FA18A1" w:rsidRPr="00756F4C" w:rsidRDefault="00FA18A1" w:rsidP="00766FC8">
            <w:pPr>
              <w:spacing w:before="120" w:after="120" w:line="360" w:lineRule="auto"/>
              <w:rPr>
                <w:b/>
                <w:szCs w:val="24"/>
              </w:rPr>
            </w:pPr>
            <w:r w:rsidRPr="00756F4C">
              <w:rPr>
                <w:b/>
                <w:szCs w:val="24"/>
              </w:rPr>
              <w:t>Word count (or equivalent):</w:t>
            </w:r>
          </w:p>
        </w:tc>
        <w:tc>
          <w:tcPr>
            <w:tcW w:w="2268" w:type="dxa"/>
          </w:tcPr>
          <w:p w14:paraId="1A75853C" w14:textId="77777777" w:rsidR="00FA18A1" w:rsidRPr="00756F4C" w:rsidRDefault="00FA18A1" w:rsidP="00766FC8">
            <w:pPr>
              <w:spacing w:before="120" w:after="120" w:line="360" w:lineRule="auto"/>
              <w:rPr>
                <w:b/>
                <w:szCs w:val="24"/>
              </w:rPr>
            </w:pPr>
            <w:r w:rsidRPr="00756F4C">
              <w:rPr>
                <w:szCs w:val="24"/>
              </w:rPr>
              <w:t>5000 words</w:t>
            </w:r>
          </w:p>
        </w:tc>
      </w:tr>
      <w:tr w:rsidR="00FA18A1" w:rsidRPr="00756F4C" w14:paraId="11638477" w14:textId="77777777" w:rsidTr="00A63984">
        <w:tc>
          <w:tcPr>
            <w:tcW w:w="2093" w:type="dxa"/>
          </w:tcPr>
          <w:p w14:paraId="6F5601DB" w14:textId="77777777" w:rsidR="00FA18A1" w:rsidRPr="00756F4C" w:rsidRDefault="00FA18A1" w:rsidP="00766FC8">
            <w:pPr>
              <w:spacing w:before="120" w:after="120" w:line="360" w:lineRule="auto"/>
              <w:rPr>
                <w:b/>
                <w:szCs w:val="24"/>
              </w:rPr>
            </w:pPr>
            <w:r w:rsidRPr="00756F4C">
              <w:rPr>
                <w:b/>
                <w:szCs w:val="24"/>
              </w:rPr>
              <w:t>Submission deadline:</w:t>
            </w:r>
          </w:p>
        </w:tc>
        <w:tc>
          <w:tcPr>
            <w:tcW w:w="3293" w:type="dxa"/>
          </w:tcPr>
          <w:p w14:paraId="51922DB6" w14:textId="77777777" w:rsidR="00FA18A1" w:rsidRPr="00756F4C" w:rsidRDefault="00FA18A1" w:rsidP="00766FC8">
            <w:pPr>
              <w:spacing w:before="120" w:after="120" w:line="360" w:lineRule="auto"/>
              <w:rPr>
                <w:szCs w:val="24"/>
              </w:rPr>
            </w:pPr>
            <w:r w:rsidRPr="00756F4C">
              <w:rPr>
                <w:szCs w:val="24"/>
              </w:rPr>
              <w:t>12</w:t>
            </w:r>
            <w:r w:rsidRPr="00756F4C">
              <w:rPr>
                <w:szCs w:val="24"/>
                <w:vertAlign w:val="superscript"/>
              </w:rPr>
              <w:t>th</w:t>
            </w:r>
            <w:r w:rsidRPr="00756F4C">
              <w:rPr>
                <w:szCs w:val="24"/>
              </w:rPr>
              <w:t xml:space="preserve"> January 2026</w:t>
            </w:r>
          </w:p>
        </w:tc>
        <w:tc>
          <w:tcPr>
            <w:tcW w:w="2268" w:type="dxa"/>
          </w:tcPr>
          <w:p w14:paraId="6FF08265" w14:textId="77777777" w:rsidR="00FA18A1" w:rsidRPr="00756F4C" w:rsidRDefault="00FA18A1" w:rsidP="00766FC8">
            <w:pPr>
              <w:spacing w:before="120" w:after="120" w:line="360" w:lineRule="auto"/>
              <w:rPr>
                <w:b/>
                <w:szCs w:val="24"/>
              </w:rPr>
            </w:pPr>
          </w:p>
        </w:tc>
        <w:tc>
          <w:tcPr>
            <w:tcW w:w="2268" w:type="dxa"/>
          </w:tcPr>
          <w:p w14:paraId="78C75061" w14:textId="77777777" w:rsidR="00FA18A1" w:rsidRPr="00756F4C" w:rsidRDefault="00FA18A1" w:rsidP="00766FC8">
            <w:pPr>
              <w:spacing w:before="120" w:after="120" w:line="360" w:lineRule="auto"/>
              <w:rPr>
                <w:szCs w:val="24"/>
              </w:rPr>
            </w:pPr>
          </w:p>
        </w:tc>
      </w:tr>
    </w:tbl>
    <w:p w14:paraId="31DD7A03" w14:textId="77777777" w:rsidR="00FA18A1" w:rsidRDefault="00FA18A1" w:rsidP="00FA18A1">
      <w:pPr>
        <w:rPr>
          <w:sz w:val="32"/>
          <w:szCs w:val="36"/>
        </w:rPr>
      </w:pPr>
    </w:p>
    <w:p w14:paraId="030FD4EC" w14:textId="77777777" w:rsidR="00710F79" w:rsidRDefault="00710F79" w:rsidP="003133DE">
      <w:pPr>
        <w:jc w:val="center"/>
      </w:pPr>
    </w:p>
    <w:p w14:paraId="62AED705" w14:textId="77777777" w:rsidR="00710F79" w:rsidRDefault="00710F79" w:rsidP="003133DE">
      <w:pPr>
        <w:jc w:val="center"/>
      </w:pPr>
    </w:p>
    <w:p w14:paraId="7026FC29" w14:textId="77777777" w:rsidR="00710F79" w:rsidRDefault="00710F79">
      <w:r>
        <w:br w:type="page"/>
      </w:r>
    </w:p>
    <w:p w14:paraId="35695480" w14:textId="77777777" w:rsidR="00710F79" w:rsidRDefault="00710F79" w:rsidP="00710F79">
      <w:pPr>
        <w:pStyle w:val="Heading1"/>
        <w:sectPr w:rsidR="00710F79" w:rsidSect="00710F79">
          <w:pgSz w:w="11906" w:h="16838" w:code="9"/>
          <w:pgMar w:top="1440" w:right="1440" w:bottom="1440" w:left="1440" w:header="720" w:footer="720" w:gutter="0"/>
          <w:cols w:space="720"/>
          <w:docGrid w:linePitch="360"/>
        </w:sectPr>
      </w:pPr>
    </w:p>
    <w:p w14:paraId="61C7029F" w14:textId="77777777" w:rsidR="00710F79" w:rsidRDefault="00710F79" w:rsidP="00710F79">
      <w:pPr>
        <w:pStyle w:val="Heading1"/>
      </w:pPr>
      <w:bookmarkStart w:id="0" w:name="_Toc219063294"/>
      <w:r w:rsidRPr="00710F79">
        <w:lastRenderedPageBreak/>
        <w:t>Executive Summary</w:t>
      </w:r>
      <w:bookmarkEnd w:id="0"/>
    </w:p>
    <w:p w14:paraId="141B37E2" w14:textId="097F140D" w:rsidR="003133DE" w:rsidRDefault="00710F79" w:rsidP="00710F79">
      <w:r w:rsidRPr="00710F79">
        <w:t xml:space="preserve">This report will </w:t>
      </w:r>
      <w:r>
        <w:t>discuss</w:t>
      </w:r>
      <w:r w:rsidRPr="00710F79">
        <w:t xml:space="preserve"> financial performance and investment </w:t>
      </w:r>
      <w:r>
        <w:t>decision-making</w:t>
      </w:r>
      <w:r w:rsidRPr="00710F79">
        <w:t xml:space="preserve"> as per the financial management techniques applied. Part One will discuss the financial statements of Whitbread PLC</w:t>
      </w:r>
      <w:r>
        <w:t>,</w:t>
      </w:r>
      <w:r w:rsidRPr="00710F79">
        <w:t xml:space="preserve"> and it was determined that the company is operating within a high operating margin and cash generation despite the inflationary cost pressures. The liquidity ratios are below the conventional norms, but they are close to the </w:t>
      </w:r>
      <w:r>
        <w:t>cash-based</w:t>
      </w:r>
      <w:r w:rsidRPr="00710F79">
        <w:t xml:space="preserve"> hospitality business model</w:t>
      </w:r>
      <w:r>
        <w:t>. The</w:t>
      </w:r>
      <w:r w:rsidRPr="00710F79">
        <w:t xml:space="preserve"> increasing gearing and declining interest cover </w:t>
      </w:r>
      <w:r>
        <w:t>mean</w:t>
      </w:r>
      <w:r w:rsidRPr="00710F79">
        <w:t xml:space="preserve"> that the financial risk is more intense and should be monitored closely. Part Two is an evaluation of three </w:t>
      </w:r>
      <w:r>
        <w:t>investments</w:t>
      </w:r>
      <w:r w:rsidRPr="00710F79">
        <w:t xml:space="preserve"> of Westward PLC, where all the projects have positive NPVs. The choice of investment is </w:t>
      </w:r>
      <w:r>
        <w:t xml:space="preserve">the </w:t>
      </w:r>
      <w:r w:rsidRPr="00710F79">
        <w:t>internet sales development option</w:t>
      </w:r>
      <w:r>
        <w:t>,</w:t>
      </w:r>
      <w:r w:rsidRPr="00710F79">
        <w:t xml:space="preserve"> as it has </w:t>
      </w:r>
      <w:r>
        <w:t>a</w:t>
      </w:r>
      <w:r w:rsidRPr="00710F79">
        <w:t xml:space="preserve"> high NPV and IRR. Overall, the present report indicates a wise capital deployment and balanced financing strategy as the means of increasing shareholder value.</w:t>
      </w:r>
      <w:r w:rsidR="003133DE">
        <w:br w:type="page"/>
      </w:r>
    </w:p>
    <w:sdt>
      <w:sdtPr>
        <w:rPr>
          <w:rFonts w:ascii="Times New Roman" w:eastAsia="Times New Roman" w:hAnsi="Times New Roman" w:cs="Times New Roman"/>
          <w:b/>
          <w:bCs/>
          <w:color w:val="auto"/>
          <w:sz w:val="24"/>
          <w:szCs w:val="22"/>
        </w:rPr>
        <w:id w:val="1326254311"/>
        <w:docPartObj>
          <w:docPartGallery w:val="Table of Contents"/>
          <w:docPartUnique/>
        </w:docPartObj>
      </w:sdtPr>
      <w:sdtEndPr>
        <w:rPr>
          <w:noProof/>
        </w:rPr>
      </w:sdtEndPr>
      <w:sdtContent>
        <w:p w14:paraId="2B30D3BD" w14:textId="2C648676" w:rsidR="003133DE" w:rsidRPr="003133DE" w:rsidRDefault="003133DE">
          <w:pPr>
            <w:pStyle w:val="TOCHeading"/>
            <w:rPr>
              <w:rFonts w:ascii="Times New Roman" w:hAnsi="Times New Roman" w:cs="Times New Roman"/>
              <w:b/>
              <w:bCs/>
              <w:color w:val="auto"/>
            </w:rPr>
          </w:pPr>
          <w:r w:rsidRPr="003133DE">
            <w:rPr>
              <w:rFonts w:ascii="Times New Roman" w:hAnsi="Times New Roman" w:cs="Times New Roman"/>
              <w:b/>
              <w:bCs/>
              <w:color w:val="auto"/>
            </w:rPr>
            <w:t>Table of Contents</w:t>
          </w:r>
        </w:p>
        <w:p w14:paraId="596E76F3" w14:textId="24770DAC" w:rsidR="00710F79" w:rsidRPr="00710F79" w:rsidRDefault="003133DE" w:rsidP="00710F79">
          <w:pPr>
            <w:pStyle w:val="TOC1"/>
            <w:rPr>
              <w:rFonts w:asciiTheme="minorHAnsi" w:eastAsiaTheme="minorEastAsia" w:hAnsiTheme="minorHAnsi" w:cstheme="minorBidi"/>
              <w:kern w:val="2"/>
              <w:szCs w:val="24"/>
              <w14:ligatures w14:val="standardContextual"/>
            </w:rPr>
          </w:pPr>
          <w:r>
            <w:rPr>
              <w:noProof w:val="0"/>
            </w:rPr>
            <w:fldChar w:fldCharType="begin"/>
          </w:r>
          <w:r>
            <w:instrText xml:space="preserve"> TOC \o "1-3" \h \z \u </w:instrText>
          </w:r>
          <w:r>
            <w:rPr>
              <w:noProof w:val="0"/>
            </w:rPr>
            <w:fldChar w:fldCharType="separate"/>
          </w:r>
          <w:hyperlink w:anchor="_Toc219063294" w:history="1">
            <w:r w:rsidR="00710F79" w:rsidRPr="00710F79">
              <w:rPr>
                <w:rStyle w:val="Hyperlink"/>
              </w:rPr>
              <w:t>Executive Summary</w:t>
            </w:r>
            <w:r w:rsidR="00710F79" w:rsidRPr="00710F79">
              <w:rPr>
                <w:webHidden/>
              </w:rPr>
              <w:tab/>
            </w:r>
            <w:r w:rsidR="00710F79" w:rsidRPr="00710F79">
              <w:rPr>
                <w:webHidden/>
              </w:rPr>
              <w:fldChar w:fldCharType="begin"/>
            </w:r>
            <w:r w:rsidR="00710F79" w:rsidRPr="00710F79">
              <w:rPr>
                <w:webHidden/>
              </w:rPr>
              <w:instrText xml:space="preserve"> PAGEREF _Toc219063294 \h </w:instrText>
            </w:r>
            <w:r w:rsidR="00710F79" w:rsidRPr="00710F79">
              <w:rPr>
                <w:webHidden/>
              </w:rPr>
            </w:r>
            <w:r w:rsidR="00710F79" w:rsidRPr="00710F79">
              <w:rPr>
                <w:webHidden/>
              </w:rPr>
              <w:fldChar w:fldCharType="separate"/>
            </w:r>
            <w:r w:rsidR="00710F79" w:rsidRPr="00710F79">
              <w:rPr>
                <w:webHidden/>
              </w:rPr>
              <w:t>1</w:t>
            </w:r>
            <w:r w:rsidR="00710F79" w:rsidRPr="00710F79">
              <w:rPr>
                <w:webHidden/>
              </w:rPr>
              <w:fldChar w:fldCharType="end"/>
            </w:r>
          </w:hyperlink>
        </w:p>
        <w:p w14:paraId="7DD625C9" w14:textId="68A3C87C" w:rsidR="00710F79" w:rsidRDefault="004E341B" w:rsidP="00710F79">
          <w:pPr>
            <w:pStyle w:val="TOC1"/>
            <w:rPr>
              <w:rFonts w:asciiTheme="minorHAnsi" w:eastAsiaTheme="minorEastAsia" w:hAnsiTheme="minorHAnsi" w:cstheme="minorBidi"/>
              <w:kern w:val="2"/>
              <w:szCs w:val="24"/>
              <w14:ligatures w14:val="standardContextual"/>
            </w:rPr>
          </w:pPr>
          <w:hyperlink w:anchor="_Toc219063295" w:history="1">
            <w:r w:rsidR="00710F79" w:rsidRPr="0096036A">
              <w:rPr>
                <w:rStyle w:val="Hyperlink"/>
              </w:rPr>
              <w:t>Introduction</w:t>
            </w:r>
            <w:r w:rsidR="00710F79">
              <w:rPr>
                <w:webHidden/>
              </w:rPr>
              <w:tab/>
            </w:r>
            <w:r w:rsidR="00710F79">
              <w:rPr>
                <w:webHidden/>
              </w:rPr>
              <w:fldChar w:fldCharType="begin"/>
            </w:r>
            <w:r w:rsidR="00710F79">
              <w:rPr>
                <w:webHidden/>
              </w:rPr>
              <w:instrText xml:space="preserve"> PAGEREF _Toc219063295 \h </w:instrText>
            </w:r>
            <w:r w:rsidR="00710F79">
              <w:rPr>
                <w:webHidden/>
              </w:rPr>
            </w:r>
            <w:r w:rsidR="00710F79">
              <w:rPr>
                <w:webHidden/>
              </w:rPr>
              <w:fldChar w:fldCharType="separate"/>
            </w:r>
            <w:r w:rsidR="00710F79">
              <w:rPr>
                <w:webHidden/>
              </w:rPr>
              <w:t>4</w:t>
            </w:r>
            <w:r w:rsidR="00710F79">
              <w:rPr>
                <w:webHidden/>
              </w:rPr>
              <w:fldChar w:fldCharType="end"/>
            </w:r>
          </w:hyperlink>
        </w:p>
        <w:p w14:paraId="1B74843C" w14:textId="6C8C845B" w:rsidR="00710F79" w:rsidRDefault="004E341B" w:rsidP="00710F79">
          <w:pPr>
            <w:pStyle w:val="TOC1"/>
            <w:rPr>
              <w:rFonts w:asciiTheme="minorHAnsi" w:eastAsiaTheme="minorEastAsia" w:hAnsiTheme="minorHAnsi" w:cstheme="minorBidi"/>
              <w:kern w:val="2"/>
              <w:szCs w:val="24"/>
              <w14:ligatures w14:val="standardContextual"/>
            </w:rPr>
          </w:pPr>
          <w:hyperlink w:anchor="_Toc219063296" w:history="1">
            <w:r w:rsidR="00710F79" w:rsidRPr="0096036A">
              <w:rPr>
                <w:rStyle w:val="Hyperlink"/>
              </w:rPr>
              <w:t>Part 1: Financial Statement and Ratio Analysis</w:t>
            </w:r>
            <w:r w:rsidR="00710F79">
              <w:rPr>
                <w:webHidden/>
              </w:rPr>
              <w:tab/>
            </w:r>
            <w:r w:rsidR="00710F79">
              <w:rPr>
                <w:webHidden/>
              </w:rPr>
              <w:fldChar w:fldCharType="begin"/>
            </w:r>
            <w:r w:rsidR="00710F79">
              <w:rPr>
                <w:webHidden/>
              </w:rPr>
              <w:instrText xml:space="preserve"> PAGEREF _Toc219063296 \h </w:instrText>
            </w:r>
            <w:r w:rsidR="00710F79">
              <w:rPr>
                <w:webHidden/>
              </w:rPr>
            </w:r>
            <w:r w:rsidR="00710F79">
              <w:rPr>
                <w:webHidden/>
              </w:rPr>
              <w:fldChar w:fldCharType="separate"/>
            </w:r>
            <w:r w:rsidR="00710F79">
              <w:rPr>
                <w:webHidden/>
              </w:rPr>
              <w:t>6</w:t>
            </w:r>
            <w:r w:rsidR="00710F79">
              <w:rPr>
                <w:webHidden/>
              </w:rPr>
              <w:fldChar w:fldCharType="end"/>
            </w:r>
          </w:hyperlink>
        </w:p>
        <w:p w14:paraId="6001C125" w14:textId="5B113ED8"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297" w:history="1">
            <w:r w:rsidR="00710F79" w:rsidRPr="0096036A">
              <w:rPr>
                <w:rStyle w:val="Hyperlink"/>
                <w:noProof/>
              </w:rPr>
              <w:t>Profitability Analysis</w:t>
            </w:r>
            <w:r w:rsidR="00710F79">
              <w:rPr>
                <w:noProof/>
                <w:webHidden/>
              </w:rPr>
              <w:tab/>
            </w:r>
            <w:r w:rsidR="00710F79">
              <w:rPr>
                <w:noProof/>
                <w:webHidden/>
              </w:rPr>
              <w:fldChar w:fldCharType="begin"/>
            </w:r>
            <w:r w:rsidR="00710F79">
              <w:rPr>
                <w:noProof/>
                <w:webHidden/>
              </w:rPr>
              <w:instrText xml:space="preserve"> PAGEREF _Toc219063297 \h </w:instrText>
            </w:r>
            <w:r w:rsidR="00710F79">
              <w:rPr>
                <w:noProof/>
                <w:webHidden/>
              </w:rPr>
            </w:r>
            <w:r w:rsidR="00710F79">
              <w:rPr>
                <w:noProof/>
                <w:webHidden/>
              </w:rPr>
              <w:fldChar w:fldCharType="separate"/>
            </w:r>
            <w:r w:rsidR="00710F79">
              <w:rPr>
                <w:noProof/>
                <w:webHidden/>
              </w:rPr>
              <w:t>6</w:t>
            </w:r>
            <w:r w:rsidR="00710F79">
              <w:rPr>
                <w:noProof/>
                <w:webHidden/>
              </w:rPr>
              <w:fldChar w:fldCharType="end"/>
            </w:r>
          </w:hyperlink>
        </w:p>
        <w:p w14:paraId="3E5B8FFE" w14:textId="31AF25A2"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298" w:history="1">
            <w:r w:rsidR="00710F79" w:rsidRPr="0096036A">
              <w:rPr>
                <w:rStyle w:val="Hyperlink"/>
                <w:noProof/>
              </w:rPr>
              <w:t>Liquidity Analysis</w:t>
            </w:r>
            <w:r w:rsidR="00710F79">
              <w:rPr>
                <w:noProof/>
                <w:webHidden/>
              </w:rPr>
              <w:tab/>
            </w:r>
            <w:r w:rsidR="00710F79">
              <w:rPr>
                <w:noProof/>
                <w:webHidden/>
              </w:rPr>
              <w:fldChar w:fldCharType="begin"/>
            </w:r>
            <w:r w:rsidR="00710F79">
              <w:rPr>
                <w:noProof/>
                <w:webHidden/>
              </w:rPr>
              <w:instrText xml:space="preserve"> PAGEREF _Toc219063298 \h </w:instrText>
            </w:r>
            <w:r w:rsidR="00710F79">
              <w:rPr>
                <w:noProof/>
                <w:webHidden/>
              </w:rPr>
            </w:r>
            <w:r w:rsidR="00710F79">
              <w:rPr>
                <w:noProof/>
                <w:webHidden/>
              </w:rPr>
              <w:fldChar w:fldCharType="separate"/>
            </w:r>
            <w:r w:rsidR="00710F79">
              <w:rPr>
                <w:noProof/>
                <w:webHidden/>
              </w:rPr>
              <w:t>8</w:t>
            </w:r>
            <w:r w:rsidR="00710F79">
              <w:rPr>
                <w:noProof/>
                <w:webHidden/>
              </w:rPr>
              <w:fldChar w:fldCharType="end"/>
            </w:r>
          </w:hyperlink>
        </w:p>
        <w:p w14:paraId="59AFDE29" w14:textId="67165B03"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299" w:history="1">
            <w:r w:rsidR="00710F79" w:rsidRPr="0096036A">
              <w:rPr>
                <w:rStyle w:val="Hyperlink"/>
                <w:noProof/>
              </w:rPr>
              <w:t>Gearing Analysis</w:t>
            </w:r>
            <w:r w:rsidR="00710F79">
              <w:rPr>
                <w:noProof/>
                <w:webHidden/>
              </w:rPr>
              <w:tab/>
            </w:r>
            <w:r w:rsidR="00710F79">
              <w:rPr>
                <w:noProof/>
                <w:webHidden/>
              </w:rPr>
              <w:fldChar w:fldCharType="begin"/>
            </w:r>
            <w:r w:rsidR="00710F79">
              <w:rPr>
                <w:noProof/>
                <w:webHidden/>
              </w:rPr>
              <w:instrText xml:space="preserve"> PAGEREF _Toc219063299 \h </w:instrText>
            </w:r>
            <w:r w:rsidR="00710F79">
              <w:rPr>
                <w:noProof/>
                <w:webHidden/>
              </w:rPr>
            </w:r>
            <w:r w:rsidR="00710F79">
              <w:rPr>
                <w:noProof/>
                <w:webHidden/>
              </w:rPr>
              <w:fldChar w:fldCharType="separate"/>
            </w:r>
            <w:r w:rsidR="00710F79">
              <w:rPr>
                <w:noProof/>
                <w:webHidden/>
              </w:rPr>
              <w:t>9</w:t>
            </w:r>
            <w:r w:rsidR="00710F79">
              <w:rPr>
                <w:noProof/>
                <w:webHidden/>
              </w:rPr>
              <w:fldChar w:fldCharType="end"/>
            </w:r>
          </w:hyperlink>
        </w:p>
        <w:p w14:paraId="4AEAB165" w14:textId="43287BAC"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0" w:history="1">
            <w:r w:rsidR="00710F79" w:rsidRPr="0096036A">
              <w:rPr>
                <w:rStyle w:val="Hyperlink"/>
                <w:noProof/>
              </w:rPr>
              <w:t>Efficiency Analysis</w:t>
            </w:r>
            <w:r w:rsidR="00710F79">
              <w:rPr>
                <w:noProof/>
                <w:webHidden/>
              </w:rPr>
              <w:tab/>
            </w:r>
            <w:r w:rsidR="00710F79">
              <w:rPr>
                <w:noProof/>
                <w:webHidden/>
              </w:rPr>
              <w:fldChar w:fldCharType="begin"/>
            </w:r>
            <w:r w:rsidR="00710F79">
              <w:rPr>
                <w:noProof/>
                <w:webHidden/>
              </w:rPr>
              <w:instrText xml:space="preserve"> PAGEREF _Toc219063300 \h </w:instrText>
            </w:r>
            <w:r w:rsidR="00710F79">
              <w:rPr>
                <w:noProof/>
                <w:webHidden/>
              </w:rPr>
            </w:r>
            <w:r w:rsidR="00710F79">
              <w:rPr>
                <w:noProof/>
                <w:webHidden/>
              </w:rPr>
              <w:fldChar w:fldCharType="separate"/>
            </w:r>
            <w:r w:rsidR="00710F79">
              <w:rPr>
                <w:noProof/>
                <w:webHidden/>
              </w:rPr>
              <w:t>10</w:t>
            </w:r>
            <w:r w:rsidR="00710F79">
              <w:rPr>
                <w:noProof/>
                <w:webHidden/>
              </w:rPr>
              <w:fldChar w:fldCharType="end"/>
            </w:r>
          </w:hyperlink>
        </w:p>
        <w:p w14:paraId="28A45C1D" w14:textId="13F7F1AB"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1" w:history="1">
            <w:r w:rsidR="00710F79" w:rsidRPr="0096036A">
              <w:rPr>
                <w:rStyle w:val="Hyperlink"/>
                <w:noProof/>
              </w:rPr>
              <w:t>Investor Ratios Analysis</w:t>
            </w:r>
            <w:r w:rsidR="00710F79">
              <w:rPr>
                <w:noProof/>
                <w:webHidden/>
              </w:rPr>
              <w:tab/>
            </w:r>
            <w:r w:rsidR="00710F79">
              <w:rPr>
                <w:noProof/>
                <w:webHidden/>
              </w:rPr>
              <w:fldChar w:fldCharType="begin"/>
            </w:r>
            <w:r w:rsidR="00710F79">
              <w:rPr>
                <w:noProof/>
                <w:webHidden/>
              </w:rPr>
              <w:instrText xml:space="preserve"> PAGEREF _Toc219063301 \h </w:instrText>
            </w:r>
            <w:r w:rsidR="00710F79">
              <w:rPr>
                <w:noProof/>
                <w:webHidden/>
              </w:rPr>
            </w:r>
            <w:r w:rsidR="00710F79">
              <w:rPr>
                <w:noProof/>
                <w:webHidden/>
              </w:rPr>
              <w:fldChar w:fldCharType="separate"/>
            </w:r>
            <w:r w:rsidR="00710F79">
              <w:rPr>
                <w:noProof/>
                <w:webHidden/>
              </w:rPr>
              <w:t>11</w:t>
            </w:r>
            <w:r w:rsidR="00710F79">
              <w:rPr>
                <w:noProof/>
                <w:webHidden/>
              </w:rPr>
              <w:fldChar w:fldCharType="end"/>
            </w:r>
          </w:hyperlink>
        </w:p>
        <w:p w14:paraId="446E9801" w14:textId="31A7DA02"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2" w:history="1">
            <w:r w:rsidR="00710F79" w:rsidRPr="0096036A">
              <w:rPr>
                <w:rStyle w:val="Hyperlink"/>
                <w:noProof/>
              </w:rPr>
              <w:t>Critical Analysis and Limitations</w:t>
            </w:r>
            <w:r w:rsidR="00710F79">
              <w:rPr>
                <w:noProof/>
                <w:webHidden/>
              </w:rPr>
              <w:tab/>
            </w:r>
            <w:r w:rsidR="00710F79">
              <w:rPr>
                <w:noProof/>
                <w:webHidden/>
              </w:rPr>
              <w:fldChar w:fldCharType="begin"/>
            </w:r>
            <w:r w:rsidR="00710F79">
              <w:rPr>
                <w:noProof/>
                <w:webHidden/>
              </w:rPr>
              <w:instrText xml:space="preserve"> PAGEREF _Toc219063302 \h </w:instrText>
            </w:r>
            <w:r w:rsidR="00710F79">
              <w:rPr>
                <w:noProof/>
                <w:webHidden/>
              </w:rPr>
            </w:r>
            <w:r w:rsidR="00710F79">
              <w:rPr>
                <w:noProof/>
                <w:webHidden/>
              </w:rPr>
              <w:fldChar w:fldCharType="separate"/>
            </w:r>
            <w:r w:rsidR="00710F79">
              <w:rPr>
                <w:noProof/>
                <w:webHidden/>
              </w:rPr>
              <w:t>12</w:t>
            </w:r>
            <w:r w:rsidR="00710F79">
              <w:rPr>
                <w:noProof/>
                <w:webHidden/>
              </w:rPr>
              <w:fldChar w:fldCharType="end"/>
            </w:r>
          </w:hyperlink>
        </w:p>
        <w:p w14:paraId="61CA458A" w14:textId="70860D24"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3" w:history="1">
            <w:r w:rsidR="00710F79" w:rsidRPr="0096036A">
              <w:rPr>
                <w:rStyle w:val="Hyperlink"/>
                <w:noProof/>
              </w:rPr>
              <w:t>Recommendations</w:t>
            </w:r>
            <w:r w:rsidR="00710F79">
              <w:rPr>
                <w:noProof/>
                <w:webHidden/>
              </w:rPr>
              <w:tab/>
            </w:r>
            <w:r w:rsidR="00710F79">
              <w:rPr>
                <w:noProof/>
                <w:webHidden/>
              </w:rPr>
              <w:fldChar w:fldCharType="begin"/>
            </w:r>
            <w:r w:rsidR="00710F79">
              <w:rPr>
                <w:noProof/>
                <w:webHidden/>
              </w:rPr>
              <w:instrText xml:space="preserve"> PAGEREF _Toc219063303 \h </w:instrText>
            </w:r>
            <w:r w:rsidR="00710F79">
              <w:rPr>
                <w:noProof/>
                <w:webHidden/>
              </w:rPr>
            </w:r>
            <w:r w:rsidR="00710F79">
              <w:rPr>
                <w:noProof/>
                <w:webHidden/>
              </w:rPr>
              <w:fldChar w:fldCharType="separate"/>
            </w:r>
            <w:r w:rsidR="00710F79">
              <w:rPr>
                <w:noProof/>
                <w:webHidden/>
              </w:rPr>
              <w:t>13</w:t>
            </w:r>
            <w:r w:rsidR="00710F79">
              <w:rPr>
                <w:noProof/>
                <w:webHidden/>
              </w:rPr>
              <w:fldChar w:fldCharType="end"/>
            </w:r>
          </w:hyperlink>
        </w:p>
        <w:p w14:paraId="27DA9D8B" w14:textId="2B8CF0B8" w:rsidR="00710F79" w:rsidRDefault="004E341B" w:rsidP="00710F79">
          <w:pPr>
            <w:pStyle w:val="TOC1"/>
            <w:rPr>
              <w:rFonts w:asciiTheme="minorHAnsi" w:eastAsiaTheme="minorEastAsia" w:hAnsiTheme="minorHAnsi" w:cstheme="minorBidi"/>
              <w:kern w:val="2"/>
              <w:szCs w:val="24"/>
              <w14:ligatures w14:val="standardContextual"/>
            </w:rPr>
          </w:pPr>
          <w:hyperlink w:anchor="_Toc219063304" w:history="1">
            <w:r w:rsidR="00710F79" w:rsidRPr="0096036A">
              <w:rPr>
                <w:rStyle w:val="Hyperlink"/>
              </w:rPr>
              <w:t>Part 2: Capital Investment Appraisal and Financing Strategy</w:t>
            </w:r>
            <w:r w:rsidR="00710F79">
              <w:rPr>
                <w:webHidden/>
              </w:rPr>
              <w:tab/>
            </w:r>
            <w:r w:rsidR="00710F79">
              <w:rPr>
                <w:webHidden/>
              </w:rPr>
              <w:fldChar w:fldCharType="begin"/>
            </w:r>
            <w:r w:rsidR="00710F79">
              <w:rPr>
                <w:webHidden/>
              </w:rPr>
              <w:instrText xml:space="preserve"> PAGEREF _Toc219063304 \h </w:instrText>
            </w:r>
            <w:r w:rsidR="00710F79">
              <w:rPr>
                <w:webHidden/>
              </w:rPr>
            </w:r>
            <w:r w:rsidR="00710F79">
              <w:rPr>
                <w:webHidden/>
              </w:rPr>
              <w:fldChar w:fldCharType="separate"/>
            </w:r>
            <w:r w:rsidR="00710F79">
              <w:rPr>
                <w:webHidden/>
              </w:rPr>
              <w:t>14</w:t>
            </w:r>
            <w:r w:rsidR="00710F79">
              <w:rPr>
                <w:webHidden/>
              </w:rPr>
              <w:fldChar w:fldCharType="end"/>
            </w:r>
          </w:hyperlink>
        </w:p>
        <w:p w14:paraId="08DAB23E" w14:textId="480A137F"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5" w:history="1">
            <w:r w:rsidR="00710F79" w:rsidRPr="0096036A">
              <w:rPr>
                <w:rStyle w:val="Hyperlink"/>
                <w:noProof/>
              </w:rPr>
              <w:t>Net Present Value Analysis</w:t>
            </w:r>
            <w:r w:rsidR="00710F79">
              <w:rPr>
                <w:noProof/>
                <w:webHidden/>
              </w:rPr>
              <w:tab/>
            </w:r>
            <w:r w:rsidR="00710F79">
              <w:rPr>
                <w:noProof/>
                <w:webHidden/>
              </w:rPr>
              <w:fldChar w:fldCharType="begin"/>
            </w:r>
            <w:r w:rsidR="00710F79">
              <w:rPr>
                <w:noProof/>
                <w:webHidden/>
              </w:rPr>
              <w:instrText xml:space="preserve"> PAGEREF _Toc219063305 \h </w:instrText>
            </w:r>
            <w:r w:rsidR="00710F79">
              <w:rPr>
                <w:noProof/>
                <w:webHidden/>
              </w:rPr>
            </w:r>
            <w:r w:rsidR="00710F79">
              <w:rPr>
                <w:noProof/>
                <w:webHidden/>
              </w:rPr>
              <w:fldChar w:fldCharType="separate"/>
            </w:r>
            <w:r w:rsidR="00710F79">
              <w:rPr>
                <w:noProof/>
                <w:webHidden/>
              </w:rPr>
              <w:t>14</w:t>
            </w:r>
            <w:r w:rsidR="00710F79">
              <w:rPr>
                <w:noProof/>
                <w:webHidden/>
              </w:rPr>
              <w:fldChar w:fldCharType="end"/>
            </w:r>
          </w:hyperlink>
        </w:p>
        <w:p w14:paraId="48F4B8B5" w14:textId="5D6218E6"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6" w:history="1">
            <w:r w:rsidR="00710F79" w:rsidRPr="0096036A">
              <w:rPr>
                <w:rStyle w:val="Hyperlink"/>
                <w:noProof/>
              </w:rPr>
              <w:t>Internal Rate of Return Analysis</w:t>
            </w:r>
            <w:r w:rsidR="00710F79">
              <w:rPr>
                <w:noProof/>
                <w:webHidden/>
              </w:rPr>
              <w:tab/>
            </w:r>
            <w:r w:rsidR="00710F79">
              <w:rPr>
                <w:noProof/>
                <w:webHidden/>
              </w:rPr>
              <w:fldChar w:fldCharType="begin"/>
            </w:r>
            <w:r w:rsidR="00710F79">
              <w:rPr>
                <w:noProof/>
                <w:webHidden/>
              </w:rPr>
              <w:instrText xml:space="preserve"> PAGEREF _Toc219063306 \h </w:instrText>
            </w:r>
            <w:r w:rsidR="00710F79">
              <w:rPr>
                <w:noProof/>
                <w:webHidden/>
              </w:rPr>
            </w:r>
            <w:r w:rsidR="00710F79">
              <w:rPr>
                <w:noProof/>
                <w:webHidden/>
              </w:rPr>
              <w:fldChar w:fldCharType="separate"/>
            </w:r>
            <w:r w:rsidR="00710F79">
              <w:rPr>
                <w:noProof/>
                <w:webHidden/>
              </w:rPr>
              <w:t>16</w:t>
            </w:r>
            <w:r w:rsidR="00710F79">
              <w:rPr>
                <w:noProof/>
                <w:webHidden/>
              </w:rPr>
              <w:fldChar w:fldCharType="end"/>
            </w:r>
          </w:hyperlink>
        </w:p>
        <w:p w14:paraId="6F5EDCD4" w14:textId="26E41B4E"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7" w:history="1">
            <w:r w:rsidR="00710F79" w:rsidRPr="0096036A">
              <w:rPr>
                <w:rStyle w:val="Hyperlink"/>
                <w:noProof/>
              </w:rPr>
              <w:t>Theoretical Justification for NPV Primacy</w:t>
            </w:r>
            <w:r w:rsidR="00710F79">
              <w:rPr>
                <w:noProof/>
                <w:webHidden/>
              </w:rPr>
              <w:tab/>
            </w:r>
            <w:r w:rsidR="00710F79">
              <w:rPr>
                <w:noProof/>
                <w:webHidden/>
              </w:rPr>
              <w:fldChar w:fldCharType="begin"/>
            </w:r>
            <w:r w:rsidR="00710F79">
              <w:rPr>
                <w:noProof/>
                <w:webHidden/>
              </w:rPr>
              <w:instrText xml:space="preserve"> PAGEREF _Toc219063307 \h </w:instrText>
            </w:r>
            <w:r w:rsidR="00710F79">
              <w:rPr>
                <w:noProof/>
                <w:webHidden/>
              </w:rPr>
            </w:r>
            <w:r w:rsidR="00710F79">
              <w:rPr>
                <w:noProof/>
                <w:webHidden/>
              </w:rPr>
              <w:fldChar w:fldCharType="separate"/>
            </w:r>
            <w:r w:rsidR="00710F79">
              <w:rPr>
                <w:noProof/>
                <w:webHidden/>
              </w:rPr>
              <w:t>17</w:t>
            </w:r>
            <w:r w:rsidR="00710F79">
              <w:rPr>
                <w:noProof/>
                <w:webHidden/>
              </w:rPr>
              <w:fldChar w:fldCharType="end"/>
            </w:r>
          </w:hyperlink>
        </w:p>
        <w:p w14:paraId="254AB27E" w14:textId="2B349F88"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8" w:history="1">
            <w:r w:rsidR="00710F79" w:rsidRPr="0096036A">
              <w:rPr>
                <w:rStyle w:val="Hyperlink"/>
                <w:noProof/>
              </w:rPr>
              <w:t>Continued Popularity of Non-Discounting Methods</w:t>
            </w:r>
            <w:r w:rsidR="00710F79">
              <w:rPr>
                <w:noProof/>
                <w:webHidden/>
              </w:rPr>
              <w:tab/>
            </w:r>
            <w:r w:rsidR="00710F79">
              <w:rPr>
                <w:noProof/>
                <w:webHidden/>
              </w:rPr>
              <w:fldChar w:fldCharType="begin"/>
            </w:r>
            <w:r w:rsidR="00710F79">
              <w:rPr>
                <w:noProof/>
                <w:webHidden/>
              </w:rPr>
              <w:instrText xml:space="preserve"> PAGEREF _Toc219063308 \h </w:instrText>
            </w:r>
            <w:r w:rsidR="00710F79">
              <w:rPr>
                <w:noProof/>
                <w:webHidden/>
              </w:rPr>
            </w:r>
            <w:r w:rsidR="00710F79">
              <w:rPr>
                <w:noProof/>
                <w:webHidden/>
              </w:rPr>
              <w:fldChar w:fldCharType="separate"/>
            </w:r>
            <w:r w:rsidR="00710F79">
              <w:rPr>
                <w:noProof/>
                <w:webHidden/>
              </w:rPr>
              <w:t>18</w:t>
            </w:r>
            <w:r w:rsidR="00710F79">
              <w:rPr>
                <w:noProof/>
                <w:webHidden/>
              </w:rPr>
              <w:fldChar w:fldCharType="end"/>
            </w:r>
          </w:hyperlink>
        </w:p>
        <w:p w14:paraId="3DAE60D1" w14:textId="4BACE7E9"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09" w:history="1">
            <w:r w:rsidR="00710F79" w:rsidRPr="0096036A">
              <w:rPr>
                <w:rStyle w:val="Hyperlink"/>
                <w:noProof/>
              </w:rPr>
              <w:t>Additional Investment Considerations</w:t>
            </w:r>
            <w:r w:rsidR="00710F79">
              <w:rPr>
                <w:noProof/>
                <w:webHidden/>
              </w:rPr>
              <w:tab/>
            </w:r>
            <w:r w:rsidR="00710F79">
              <w:rPr>
                <w:noProof/>
                <w:webHidden/>
              </w:rPr>
              <w:fldChar w:fldCharType="begin"/>
            </w:r>
            <w:r w:rsidR="00710F79">
              <w:rPr>
                <w:noProof/>
                <w:webHidden/>
              </w:rPr>
              <w:instrText xml:space="preserve"> PAGEREF _Toc219063309 \h </w:instrText>
            </w:r>
            <w:r w:rsidR="00710F79">
              <w:rPr>
                <w:noProof/>
                <w:webHidden/>
              </w:rPr>
            </w:r>
            <w:r w:rsidR="00710F79">
              <w:rPr>
                <w:noProof/>
                <w:webHidden/>
              </w:rPr>
              <w:fldChar w:fldCharType="separate"/>
            </w:r>
            <w:r w:rsidR="00710F79">
              <w:rPr>
                <w:noProof/>
                <w:webHidden/>
              </w:rPr>
              <w:t>19</w:t>
            </w:r>
            <w:r w:rsidR="00710F79">
              <w:rPr>
                <w:noProof/>
                <w:webHidden/>
              </w:rPr>
              <w:fldChar w:fldCharType="end"/>
            </w:r>
          </w:hyperlink>
        </w:p>
        <w:p w14:paraId="65C511FB" w14:textId="7F75FBD7"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10" w:history="1">
            <w:r w:rsidR="00710F79" w:rsidRPr="0096036A">
              <w:rPr>
                <w:rStyle w:val="Hyperlink"/>
                <w:noProof/>
              </w:rPr>
              <w:t>Capital Rationing Analysis</w:t>
            </w:r>
            <w:r w:rsidR="00710F79">
              <w:rPr>
                <w:noProof/>
                <w:webHidden/>
              </w:rPr>
              <w:tab/>
            </w:r>
            <w:r w:rsidR="00710F79">
              <w:rPr>
                <w:noProof/>
                <w:webHidden/>
              </w:rPr>
              <w:fldChar w:fldCharType="begin"/>
            </w:r>
            <w:r w:rsidR="00710F79">
              <w:rPr>
                <w:noProof/>
                <w:webHidden/>
              </w:rPr>
              <w:instrText xml:space="preserve"> PAGEREF _Toc219063310 \h </w:instrText>
            </w:r>
            <w:r w:rsidR="00710F79">
              <w:rPr>
                <w:noProof/>
                <w:webHidden/>
              </w:rPr>
            </w:r>
            <w:r w:rsidR="00710F79">
              <w:rPr>
                <w:noProof/>
                <w:webHidden/>
              </w:rPr>
              <w:fldChar w:fldCharType="separate"/>
            </w:r>
            <w:r w:rsidR="00710F79">
              <w:rPr>
                <w:noProof/>
                <w:webHidden/>
              </w:rPr>
              <w:t>20</w:t>
            </w:r>
            <w:r w:rsidR="00710F79">
              <w:rPr>
                <w:noProof/>
                <w:webHidden/>
              </w:rPr>
              <w:fldChar w:fldCharType="end"/>
            </w:r>
          </w:hyperlink>
        </w:p>
        <w:p w14:paraId="544FC524" w14:textId="24C6E7DD"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11" w:history="1">
            <w:r w:rsidR="00710F79" w:rsidRPr="0096036A">
              <w:rPr>
                <w:rStyle w:val="Hyperlink"/>
                <w:noProof/>
              </w:rPr>
              <w:t>Financing Recommendations</w:t>
            </w:r>
            <w:r w:rsidR="00710F79">
              <w:rPr>
                <w:noProof/>
                <w:webHidden/>
              </w:rPr>
              <w:tab/>
            </w:r>
            <w:r w:rsidR="00710F79">
              <w:rPr>
                <w:noProof/>
                <w:webHidden/>
              </w:rPr>
              <w:fldChar w:fldCharType="begin"/>
            </w:r>
            <w:r w:rsidR="00710F79">
              <w:rPr>
                <w:noProof/>
                <w:webHidden/>
              </w:rPr>
              <w:instrText xml:space="preserve"> PAGEREF _Toc219063311 \h </w:instrText>
            </w:r>
            <w:r w:rsidR="00710F79">
              <w:rPr>
                <w:noProof/>
                <w:webHidden/>
              </w:rPr>
            </w:r>
            <w:r w:rsidR="00710F79">
              <w:rPr>
                <w:noProof/>
                <w:webHidden/>
              </w:rPr>
              <w:fldChar w:fldCharType="separate"/>
            </w:r>
            <w:r w:rsidR="00710F79">
              <w:rPr>
                <w:noProof/>
                <w:webHidden/>
              </w:rPr>
              <w:t>21</w:t>
            </w:r>
            <w:r w:rsidR="00710F79">
              <w:rPr>
                <w:noProof/>
                <w:webHidden/>
              </w:rPr>
              <w:fldChar w:fldCharType="end"/>
            </w:r>
          </w:hyperlink>
        </w:p>
        <w:p w14:paraId="134AD2B1" w14:textId="5C03BA0F" w:rsidR="00710F79" w:rsidRDefault="004E341B" w:rsidP="00710F79">
          <w:pPr>
            <w:pStyle w:val="TOC1"/>
            <w:rPr>
              <w:rFonts w:asciiTheme="minorHAnsi" w:eastAsiaTheme="minorEastAsia" w:hAnsiTheme="minorHAnsi" w:cstheme="minorBidi"/>
              <w:kern w:val="2"/>
              <w:szCs w:val="24"/>
              <w14:ligatures w14:val="standardContextual"/>
            </w:rPr>
          </w:pPr>
          <w:hyperlink w:anchor="_Toc219063312" w:history="1">
            <w:r w:rsidR="00710F79" w:rsidRPr="0096036A">
              <w:rPr>
                <w:rStyle w:val="Hyperlink"/>
              </w:rPr>
              <w:t>Conclusion</w:t>
            </w:r>
            <w:r w:rsidR="00710F79">
              <w:rPr>
                <w:webHidden/>
              </w:rPr>
              <w:tab/>
            </w:r>
            <w:r w:rsidR="00710F79">
              <w:rPr>
                <w:webHidden/>
              </w:rPr>
              <w:fldChar w:fldCharType="begin"/>
            </w:r>
            <w:r w:rsidR="00710F79">
              <w:rPr>
                <w:webHidden/>
              </w:rPr>
              <w:instrText xml:space="preserve"> PAGEREF _Toc219063312 \h </w:instrText>
            </w:r>
            <w:r w:rsidR="00710F79">
              <w:rPr>
                <w:webHidden/>
              </w:rPr>
            </w:r>
            <w:r w:rsidR="00710F79">
              <w:rPr>
                <w:webHidden/>
              </w:rPr>
              <w:fldChar w:fldCharType="separate"/>
            </w:r>
            <w:r w:rsidR="00710F79">
              <w:rPr>
                <w:webHidden/>
              </w:rPr>
              <w:t>22</w:t>
            </w:r>
            <w:r w:rsidR="00710F79">
              <w:rPr>
                <w:webHidden/>
              </w:rPr>
              <w:fldChar w:fldCharType="end"/>
            </w:r>
          </w:hyperlink>
        </w:p>
        <w:p w14:paraId="38819742" w14:textId="7499EFC1" w:rsidR="00710F79" w:rsidRDefault="004E341B" w:rsidP="00710F79">
          <w:pPr>
            <w:pStyle w:val="TOC1"/>
            <w:rPr>
              <w:rFonts w:asciiTheme="minorHAnsi" w:eastAsiaTheme="minorEastAsia" w:hAnsiTheme="minorHAnsi" w:cstheme="minorBidi"/>
              <w:kern w:val="2"/>
              <w:szCs w:val="24"/>
              <w14:ligatures w14:val="standardContextual"/>
            </w:rPr>
          </w:pPr>
          <w:hyperlink w:anchor="_Toc219063313" w:history="1">
            <w:r w:rsidR="00710F79" w:rsidRPr="0096036A">
              <w:rPr>
                <w:rStyle w:val="Hyperlink"/>
              </w:rPr>
              <w:t>References</w:t>
            </w:r>
            <w:r w:rsidR="00710F79">
              <w:rPr>
                <w:webHidden/>
              </w:rPr>
              <w:tab/>
            </w:r>
            <w:r w:rsidR="00710F79">
              <w:rPr>
                <w:webHidden/>
              </w:rPr>
              <w:fldChar w:fldCharType="begin"/>
            </w:r>
            <w:r w:rsidR="00710F79">
              <w:rPr>
                <w:webHidden/>
              </w:rPr>
              <w:instrText xml:space="preserve"> PAGEREF _Toc219063313 \h </w:instrText>
            </w:r>
            <w:r w:rsidR="00710F79">
              <w:rPr>
                <w:webHidden/>
              </w:rPr>
            </w:r>
            <w:r w:rsidR="00710F79">
              <w:rPr>
                <w:webHidden/>
              </w:rPr>
              <w:fldChar w:fldCharType="separate"/>
            </w:r>
            <w:r w:rsidR="00710F79">
              <w:rPr>
                <w:webHidden/>
              </w:rPr>
              <w:t>24</w:t>
            </w:r>
            <w:r w:rsidR="00710F79">
              <w:rPr>
                <w:webHidden/>
              </w:rPr>
              <w:fldChar w:fldCharType="end"/>
            </w:r>
          </w:hyperlink>
        </w:p>
        <w:p w14:paraId="5E949957" w14:textId="36F3096E" w:rsidR="00710F79" w:rsidRDefault="004E341B" w:rsidP="00710F79">
          <w:pPr>
            <w:pStyle w:val="TOC1"/>
            <w:rPr>
              <w:rFonts w:asciiTheme="minorHAnsi" w:eastAsiaTheme="minorEastAsia" w:hAnsiTheme="minorHAnsi" w:cstheme="minorBidi"/>
              <w:kern w:val="2"/>
              <w:szCs w:val="24"/>
              <w14:ligatures w14:val="standardContextual"/>
            </w:rPr>
          </w:pPr>
          <w:hyperlink w:anchor="_Toc219063314" w:history="1">
            <w:r w:rsidR="00710F79" w:rsidRPr="0096036A">
              <w:rPr>
                <w:rStyle w:val="Hyperlink"/>
              </w:rPr>
              <w:t>Appendices</w:t>
            </w:r>
            <w:r w:rsidR="00710F79">
              <w:rPr>
                <w:webHidden/>
              </w:rPr>
              <w:tab/>
            </w:r>
            <w:r w:rsidR="00710F79">
              <w:rPr>
                <w:webHidden/>
              </w:rPr>
              <w:fldChar w:fldCharType="begin"/>
            </w:r>
            <w:r w:rsidR="00710F79">
              <w:rPr>
                <w:webHidden/>
              </w:rPr>
              <w:instrText xml:space="preserve"> PAGEREF _Toc219063314 \h </w:instrText>
            </w:r>
            <w:r w:rsidR="00710F79">
              <w:rPr>
                <w:webHidden/>
              </w:rPr>
            </w:r>
            <w:r w:rsidR="00710F79">
              <w:rPr>
                <w:webHidden/>
              </w:rPr>
              <w:fldChar w:fldCharType="separate"/>
            </w:r>
            <w:r w:rsidR="00710F79">
              <w:rPr>
                <w:webHidden/>
              </w:rPr>
              <w:t>29</w:t>
            </w:r>
            <w:r w:rsidR="00710F79">
              <w:rPr>
                <w:webHidden/>
              </w:rPr>
              <w:fldChar w:fldCharType="end"/>
            </w:r>
          </w:hyperlink>
        </w:p>
        <w:p w14:paraId="05CB7AB2" w14:textId="18786131"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15" w:history="1">
            <w:r w:rsidR="00710F79" w:rsidRPr="0096036A">
              <w:rPr>
                <w:rStyle w:val="Hyperlink"/>
                <w:noProof/>
              </w:rPr>
              <w:t>Appendix A: Income Statement</w:t>
            </w:r>
            <w:r w:rsidR="00710F79">
              <w:rPr>
                <w:noProof/>
                <w:webHidden/>
              </w:rPr>
              <w:tab/>
            </w:r>
            <w:r w:rsidR="00710F79">
              <w:rPr>
                <w:noProof/>
                <w:webHidden/>
              </w:rPr>
              <w:fldChar w:fldCharType="begin"/>
            </w:r>
            <w:r w:rsidR="00710F79">
              <w:rPr>
                <w:noProof/>
                <w:webHidden/>
              </w:rPr>
              <w:instrText xml:space="preserve"> PAGEREF _Toc219063315 \h </w:instrText>
            </w:r>
            <w:r w:rsidR="00710F79">
              <w:rPr>
                <w:noProof/>
                <w:webHidden/>
              </w:rPr>
            </w:r>
            <w:r w:rsidR="00710F79">
              <w:rPr>
                <w:noProof/>
                <w:webHidden/>
              </w:rPr>
              <w:fldChar w:fldCharType="separate"/>
            </w:r>
            <w:r w:rsidR="00710F79">
              <w:rPr>
                <w:noProof/>
                <w:webHidden/>
              </w:rPr>
              <w:t>29</w:t>
            </w:r>
            <w:r w:rsidR="00710F79">
              <w:rPr>
                <w:noProof/>
                <w:webHidden/>
              </w:rPr>
              <w:fldChar w:fldCharType="end"/>
            </w:r>
          </w:hyperlink>
        </w:p>
        <w:p w14:paraId="6A2EBB34" w14:textId="612831B2"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16" w:history="1">
            <w:r w:rsidR="00710F79" w:rsidRPr="0096036A">
              <w:rPr>
                <w:rStyle w:val="Hyperlink"/>
                <w:noProof/>
              </w:rPr>
              <w:t>Appendix B: Balance Sheet</w:t>
            </w:r>
            <w:r w:rsidR="00710F79">
              <w:rPr>
                <w:noProof/>
                <w:webHidden/>
              </w:rPr>
              <w:tab/>
            </w:r>
            <w:r w:rsidR="00710F79">
              <w:rPr>
                <w:noProof/>
                <w:webHidden/>
              </w:rPr>
              <w:fldChar w:fldCharType="begin"/>
            </w:r>
            <w:r w:rsidR="00710F79">
              <w:rPr>
                <w:noProof/>
                <w:webHidden/>
              </w:rPr>
              <w:instrText xml:space="preserve"> PAGEREF _Toc219063316 \h </w:instrText>
            </w:r>
            <w:r w:rsidR="00710F79">
              <w:rPr>
                <w:noProof/>
                <w:webHidden/>
              </w:rPr>
            </w:r>
            <w:r w:rsidR="00710F79">
              <w:rPr>
                <w:noProof/>
                <w:webHidden/>
              </w:rPr>
              <w:fldChar w:fldCharType="separate"/>
            </w:r>
            <w:r w:rsidR="00710F79">
              <w:rPr>
                <w:noProof/>
                <w:webHidden/>
              </w:rPr>
              <w:t>29</w:t>
            </w:r>
            <w:r w:rsidR="00710F79">
              <w:rPr>
                <w:noProof/>
                <w:webHidden/>
              </w:rPr>
              <w:fldChar w:fldCharType="end"/>
            </w:r>
          </w:hyperlink>
        </w:p>
        <w:p w14:paraId="1DD0B11B" w14:textId="5B549F70" w:rsidR="00710F79" w:rsidRDefault="004E341B">
          <w:pPr>
            <w:pStyle w:val="TOC2"/>
            <w:tabs>
              <w:tab w:val="right" w:leader="dot" w:pos="9016"/>
            </w:tabs>
            <w:rPr>
              <w:rFonts w:asciiTheme="minorHAnsi" w:eastAsiaTheme="minorEastAsia" w:hAnsiTheme="minorHAnsi" w:cstheme="minorBidi"/>
              <w:noProof/>
              <w:kern w:val="2"/>
              <w:szCs w:val="24"/>
              <w14:ligatures w14:val="standardContextual"/>
            </w:rPr>
          </w:pPr>
          <w:hyperlink w:anchor="_Toc219063317" w:history="1">
            <w:r w:rsidR="00710F79" w:rsidRPr="0096036A">
              <w:rPr>
                <w:rStyle w:val="Hyperlink"/>
                <w:noProof/>
              </w:rPr>
              <w:t>Appendix C: Financial Ratio Calculations for Whitbread PLC</w:t>
            </w:r>
            <w:r w:rsidR="00710F79">
              <w:rPr>
                <w:noProof/>
                <w:webHidden/>
              </w:rPr>
              <w:tab/>
            </w:r>
            <w:r w:rsidR="00710F79">
              <w:rPr>
                <w:noProof/>
                <w:webHidden/>
              </w:rPr>
              <w:fldChar w:fldCharType="begin"/>
            </w:r>
            <w:r w:rsidR="00710F79">
              <w:rPr>
                <w:noProof/>
                <w:webHidden/>
              </w:rPr>
              <w:instrText xml:space="preserve"> PAGEREF _Toc219063317 \h </w:instrText>
            </w:r>
            <w:r w:rsidR="00710F79">
              <w:rPr>
                <w:noProof/>
                <w:webHidden/>
              </w:rPr>
            </w:r>
            <w:r w:rsidR="00710F79">
              <w:rPr>
                <w:noProof/>
                <w:webHidden/>
              </w:rPr>
              <w:fldChar w:fldCharType="separate"/>
            </w:r>
            <w:r w:rsidR="00710F79">
              <w:rPr>
                <w:noProof/>
                <w:webHidden/>
              </w:rPr>
              <w:t>30</w:t>
            </w:r>
            <w:r w:rsidR="00710F79">
              <w:rPr>
                <w:noProof/>
                <w:webHidden/>
              </w:rPr>
              <w:fldChar w:fldCharType="end"/>
            </w:r>
          </w:hyperlink>
        </w:p>
        <w:p w14:paraId="0B37C784" w14:textId="6A270BE8" w:rsidR="003133DE" w:rsidRDefault="003133DE">
          <w:r>
            <w:rPr>
              <w:b/>
              <w:bCs/>
              <w:noProof/>
            </w:rPr>
            <w:fldChar w:fldCharType="end"/>
          </w:r>
        </w:p>
      </w:sdtContent>
    </w:sdt>
    <w:p w14:paraId="4D4AE9EC" w14:textId="77777777" w:rsidR="003133DE" w:rsidRDefault="003133DE">
      <w:r>
        <w:br w:type="page"/>
      </w:r>
    </w:p>
    <w:p w14:paraId="19E09A1B" w14:textId="77777777" w:rsidR="003133DE" w:rsidRDefault="003133DE" w:rsidP="003133DE">
      <w:pPr>
        <w:pStyle w:val="Heading1"/>
        <w:spacing w:after="240"/>
        <w:sectPr w:rsidR="003133DE" w:rsidSect="00710F79">
          <w:headerReference w:type="default" r:id="rId9"/>
          <w:pgSz w:w="11906" w:h="16838" w:code="9"/>
          <w:pgMar w:top="1440" w:right="1440" w:bottom="1440" w:left="1440" w:header="720" w:footer="720" w:gutter="0"/>
          <w:pgNumType w:start="1"/>
          <w:cols w:space="720"/>
          <w:docGrid w:linePitch="360"/>
        </w:sectPr>
      </w:pPr>
    </w:p>
    <w:p w14:paraId="3D303C44" w14:textId="733B842F" w:rsidR="003133DE" w:rsidRDefault="003133DE" w:rsidP="003133DE">
      <w:pPr>
        <w:pStyle w:val="Heading1"/>
        <w:spacing w:after="240"/>
      </w:pPr>
      <w:bookmarkStart w:id="1" w:name="_Toc219063295"/>
      <w:r>
        <w:lastRenderedPageBreak/>
        <w:t>Introduction</w:t>
      </w:r>
      <w:bookmarkEnd w:id="1"/>
    </w:p>
    <w:p w14:paraId="4C35EF35" w14:textId="41C1F64D" w:rsidR="003133DE" w:rsidRDefault="003133DE" w:rsidP="003133DE">
      <w:r>
        <w:t xml:space="preserve">Effective corporate financial management is based on financial analysis and capital investment decision-making, especially for </w:t>
      </w:r>
      <w:r w:rsidR="00802B7C">
        <w:t>organizations</w:t>
      </w:r>
      <w:r>
        <w:t xml:space="preserve"> that have a capital-intensive and competitive industry environment. The directors must not only </w:t>
      </w:r>
      <w:proofErr w:type="spellStart"/>
      <w:r>
        <w:t>analyse</w:t>
      </w:r>
      <w:proofErr w:type="spellEnd"/>
      <w:r>
        <w:t xml:space="preserve"> the previous financial performance, but must also make knowledgeable strategic choices that will guarantee sustainable growth, resource efficiency, and the wealth </w:t>
      </w:r>
      <w:r w:rsidR="00802B7C">
        <w:t>maximization</w:t>
      </w:r>
      <w:r>
        <w:t xml:space="preserve"> of shareholders. This report will respond to these needs as it will provide a combination of financial statement analysis and investment appraisal techniques to enable informed decisions at the board level.</w:t>
      </w:r>
    </w:p>
    <w:p w14:paraId="4C269F84" w14:textId="77777777" w:rsidR="003133DE" w:rsidRDefault="003133DE" w:rsidP="003133DE">
      <w:r>
        <w:t>Part 1 of this report is a detailed financial performance analysis of Whitbread PLC, which is a member of the FTSE 100 Index and one of the top hospitality companies in the UK. Based on the latest two years of published financial statements, important profitability, liquidity, gearing, efficiency and investor ratios are computed and critically evaluated. This analysis is aimed at determining the financial health of Whitbread, its operations, and its financial risks and shareholder value creation over time. The interpretation of changes in ratio performance is in the context of industry conditions, inflationary pressure, decisions related to capital structure and strategy of operation. The analysis also acknowledges the historical nature of the ratio analysis and its inherent weaknesses that include its inability to capture qualitative factors such as the strength of the brand and the management ability. Based on the findings, some practical recommendations are made to improve the financial management and long-term performance.</w:t>
      </w:r>
    </w:p>
    <w:p w14:paraId="00C26DF0" w14:textId="77777777" w:rsidR="003133DE" w:rsidRDefault="003133DE" w:rsidP="003133DE">
      <w:r>
        <w:t xml:space="preserve">Part 2 brings attention to the future-oriented investment decision-making rather than the past performance, based on a hypothetical case study of Westward PLC, a manufacturing firm that is finding strategic expansion. There are three mutually exclusive investment choices evaluated by use of the discounted cash flow method, mainly Net Present Value (NPV) and Internal Rate of Return (IRR) over four years. The analysis reflects taxation, capital allowances and cost of capital of the company to make it realistic and accurate. The rationale underlying the primacy of NPV as the method of choice in investment appraisal is also </w:t>
      </w:r>
      <w:proofErr w:type="spellStart"/>
      <w:r>
        <w:t>theorised</w:t>
      </w:r>
      <w:proofErr w:type="spellEnd"/>
      <w:r>
        <w:t>, and the persistence of non-discounting methods of investment appraisal, like payback period and accounting rate of return, is also explained.</w:t>
      </w:r>
    </w:p>
    <w:p w14:paraId="3E0041A4" w14:textId="77777777" w:rsidR="003133DE" w:rsidRDefault="003133DE" w:rsidP="003133DE">
      <w:r>
        <w:t xml:space="preserve">Moreover, the report covers capital rationing with a limited investment budget and determines the most suitable investment policy in the case of divisible projects. The report also ends with </w:t>
      </w:r>
      <w:r>
        <w:lastRenderedPageBreak/>
        <w:t xml:space="preserve">financing suggestions on the proposed investment </w:t>
      </w:r>
      <w:proofErr w:type="spellStart"/>
      <w:r>
        <w:t>programme</w:t>
      </w:r>
      <w:proofErr w:type="spellEnd"/>
      <w:r>
        <w:t>, where the merits and demerits of retained earnings, debt finance and equity finance are critically evaluated.</w:t>
      </w:r>
    </w:p>
    <w:p w14:paraId="24F4072B" w14:textId="2AE305ED" w:rsidR="003133DE" w:rsidRDefault="003133DE" w:rsidP="003133DE">
      <w:pPr>
        <w:rPr>
          <w:rFonts w:eastAsiaTheme="majorEastAsia" w:cstheme="majorBidi"/>
          <w:b/>
          <w:sz w:val="32"/>
          <w:szCs w:val="32"/>
        </w:rPr>
      </w:pPr>
      <w:r>
        <w:t>In general, the role of this report is to give directors a fair, analytical and practical set of guidelines in considering and benchmarking financial performance and making value-increasing investment choices.</w:t>
      </w:r>
      <w:r>
        <w:br w:type="page"/>
      </w:r>
    </w:p>
    <w:p w14:paraId="7225EC0C" w14:textId="33001360" w:rsidR="007E209F" w:rsidRDefault="007E209F" w:rsidP="003D47E8">
      <w:pPr>
        <w:pStyle w:val="Heading1"/>
      </w:pPr>
      <w:bookmarkStart w:id="2" w:name="_Toc219063296"/>
      <w:r>
        <w:lastRenderedPageBreak/>
        <w:t>Part 1</w:t>
      </w:r>
      <w:r w:rsidR="0015696E">
        <w:t xml:space="preserve">: </w:t>
      </w:r>
      <w:r w:rsidR="0015696E" w:rsidRPr="0015696E">
        <w:t xml:space="preserve">Financial Statement and </w:t>
      </w:r>
      <w:r w:rsidR="0015696E" w:rsidRPr="003D47E8">
        <w:t>Ratio</w:t>
      </w:r>
      <w:r w:rsidR="0015696E" w:rsidRPr="0015696E">
        <w:t xml:space="preserve"> Analysis</w:t>
      </w:r>
      <w:bookmarkEnd w:id="2"/>
    </w:p>
    <w:p w14:paraId="5A0387C7" w14:textId="77777777" w:rsidR="00E33E2C" w:rsidRPr="00ED5ADE" w:rsidRDefault="00E33E2C" w:rsidP="00F30FF8">
      <w:pPr>
        <w:pStyle w:val="Heading2"/>
        <w:spacing w:after="240"/>
      </w:pPr>
      <w:bookmarkStart w:id="3" w:name="_Toc219063297"/>
      <w:r w:rsidRPr="00ED5ADE">
        <w:t>Profitability Analysis</w:t>
      </w:r>
      <w:bookmarkEnd w:id="3"/>
    </w:p>
    <w:p w14:paraId="547CC2BF" w14:textId="039CAC85" w:rsidR="00E33E2C" w:rsidRDefault="00E33E2C" w:rsidP="00E33E2C">
      <w:r>
        <w:t xml:space="preserve">The profitability ratios of Whitbread PLC give an insight into the capacity of the firm to earn profits out of its operation and capital </w:t>
      </w:r>
      <w:proofErr w:type="spellStart"/>
      <w:r>
        <w:t>utilised</w:t>
      </w:r>
      <w:proofErr w:type="spellEnd"/>
      <w:r>
        <w:t xml:space="preserve"> (see Appendix A). The Operating Profit Margin indicates the ratio of the revenue retained as operating profit before interest and tax, which is one of the primary measures of efficiency of operations (Drury, 2020). The operating margin of Whitbread fell a bit in comparison with 1</w:t>
      </w:r>
      <w:r w:rsidR="00B50FB2">
        <w:t>9.08%</w:t>
      </w:r>
      <w:r>
        <w:t xml:space="preserve"> in 2023/24 to </w:t>
      </w:r>
      <w:r w:rsidR="00B50FB2">
        <w:t>17.59%</w:t>
      </w:r>
      <w:r>
        <w:t xml:space="preserve"> in 2024/25. It is a small 0.5 percentage point fall, which increases </w:t>
      </w:r>
      <w:proofErr w:type="spellStart"/>
      <w:r>
        <w:t>labour</w:t>
      </w:r>
      <w:proofErr w:type="spellEnd"/>
      <w:r>
        <w:t>, utilities, and food prices as a result of inflationary pressures on the UK hospitality industry (Hospitality UK, 2024).</w:t>
      </w:r>
    </w:p>
    <w:p w14:paraId="5147F0FA" w14:textId="77777777" w:rsidR="00E33E2C" w:rsidRDefault="00E33E2C" w:rsidP="00E33E2C">
      <w:r>
        <w:t>Although this has declined, the operating margins of Whitbread are still high compared to the industry standards. According to Kumar and George (2020), hotel operators earn margins ranging between 10 and 20%, and premium operators are on the higher side. The fact that Whitbread remains above 15% thus means that it manages its costs and has pricing power. The added ability of accommodation and food services, which is integrated with it, also promotes the diversification of revenue and margin stability (Whitbread PLC, 2025).</w:t>
      </w:r>
    </w:p>
    <w:p w14:paraId="4FF48D9F" w14:textId="1E27F739" w:rsidR="00E33E2C" w:rsidRDefault="00E33E2C" w:rsidP="00E33E2C">
      <w:r>
        <w:t xml:space="preserve">The Net Profit Margin, which calculates profitability after all the expenses, including finance costs and taxation, went up marginally between </w:t>
      </w:r>
      <w:r w:rsidR="00B50FB2">
        <w:t>10.55</w:t>
      </w:r>
      <w:r>
        <w:t xml:space="preserve"> in 2023/24 and </w:t>
      </w:r>
      <w:r w:rsidR="00B50FB2">
        <w:t>8.68</w:t>
      </w:r>
      <w:r>
        <w:t xml:space="preserve"> in 2024/25. This is a </w:t>
      </w:r>
      <w:r w:rsidR="00B50FB2">
        <w:t>weak</w:t>
      </w:r>
      <w:r>
        <w:t xml:space="preserve"> financial management improvement, with operating margin pressure, which is a </w:t>
      </w:r>
      <w:r w:rsidR="00B50FB2">
        <w:t>negative</w:t>
      </w:r>
      <w:r>
        <w:t xml:space="preserve"> result of debt refinancing that was done in 2024/ 25 and resulted in </w:t>
      </w:r>
      <w:r w:rsidR="00B50FB2">
        <w:t>enhanced</w:t>
      </w:r>
      <w:r>
        <w:t xml:space="preserve"> financing costs. According to Palepu </w:t>
      </w:r>
      <w:r w:rsidR="003133DE" w:rsidRPr="003133DE">
        <w:rPr>
          <w:i/>
          <w:iCs/>
        </w:rPr>
        <w:t>et al.</w:t>
      </w:r>
      <w:r>
        <w:t xml:space="preserve"> (2020), net margins are essential signs of the sustainability of the business in the long term.</w:t>
      </w:r>
    </w:p>
    <w:p w14:paraId="73E9EEB1" w14:textId="1870F72A" w:rsidR="00E33E2C" w:rsidRDefault="00E33E2C" w:rsidP="00E33E2C">
      <w:r>
        <w:t xml:space="preserve">Return on Assets (ROA) evaluates the efficiency of the management to </w:t>
      </w:r>
      <w:proofErr w:type="spellStart"/>
      <w:r>
        <w:t>utilise</w:t>
      </w:r>
      <w:proofErr w:type="spellEnd"/>
      <w:r>
        <w:t xml:space="preserve"> all assets to make profits (</w:t>
      </w:r>
      <w:proofErr w:type="spellStart"/>
      <w:r>
        <w:t>Atrill</w:t>
      </w:r>
      <w:proofErr w:type="spellEnd"/>
      <w:r>
        <w:t xml:space="preserve">, 2019). Whitbread ROA increased by </w:t>
      </w:r>
      <w:r w:rsidR="00B50FB2">
        <w:t>3.28</w:t>
      </w:r>
      <w:r>
        <w:t xml:space="preserve">% to </w:t>
      </w:r>
      <w:r w:rsidR="00B50FB2">
        <w:t>2.56</w:t>
      </w:r>
      <w:r>
        <w:t xml:space="preserve">%, which is </w:t>
      </w:r>
      <w:r w:rsidR="00B50FB2">
        <w:t xml:space="preserve">not </w:t>
      </w:r>
      <w:r>
        <w:t xml:space="preserve">better </w:t>
      </w:r>
      <w:proofErr w:type="spellStart"/>
      <w:r>
        <w:t>utilisation</w:t>
      </w:r>
      <w:proofErr w:type="spellEnd"/>
      <w:r>
        <w:t xml:space="preserve"> of assets in an industry that is capital-intensive. According to Zhang </w:t>
      </w:r>
      <w:r w:rsidR="003133DE" w:rsidRPr="003133DE">
        <w:rPr>
          <w:i/>
          <w:iCs/>
        </w:rPr>
        <w:t>et al.</w:t>
      </w:r>
      <w:r>
        <w:t xml:space="preserve"> (2021), the ROA of the established hotel operators is usually between 4 and 7%, which places Whitbread within the industry average.</w:t>
      </w:r>
    </w:p>
    <w:p w14:paraId="7076E5A6" w14:textId="7E00955F" w:rsidR="00E33E2C" w:rsidRDefault="00E33E2C" w:rsidP="00E33E2C">
      <w:r>
        <w:t xml:space="preserve">The ROE has improved since it was </w:t>
      </w:r>
      <w:r w:rsidR="00B50FB2">
        <w:t>8.87</w:t>
      </w:r>
      <w:r>
        <w:t xml:space="preserve"> in 2023/24 to </w:t>
      </w:r>
      <w:r w:rsidR="00B50FB2">
        <w:t>7.61</w:t>
      </w:r>
      <w:r>
        <w:t xml:space="preserve"> in 2024/25, indicating a </w:t>
      </w:r>
      <w:r w:rsidR="00B50FB2">
        <w:t>lower</w:t>
      </w:r>
      <w:r>
        <w:t xml:space="preserve"> shareholder value creation. This </w:t>
      </w:r>
      <w:r w:rsidR="00B50FB2">
        <w:t>decrease</w:t>
      </w:r>
      <w:r>
        <w:t xml:space="preserve"> is an indication of </w:t>
      </w:r>
      <w:r w:rsidR="00B50FB2">
        <w:t>dec</w:t>
      </w:r>
      <w:r>
        <w:t xml:space="preserve">reased profitability and management of capital structure. DuPont analysis demonstrates that the ROE of Whitbread has </w:t>
      </w:r>
      <w:r>
        <w:lastRenderedPageBreak/>
        <w:t>a</w:t>
      </w:r>
      <w:r w:rsidR="00B50FB2">
        <w:t xml:space="preserve"> dis</w:t>
      </w:r>
      <w:r>
        <w:t xml:space="preserve">advantage of a reasonable balance of Margins, efficiency of asset and fair leverage (Robinson </w:t>
      </w:r>
      <w:r w:rsidR="003133DE" w:rsidRPr="003133DE">
        <w:rPr>
          <w:i/>
          <w:iCs/>
        </w:rPr>
        <w:t>et al.</w:t>
      </w:r>
      <w:r>
        <w:t>, 2015).</w:t>
      </w:r>
    </w:p>
    <w:p w14:paraId="1978A941" w14:textId="77777777" w:rsidR="00F30FF8" w:rsidRDefault="00F30FF8">
      <w:pPr>
        <w:rPr>
          <w:rFonts w:eastAsiaTheme="majorEastAsia" w:cstheme="majorBidi"/>
          <w:b/>
          <w:sz w:val="28"/>
          <w:szCs w:val="32"/>
        </w:rPr>
      </w:pPr>
      <w:r>
        <w:br w:type="page"/>
      </w:r>
    </w:p>
    <w:p w14:paraId="1C54FA22" w14:textId="260E9BB8" w:rsidR="00E33E2C" w:rsidRPr="00ED5ADE" w:rsidRDefault="00E33E2C" w:rsidP="00F30FF8">
      <w:pPr>
        <w:pStyle w:val="Heading2"/>
        <w:spacing w:after="240"/>
      </w:pPr>
      <w:bookmarkStart w:id="4" w:name="_Toc219063298"/>
      <w:r w:rsidRPr="00ED5ADE">
        <w:lastRenderedPageBreak/>
        <w:t>Liquidity Analysis</w:t>
      </w:r>
      <w:bookmarkEnd w:id="4"/>
    </w:p>
    <w:p w14:paraId="030CA254" w14:textId="378BF5BE" w:rsidR="00E33E2C" w:rsidRDefault="00E33E2C" w:rsidP="00E33E2C">
      <w:r>
        <w:t>Liquidity ratios determine the capacity of the company to fulfil short-term liabilities and are a basic component of financial stability (</w:t>
      </w:r>
      <w:proofErr w:type="spellStart"/>
      <w:r>
        <w:t>Bekaert</w:t>
      </w:r>
      <w:proofErr w:type="spellEnd"/>
      <w:r>
        <w:t>, 2017). The Current Ratio gives the relationship between the current assets and liabilities, and that of 2023/24 is 0.</w:t>
      </w:r>
      <w:r w:rsidR="00B50FB2">
        <w:t>96</w:t>
      </w:r>
      <w:r>
        <w:t>, and that of 2024/25 is 0.</w:t>
      </w:r>
      <w:r w:rsidR="00B50FB2">
        <w:t>8</w:t>
      </w:r>
      <w:r>
        <w:t>1. Both values are lower than the standard 1.0, which is normally attributed to a sufficient level of short-term solvency. Nonetheless, such numbers are to be put in the context of Whitbread's business model and industry-specific aspects of operations.</w:t>
      </w:r>
    </w:p>
    <w:p w14:paraId="16BC17EE" w14:textId="2C161FEE" w:rsidR="00E33E2C" w:rsidRDefault="00E33E2C" w:rsidP="00E33E2C">
      <w:r>
        <w:t xml:space="preserve">The current ratios of the hospitality firms tend to be less than 1.0 as these firms have immediate cash receipts, low inventory quantities, and a well-structured working capital (Dittmer and Keefe, 2016). The high cash-based nature of Whitbread, which involves the majority of the sales being made instantly, </w:t>
      </w:r>
      <w:r w:rsidR="00B50FB2">
        <w:t xml:space="preserve">is </w:t>
      </w:r>
      <w:r>
        <w:t>hel</w:t>
      </w:r>
      <w:r w:rsidR="00B50FB2">
        <w:t>d</w:t>
      </w:r>
      <w:r>
        <w:t xml:space="preserve"> to maintain high operational cash flows. As well, the company had </w:t>
      </w:r>
      <w:r w:rsidR="003D47E8">
        <w:t>£</w:t>
      </w:r>
      <w:r>
        <w:t>900 million of non-</w:t>
      </w:r>
      <w:proofErr w:type="spellStart"/>
      <w:r>
        <w:t>utilised</w:t>
      </w:r>
      <w:proofErr w:type="spellEnd"/>
      <w:r>
        <w:t xml:space="preserve"> committed credit facilities as of February 2025, which gives the company a large amount of liquidity beyond the balance sheet indicators (Whitbread PLC, 2025).</w:t>
      </w:r>
    </w:p>
    <w:p w14:paraId="48EECDC5" w14:textId="53ADF031" w:rsidR="00E33E2C" w:rsidRDefault="00E33E2C" w:rsidP="00E33E2C">
      <w:r>
        <w:t>The Quick Ratio, which does not include inventory in current asset increased to 0.</w:t>
      </w:r>
      <w:r w:rsidR="00B50FB2">
        <w:t>80</w:t>
      </w:r>
      <w:r>
        <w:t xml:space="preserve"> in 2024/25 compared to 0.</w:t>
      </w:r>
      <w:r w:rsidR="00B50FB2">
        <w:t>94</w:t>
      </w:r>
      <w:r>
        <w:t xml:space="preserve"> in 2023/24. This </w:t>
      </w:r>
      <w:r w:rsidR="00B50FB2">
        <w:t>decrease</w:t>
      </w:r>
      <w:r>
        <w:t xml:space="preserve"> is an indicator of </w:t>
      </w:r>
      <w:r w:rsidR="00B50FB2">
        <w:t>weaker</w:t>
      </w:r>
      <w:r>
        <w:t xml:space="preserve"> management of working capitals such as receivables collection improvement and better supplier payment terms. </w:t>
      </w:r>
      <w:r w:rsidR="00AA7634">
        <w:t>T</w:t>
      </w:r>
      <w:r>
        <w:t>he lower the quick ratios, which are below 1.0, do not always ensure that the industry is in financial distress because of the high cash conversion cycle.</w:t>
      </w:r>
    </w:p>
    <w:p w14:paraId="0C58D3EA" w14:textId="714FD6EF" w:rsidR="00E33E2C" w:rsidRDefault="00E33E2C" w:rsidP="00E33E2C">
      <w:r>
        <w:t xml:space="preserve">The </w:t>
      </w:r>
      <w:r w:rsidR="00B50FB2">
        <w:t>de</w:t>
      </w:r>
      <w:r>
        <w:t xml:space="preserve">crease in liquidity ratios indicates </w:t>
      </w:r>
      <w:r w:rsidR="00802B7C">
        <w:t>optimization</w:t>
      </w:r>
      <w:r>
        <w:t xml:space="preserve"> and not liquidity pressure. According to </w:t>
      </w:r>
      <w:proofErr w:type="spellStart"/>
      <w:r>
        <w:t>Gitman</w:t>
      </w:r>
      <w:proofErr w:type="spellEnd"/>
      <w:r>
        <w:t xml:space="preserve"> and </w:t>
      </w:r>
      <w:proofErr w:type="spellStart"/>
      <w:r>
        <w:t>Zutter</w:t>
      </w:r>
      <w:proofErr w:type="spellEnd"/>
      <w:r>
        <w:t xml:space="preserve"> (2015), liquidity management like this is based on the operational requirements, </w:t>
      </w:r>
      <w:proofErr w:type="spellStart"/>
      <w:r>
        <w:t>minimising</w:t>
      </w:r>
      <w:proofErr w:type="spellEnd"/>
      <w:r>
        <w:t xml:space="preserve"> idle resources. This strategy is consistent with the position taken by Whitbread, which can be backed by operating cash flows of </w:t>
      </w:r>
      <w:r w:rsidR="003D47E8">
        <w:t>£</w:t>
      </w:r>
      <w:r>
        <w:t>763 million in 2024/25 (Whitbread PLC, 202</w:t>
      </w:r>
      <w:r w:rsidR="00AA7634">
        <w:t>4</w:t>
      </w:r>
      <w:r>
        <w:t>).</w:t>
      </w:r>
    </w:p>
    <w:p w14:paraId="73175B2C" w14:textId="77777777" w:rsidR="00F30FF8" w:rsidRDefault="00F30FF8">
      <w:pPr>
        <w:rPr>
          <w:rFonts w:eastAsiaTheme="majorEastAsia" w:cstheme="majorBidi"/>
          <w:b/>
          <w:sz w:val="28"/>
          <w:szCs w:val="32"/>
        </w:rPr>
      </w:pPr>
      <w:r>
        <w:br w:type="page"/>
      </w:r>
    </w:p>
    <w:p w14:paraId="46C66736" w14:textId="4501DA0F" w:rsidR="00E33E2C" w:rsidRPr="00ED5ADE" w:rsidRDefault="00E33E2C" w:rsidP="00F30FF8">
      <w:pPr>
        <w:pStyle w:val="Heading2"/>
        <w:spacing w:after="240"/>
      </w:pPr>
      <w:bookmarkStart w:id="5" w:name="_Toc219063299"/>
      <w:r w:rsidRPr="00ED5ADE">
        <w:lastRenderedPageBreak/>
        <w:t>Gearing Analysis</w:t>
      </w:r>
      <w:bookmarkEnd w:id="5"/>
    </w:p>
    <w:p w14:paraId="44726D17" w14:textId="470CEFB7" w:rsidR="00E33E2C" w:rsidRDefault="00E33E2C" w:rsidP="00E33E2C">
      <w:r>
        <w:t xml:space="preserve">Gearing ratios investigate capital structure and borrowing ability, which give an insight into financial risk and borrowing power (Drury, 2020). The debt-to-equity ratio is a measure of the percentage of debt against equity and is one of the major measures of leverage. Whitbread achieved </w:t>
      </w:r>
      <w:r w:rsidR="00B50FB2">
        <w:t>1.71</w:t>
      </w:r>
      <w:r>
        <w:t xml:space="preserve"> in 2023/24 and </w:t>
      </w:r>
      <w:r w:rsidR="00B50FB2">
        <w:t>1.97</w:t>
      </w:r>
      <w:r>
        <w:t xml:space="preserve"> in 2024/25, which is </w:t>
      </w:r>
      <w:r w:rsidR="00B50FB2">
        <w:t xml:space="preserve">not </w:t>
      </w:r>
      <w:r>
        <w:t>moderate leverage</w:t>
      </w:r>
      <w:r w:rsidR="00B50FB2">
        <w:t>,</w:t>
      </w:r>
      <w:r>
        <w:t xml:space="preserve"> </w:t>
      </w:r>
      <w:r w:rsidR="00B50FB2">
        <w:t xml:space="preserve">but </w:t>
      </w:r>
      <w:r>
        <w:t xml:space="preserve">slightly </w:t>
      </w:r>
      <w:r w:rsidR="00B50FB2">
        <w:t>increased</w:t>
      </w:r>
      <w:r>
        <w:t>.</w:t>
      </w:r>
    </w:p>
    <w:p w14:paraId="74CFE976" w14:textId="14033B23" w:rsidR="00E33E2C" w:rsidRDefault="00E33E2C" w:rsidP="00E33E2C">
      <w:r>
        <w:t xml:space="preserve">This value is an intentional debt settlement of </w:t>
      </w:r>
      <w:r w:rsidR="003D47E8">
        <w:t>£</w:t>
      </w:r>
      <w:r>
        <w:t xml:space="preserve">125 million in 2024/25, which is one of the priorities of balance sheet allocation of Whitbread, ensuring that growth, shareholder value, and balance sheet strength are balanced (Whitbread PLC, 2025). </w:t>
      </w:r>
      <w:r w:rsidR="00B956C8">
        <w:t>T</w:t>
      </w:r>
      <w:r>
        <w:t xml:space="preserve">he </w:t>
      </w:r>
      <w:r w:rsidR="00B50FB2">
        <w:t>debt-to-equity</w:t>
      </w:r>
      <w:r>
        <w:t xml:space="preserve"> ratio of the hospitality firms is usually between 0.5 and 1.5, </w:t>
      </w:r>
      <w:r w:rsidR="00B50FB2">
        <w:t>and</w:t>
      </w:r>
      <w:r>
        <w:t xml:space="preserve"> Whitbread is </w:t>
      </w:r>
      <w:r w:rsidR="00B50FB2">
        <w:t xml:space="preserve">not </w:t>
      </w:r>
      <w:r>
        <w:t>within reasonable industry standards.</w:t>
      </w:r>
    </w:p>
    <w:p w14:paraId="673C5976" w14:textId="758D93D6" w:rsidR="00E33E2C" w:rsidRDefault="00E33E2C" w:rsidP="00E33E2C">
      <w:r>
        <w:t xml:space="preserve">Its Debt Ratio, which is the ratio of the total liabilities to the total assets, </w:t>
      </w:r>
      <w:r w:rsidR="00B50FB2">
        <w:t>increased</w:t>
      </w:r>
      <w:r>
        <w:t xml:space="preserve"> to </w:t>
      </w:r>
      <w:r w:rsidR="00B50FB2">
        <w:t>66</w:t>
      </w:r>
      <w:r>
        <w:t xml:space="preserve">% in 2024/25 as compared to </w:t>
      </w:r>
      <w:r w:rsidR="00B50FB2">
        <w:t>63</w:t>
      </w:r>
      <w:r>
        <w:t xml:space="preserve">% in 2023/24. This </w:t>
      </w:r>
      <w:r w:rsidR="00B50FB2">
        <w:t>2</w:t>
      </w:r>
      <w:r>
        <w:t xml:space="preserve">% gain is a sign of </w:t>
      </w:r>
      <w:r w:rsidR="00B50FB2">
        <w:t>de</w:t>
      </w:r>
      <w:r>
        <w:t>creased financial strength, and equity financing constitutes a larger proportion of the capital base.</w:t>
      </w:r>
    </w:p>
    <w:p w14:paraId="1140FEFA" w14:textId="25891BC7" w:rsidR="00E33E2C" w:rsidRDefault="00E33E2C" w:rsidP="00E33E2C">
      <w:r>
        <w:t>The Interest Coverage Ratio is an assessment of the capacity to meet the debt on operating income (</w:t>
      </w:r>
      <w:proofErr w:type="spellStart"/>
      <w:r>
        <w:t>Atrill</w:t>
      </w:r>
      <w:proofErr w:type="spellEnd"/>
      <w:r>
        <w:t xml:space="preserve">, 2019). In 2023/24, Whitbread had a coverage of </w:t>
      </w:r>
      <w:r w:rsidR="00B50FB2">
        <w:t xml:space="preserve">3.15 </w:t>
      </w:r>
      <w:r>
        <w:t xml:space="preserve">times, which </w:t>
      </w:r>
      <w:r w:rsidR="00B50FB2">
        <w:t>de</w:t>
      </w:r>
      <w:r>
        <w:t xml:space="preserve">creased to </w:t>
      </w:r>
      <w:r w:rsidR="00B50FB2">
        <w:t>2.73</w:t>
      </w:r>
      <w:r>
        <w:t xml:space="preserve"> times in 2024/25. The two figures are </w:t>
      </w:r>
      <w:r w:rsidR="001840D6">
        <w:t>below</w:t>
      </w:r>
      <w:r>
        <w:t xml:space="preserve"> </w:t>
      </w:r>
      <w:r w:rsidR="001840D6">
        <w:t>0</w:t>
      </w:r>
      <w:r>
        <w:t xml:space="preserve">.5 times </w:t>
      </w:r>
      <w:r w:rsidR="00F30FF8">
        <w:t xml:space="preserve">the </w:t>
      </w:r>
      <w:r>
        <w:t xml:space="preserve">lender parameters, indicating </w:t>
      </w:r>
      <w:r w:rsidR="001840D6">
        <w:t>low</w:t>
      </w:r>
      <w:r>
        <w:t xml:space="preserve"> debt service paybacks and refinancing advantages.</w:t>
      </w:r>
    </w:p>
    <w:p w14:paraId="05828102" w14:textId="48F3BF8A" w:rsidR="00E33E2C" w:rsidRDefault="00E33E2C" w:rsidP="00E33E2C">
      <w:r>
        <w:t xml:space="preserve">According to Chen </w:t>
      </w:r>
      <w:r w:rsidR="003133DE" w:rsidRPr="003133DE">
        <w:rPr>
          <w:i/>
          <w:iCs/>
        </w:rPr>
        <w:t>et al.</w:t>
      </w:r>
      <w:r>
        <w:t xml:space="preserve"> (20</w:t>
      </w:r>
      <w:r w:rsidR="00B956C8">
        <w:t>19</w:t>
      </w:r>
      <w:r>
        <w:t xml:space="preserve">), </w:t>
      </w:r>
      <w:r w:rsidR="00F30FF8">
        <w:t xml:space="preserve">an </w:t>
      </w:r>
      <w:r>
        <w:t xml:space="preserve">interest coverage of more than 5.0 times gives significant financial room. The ratios of Whitbread thus portray a </w:t>
      </w:r>
      <w:r w:rsidR="001840D6">
        <w:t>weak</w:t>
      </w:r>
      <w:r>
        <w:t xml:space="preserve"> ability to counter earnings volatility and the ability to finance its future expansion without much strain of paying off debt.</w:t>
      </w:r>
    </w:p>
    <w:p w14:paraId="5639FCF2" w14:textId="77777777" w:rsidR="00F30FF8" w:rsidRDefault="00F30FF8">
      <w:pPr>
        <w:rPr>
          <w:rFonts w:eastAsiaTheme="majorEastAsia" w:cstheme="majorBidi"/>
          <w:b/>
          <w:sz w:val="28"/>
          <w:szCs w:val="32"/>
        </w:rPr>
      </w:pPr>
      <w:r>
        <w:br w:type="page"/>
      </w:r>
    </w:p>
    <w:p w14:paraId="7A9BE870" w14:textId="62118C23" w:rsidR="00E33E2C" w:rsidRPr="00ED5ADE" w:rsidRDefault="00E33E2C" w:rsidP="00F30FF8">
      <w:pPr>
        <w:pStyle w:val="Heading2"/>
        <w:spacing w:after="240"/>
      </w:pPr>
      <w:bookmarkStart w:id="6" w:name="_Toc219063300"/>
      <w:r w:rsidRPr="00ED5ADE">
        <w:lastRenderedPageBreak/>
        <w:t>Efficiency Analysis</w:t>
      </w:r>
      <w:bookmarkEnd w:id="6"/>
    </w:p>
    <w:p w14:paraId="4A31122A" w14:textId="3AD8C05B" w:rsidR="00E33E2C" w:rsidRDefault="00E33E2C" w:rsidP="00E33E2C">
      <w:r>
        <w:t xml:space="preserve">Efficiency ratios measure the efficiency of the management to use assets and manage the working capital, which provides an insight into the performance of operations (Robinson </w:t>
      </w:r>
      <w:r w:rsidR="003133DE" w:rsidRPr="003133DE">
        <w:rPr>
          <w:i/>
          <w:iCs/>
        </w:rPr>
        <w:t>et al.</w:t>
      </w:r>
      <w:r>
        <w:t xml:space="preserve">, 2015). The Asset Turnover Ratio, which is the revenue earned per pound of assets being </w:t>
      </w:r>
      <w:proofErr w:type="spellStart"/>
      <w:r>
        <w:t>utilised</w:t>
      </w:r>
      <w:proofErr w:type="spellEnd"/>
      <w:r>
        <w:t>, was 0.</w:t>
      </w:r>
      <w:r w:rsidR="001840D6">
        <w:t>31</w:t>
      </w:r>
      <w:r>
        <w:t xml:space="preserve"> in 2023/24 and 0.</w:t>
      </w:r>
      <w:r w:rsidR="001840D6">
        <w:t>3</w:t>
      </w:r>
      <w:r>
        <w:t xml:space="preserve"> in 2024/25. This </w:t>
      </w:r>
      <w:r w:rsidR="001840D6">
        <w:t>de</w:t>
      </w:r>
      <w:r>
        <w:t>crease of 0.0</w:t>
      </w:r>
      <w:r w:rsidR="001840D6">
        <w:t>1</w:t>
      </w:r>
      <w:r>
        <w:t xml:space="preserve"> represents a small </w:t>
      </w:r>
      <w:r w:rsidR="001840D6">
        <w:t>de</w:t>
      </w:r>
      <w:r>
        <w:t>crease in the productivity of assets in a hotel that is capital-intensive.</w:t>
      </w:r>
    </w:p>
    <w:p w14:paraId="5792AA4D" w14:textId="5FB50CA1" w:rsidR="00E33E2C" w:rsidRDefault="00E33E2C" w:rsidP="00E33E2C">
      <w:r>
        <w:t xml:space="preserve">The hospitality assets and especially the hotel infrastructure and property are long-term projects that yield returns over a long period of time, and not the short-term way that retail or manufacturing would (Dittmer and Keefe, 2016). </w:t>
      </w:r>
      <w:proofErr w:type="spellStart"/>
      <w:r>
        <w:t>Sainaghi</w:t>
      </w:r>
      <w:proofErr w:type="spellEnd"/>
      <w:r>
        <w:t xml:space="preserve"> </w:t>
      </w:r>
      <w:r w:rsidR="003133DE" w:rsidRPr="003133DE">
        <w:rPr>
          <w:i/>
          <w:iCs/>
        </w:rPr>
        <w:t>et al.</w:t>
      </w:r>
      <w:r>
        <w:t xml:space="preserve"> (2017) industry analysis timescale indicate that the expected range of asset turnover of full service hotel operators ranges between 0.4 and 0.6, with Whitbread falling within industry rates. The improvement is a revenue recovery that is led by a higher price and volume.</w:t>
      </w:r>
    </w:p>
    <w:p w14:paraId="050EB6D6" w14:textId="5E5DEEF4" w:rsidR="00E33E2C" w:rsidRDefault="00E33E2C" w:rsidP="00E33E2C">
      <w:r>
        <w:t xml:space="preserve">The Receivables Turnover Ratio measures the effectiveness of handling credit and how fast receivables are turned into cash. In 2023/24, Whitbread registered </w:t>
      </w:r>
      <w:r w:rsidR="001840D6">
        <w:t>24.8</w:t>
      </w:r>
      <w:r>
        <w:t xml:space="preserve"> times turnover in the current assets (A/R) and in 2024/25, it registered </w:t>
      </w:r>
      <w:r w:rsidR="001840D6">
        <w:t>23</w:t>
      </w:r>
      <w:r>
        <w:t xml:space="preserve"> times. These levels correspond to the collection period in the range of 8.9 to 9.4 days, which can be </w:t>
      </w:r>
      <w:proofErr w:type="spellStart"/>
      <w:r>
        <w:t>characterised</w:t>
      </w:r>
      <w:proofErr w:type="spellEnd"/>
      <w:r>
        <w:t xml:space="preserve"> as people using cash when buying services in the hospitality industry. Effective working capital </w:t>
      </w:r>
      <w:proofErr w:type="spellStart"/>
      <w:r>
        <w:t>favours</w:t>
      </w:r>
      <w:proofErr w:type="spellEnd"/>
      <w:r>
        <w:t xml:space="preserve"> returns on investment.</w:t>
      </w:r>
    </w:p>
    <w:p w14:paraId="2B4186ED" w14:textId="77777777" w:rsidR="00F30FF8" w:rsidRDefault="00F30FF8">
      <w:pPr>
        <w:rPr>
          <w:rFonts w:eastAsiaTheme="majorEastAsia" w:cstheme="majorBidi"/>
          <w:b/>
          <w:sz w:val="28"/>
          <w:szCs w:val="32"/>
        </w:rPr>
      </w:pPr>
      <w:r>
        <w:br w:type="page"/>
      </w:r>
    </w:p>
    <w:p w14:paraId="2088E28C" w14:textId="6F40FD47" w:rsidR="00E33E2C" w:rsidRPr="00E33E2C" w:rsidRDefault="00E33E2C" w:rsidP="00F30FF8">
      <w:pPr>
        <w:pStyle w:val="Heading2"/>
        <w:spacing w:after="240"/>
      </w:pPr>
      <w:bookmarkStart w:id="7" w:name="_Toc219063301"/>
      <w:r w:rsidRPr="00E33E2C">
        <w:lastRenderedPageBreak/>
        <w:t>Investor Ratios Analysis</w:t>
      </w:r>
      <w:bookmarkEnd w:id="7"/>
    </w:p>
    <w:p w14:paraId="3E67CE2E" w14:textId="625241D7" w:rsidR="00E33E2C" w:rsidRDefault="00E33E2C" w:rsidP="00E33E2C">
      <w:r>
        <w:t xml:space="preserve">The shareholders and prospective investors can access information on returns, valuation, and dividend policy using investor ratios (Palepu </w:t>
      </w:r>
      <w:r w:rsidR="003133DE" w:rsidRPr="003133DE">
        <w:rPr>
          <w:i/>
          <w:iCs/>
        </w:rPr>
        <w:t>et al.</w:t>
      </w:r>
      <w:r>
        <w:t xml:space="preserve">, 2020). Earnings </w:t>
      </w:r>
      <w:proofErr w:type="gramStart"/>
      <w:r>
        <w:t>Per</w:t>
      </w:r>
      <w:proofErr w:type="gramEnd"/>
      <w:r>
        <w:t xml:space="preserve"> Share (E</w:t>
      </w:r>
      <w:r w:rsidR="003D47E8">
        <w:t>£</w:t>
      </w:r>
      <w:r>
        <w:t xml:space="preserve">) is a profit attributable to any share, ordinary share is expressed </w:t>
      </w:r>
      <w:bookmarkStart w:id="8" w:name="_GoBack"/>
      <w:bookmarkEnd w:id="8"/>
      <w:r>
        <w:t xml:space="preserve">as </w:t>
      </w:r>
      <w:r w:rsidR="001840D6">
        <w:t>161</w:t>
      </w:r>
      <w:r>
        <w:t xml:space="preserve"> pence in 2023/24 to 142 pence in 2024/25, and it </w:t>
      </w:r>
      <w:r w:rsidR="001840D6">
        <w:t>decreases</w:t>
      </w:r>
      <w:r>
        <w:t xml:space="preserve"> by 11.1 pence. This </w:t>
      </w:r>
      <w:r w:rsidR="001840D6">
        <w:t>decrease</w:t>
      </w:r>
      <w:r>
        <w:t xml:space="preserve"> is a sign of </w:t>
      </w:r>
      <w:r w:rsidR="001840D6">
        <w:t>de</w:t>
      </w:r>
      <w:r>
        <w:t>creased profitability and repurchases of shares, lowering outstanding shares.</w:t>
      </w:r>
    </w:p>
    <w:p w14:paraId="2F5D92D4" w14:textId="0AA30E9F" w:rsidR="00E33E2C" w:rsidRDefault="00025A04" w:rsidP="00E33E2C">
      <w:r>
        <w:t xml:space="preserve">The </w:t>
      </w:r>
      <w:r w:rsidR="00E33E2C">
        <w:t xml:space="preserve">Price-Earnings (P/E) Ratio is the valuation of the market in comparison to earnings and future growth. Whitbread had a P/E ratio of </w:t>
      </w:r>
      <w:r w:rsidR="001840D6">
        <w:t>19.88</w:t>
      </w:r>
      <w:r w:rsidR="00E33E2C">
        <w:t xml:space="preserve"> and </w:t>
      </w:r>
      <w:r w:rsidR="001840D6">
        <w:t>21.3</w:t>
      </w:r>
      <w:r w:rsidR="00E33E2C">
        <w:t xml:space="preserve"> times, respectively, using 2024 and 2025 share prices at the end of the year of </w:t>
      </w:r>
      <w:r w:rsidR="003D47E8">
        <w:t>£</w:t>
      </w:r>
      <w:r w:rsidR="001840D6">
        <w:t>30</w:t>
      </w:r>
      <w:r w:rsidR="00E33E2C">
        <w:t xml:space="preserve"> and </w:t>
      </w:r>
      <w:r w:rsidR="003D47E8">
        <w:t>£</w:t>
      </w:r>
      <w:r w:rsidR="001840D6">
        <w:t>32</w:t>
      </w:r>
      <w:r w:rsidR="00E33E2C">
        <w:t>, respectively. These high multiples reflect the optimism in the growth strategy of Whitbread and market positioning.</w:t>
      </w:r>
    </w:p>
    <w:p w14:paraId="33D699DF" w14:textId="186B92F6" w:rsidR="00E33E2C" w:rsidRDefault="00E33E2C" w:rsidP="00E33E2C">
      <w:r>
        <w:t xml:space="preserve">Dividend Yield is the amount of dividends paid per share in comparison to the share price growth and was </w:t>
      </w:r>
      <w:r w:rsidR="001840D6">
        <w:t>3.03</w:t>
      </w:r>
      <w:r>
        <w:t xml:space="preserve"> in 2023/24 and </w:t>
      </w:r>
      <w:r w:rsidR="001840D6">
        <w:t>3.23</w:t>
      </w:r>
      <w:r>
        <w:t xml:space="preserve"> in 2024/25. This makes Whitbread an income stock. The growth is on the basis of increasing dividends per share, which increased to </w:t>
      </w:r>
      <w:r w:rsidR="001840D6">
        <w:t>20</w:t>
      </w:r>
      <w:r>
        <w:t xml:space="preserve"> pence against 80 pence (Whitbread PLC, 2025).</w:t>
      </w:r>
    </w:p>
    <w:p w14:paraId="4AD9C518" w14:textId="42A437D9" w:rsidR="00E33E2C" w:rsidRDefault="00E33E2C" w:rsidP="00E33E2C">
      <w:r>
        <w:t>Dividend policy is an indication of how the management views sustainable cash generation and investment requirements. The progressive dividend policy of Whitbread is a positive indicator of trust in the cash flows without sacrificing the opportunities for future development.</w:t>
      </w:r>
    </w:p>
    <w:p w14:paraId="7A63C2AF" w14:textId="77777777" w:rsidR="00F30FF8" w:rsidRDefault="00F30FF8">
      <w:pPr>
        <w:rPr>
          <w:rFonts w:eastAsiaTheme="majorEastAsia" w:cstheme="majorBidi"/>
          <w:b/>
          <w:sz w:val="28"/>
          <w:szCs w:val="32"/>
        </w:rPr>
      </w:pPr>
      <w:r>
        <w:br w:type="page"/>
      </w:r>
    </w:p>
    <w:p w14:paraId="1F6B15B1" w14:textId="0BE20EF0" w:rsidR="00E33E2C" w:rsidRPr="00E33E2C" w:rsidRDefault="00E33E2C" w:rsidP="00F30FF8">
      <w:pPr>
        <w:pStyle w:val="Heading2"/>
        <w:spacing w:after="240"/>
      </w:pPr>
      <w:bookmarkStart w:id="9" w:name="_Toc219063302"/>
      <w:r w:rsidRPr="00E33E2C">
        <w:lastRenderedPageBreak/>
        <w:t xml:space="preserve">Critical Analysis and </w:t>
      </w:r>
      <w:r>
        <w:t>Limitations</w:t>
      </w:r>
      <w:bookmarkEnd w:id="9"/>
    </w:p>
    <w:p w14:paraId="6A2BF752" w14:textId="77777777" w:rsidR="00E33E2C" w:rsidRPr="00E33E2C" w:rsidRDefault="00E33E2C" w:rsidP="00E33E2C">
      <w:pPr>
        <w:rPr>
          <w:b/>
          <w:bCs/>
        </w:rPr>
      </w:pPr>
      <w:r w:rsidRPr="00E33E2C">
        <w:rPr>
          <w:b/>
          <w:bCs/>
        </w:rPr>
        <w:t xml:space="preserve">Critical Evaluation </w:t>
      </w:r>
    </w:p>
    <w:p w14:paraId="3A8C56BE" w14:textId="77777777" w:rsidR="00E33E2C" w:rsidRDefault="00E33E2C" w:rsidP="00E33E2C">
      <w:r>
        <w:t xml:space="preserve">Ratio analysis is a systematic way to assess financial performance, efficiency, liquidity, and risk with the help of </w:t>
      </w:r>
      <w:proofErr w:type="spellStart"/>
      <w:r>
        <w:t>standardised</w:t>
      </w:r>
      <w:proofErr w:type="spellEnd"/>
      <w:r>
        <w:t xml:space="preserve"> measures based on financial statements (</w:t>
      </w:r>
      <w:proofErr w:type="spellStart"/>
      <w:r>
        <w:t>Atrill</w:t>
      </w:r>
      <w:proofErr w:type="spellEnd"/>
      <w:r>
        <w:t xml:space="preserve">, 2019). It allows time and, to a certain level, firm comparisons and can aid in informed decision-making by investors and managers. When applied in the context of hospitality, ratios are used to evaluate cost control, use of assets, and capital structure of a capital-intensive operating environment. Nevertheless, successful interpretation must involve the knowledge of the sector and another qualitative evaluation. The strategic analysis, as </w:t>
      </w:r>
      <w:proofErr w:type="spellStart"/>
      <w:r>
        <w:t>Bhimani</w:t>
      </w:r>
      <w:proofErr w:type="spellEnd"/>
      <w:r>
        <w:t xml:space="preserve"> (2022) expresses, should be supported by the ratio analysis, but not substituted by the strategic analysis, which considers the competitive positioning, operational ability, and the market dynamics.</w:t>
      </w:r>
    </w:p>
    <w:p w14:paraId="58EC21F6" w14:textId="77777777" w:rsidR="00E33E2C" w:rsidRPr="00E33E2C" w:rsidRDefault="00E33E2C" w:rsidP="00E33E2C">
      <w:pPr>
        <w:rPr>
          <w:b/>
          <w:bCs/>
        </w:rPr>
      </w:pPr>
      <w:r w:rsidRPr="00E33E2C">
        <w:rPr>
          <w:b/>
          <w:bCs/>
        </w:rPr>
        <w:t xml:space="preserve">Limitations </w:t>
      </w:r>
    </w:p>
    <w:p w14:paraId="75DFBA59" w14:textId="2178F4EF" w:rsidR="00E33E2C" w:rsidRDefault="00E33E2C" w:rsidP="00E33E2C">
      <w:r w:rsidRPr="00E33E2C">
        <w:rPr>
          <w:b/>
          <w:bCs/>
        </w:rPr>
        <w:t>Historical Focus:</w:t>
      </w:r>
      <w:r>
        <w:t xml:space="preserve"> Ratios have a backward orientation based on the past financial information and do not provide much predictive information without projection.</w:t>
      </w:r>
    </w:p>
    <w:p w14:paraId="22FCDC53" w14:textId="35E9D961" w:rsidR="00E33E2C" w:rsidRDefault="00025A04" w:rsidP="00E33E2C">
      <w:r w:rsidRPr="00025A04">
        <w:rPr>
          <w:b/>
          <w:bCs/>
        </w:rPr>
        <w:t>Policies Influence Accounting</w:t>
      </w:r>
      <w:r w:rsidR="00E33E2C" w:rsidRPr="00E33E2C">
        <w:rPr>
          <w:b/>
          <w:bCs/>
        </w:rPr>
        <w:t>:</w:t>
      </w:r>
      <w:r w:rsidR="00E33E2C">
        <w:t xml:space="preserve"> </w:t>
      </w:r>
      <w:r w:rsidRPr="00025A04">
        <w:t>The influence of accounting has deceptive impacts on comparability and economic interpretation of differences that exist in depreciation, asset valuation, revenue recognition and lease accounting, such as the IFRS 16 implementation.</w:t>
      </w:r>
    </w:p>
    <w:p w14:paraId="599D1685" w14:textId="4E33AA4A" w:rsidR="00E33E2C" w:rsidRDefault="00E33E2C" w:rsidP="00E33E2C">
      <w:r w:rsidRPr="00E33E2C">
        <w:rPr>
          <w:b/>
          <w:bCs/>
        </w:rPr>
        <w:t>Omission of Qualitative Factors:</w:t>
      </w:r>
      <w:r>
        <w:t xml:space="preserve"> </w:t>
      </w:r>
      <w:r w:rsidR="00025A04" w:rsidRPr="00025A04">
        <w:t>Ratios exclude intangible forces, e.g., the brand strength, quality of management, customer satisfaction and employee engagement, which are highly important in-service markets (</w:t>
      </w:r>
      <w:proofErr w:type="spellStart"/>
      <w:r w:rsidR="00025A04" w:rsidRPr="00025A04">
        <w:t>Weetman</w:t>
      </w:r>
      <w:proofErr w:type="spellEnd"/>
      <w:r w:rsidR="00025A04" w:rsidRPr="00025A04">
        <w:t>, 2019).</w:t>
      </w:r>
    </w:p>
    <w:p w14:paraId="225A5931" w14:textId="77777777" w:rsidR="00025A04" w:rsidRDefault="00E33E2C" w:rsidP="00E33E2C">
      <w:r w:rsidRPr="00E33E2C">
        <w:rPr>
          <w:b/>
          <w:bCs/>
        </w:rPr>
        <w:t>Comparability Constraints:</w:t>
      </w:r>
      <w:r>
        <w:t xml:space="preserve"> </w:t>
      </w:r>
      <w:r w:rsidR="00025A04" w:rsidRPr="00025A04">
        <w:t>Comparisons that exist between firms are limited by differences in business models, geographic exposure, and asset structure (</w:t>
      </w:r>
      <w:proofErr w:type="spellStart"/>
      <w:r w:rsidR="00025A04" w:rsidRPr="00025A04">
        <w:t>Kesten</w:t>
      </w:r>
      <w:proofErr w:type="spellEnd"/>
      <w:r w:rsidR="00025A04" w:rsidRPr="00025A04">
        <w:t xml:space="preserve"> </w:t>
      </w:r>
      <w:r w:rsidR="00025A04" w:rsidRPr="00025A04">
        <w:rPr>
          <w:i/>
          <w:iCs/>
        </w:rPr>
        <w:t>et al.</w:t>
      </w:r>
      <w:r w:rsidR="00025A04" w:rsidRPr="00025A04">
        <w:t>, 2017).</w:t>
      </w:r>
    </w:p>
    <w:p w14:paraId="161CBD3A" w14:textId="32C74D54" w:rsidR="00E33E2C" w:rsidRDefault="00E33E2C" w:rsidP="00E33E2C">
      <w:r w:rsidRPr="00E33E2C">
        <w:rPr>
          <w:b/>
          <w:bCs/>
        </w:rPr>
        <w:t>Timing and Seasonality:</w:t>
      </w:r>
      <w:r>
        <w:t xml:space="preserve"> </w:t>
      </w:r>
      <w:r w:rsidR="00025A04" w:rsidRPr="00025A04">
        <w:t xml:space="preserve">Timing and Seasonality Annual ratios provide a point-in-time snapshot that may not reflect seasonal variations typical of the hospitality operations (Robinson </w:t>
      </w:r>
      <w:r w:rsidR="00025A04" w:rsidRPr="00025A04">
        <w:rPr>
          <w:i/>
          <w:iCs/>
        </w:rPr>
        <w:t>et al.</w:t>
      </w:r>
      <w:r w:rsidR="00025A04" w:rsidRPr="00025A04">
        <w:t>, 2015).</w:t>
      </w:r>
    </w:p>
    <w:p w14:paraId="45A77F79" w14:textId="77777777" w:rsidR="00F30FF8" w:rsidRDefault="00F30FF8">
      <w:pPr>
        <w:rPr>
          <w:rFonts w:eastAsiaTheme="majorEastAsia" w:cstheme="majorBidi"/>
          <w:b/>
          <w:sz w:val="28"/>
          <w:szCs w:val="32"/>
        </w:rPr>
      </w:pPr>
      <w:r>
        <w:br w:type="page"/>
      </w:r>
    </w:p>
    <w:p w14:paraId="67942479" w14:textId="6030A7F0" w:rsidR="00E33E2C" w:rsidRPr="00E33E2C" w:rsidRDefault="00E33E2C" w:rsidP="00F30FF8">
      <w:pPr>
        <w:pStyle w:val="Heading2"/>
        <w:spacing w:after="240"/>
      </w:pPr>
      <w:bookmarkStart w:id="10" w:name="_Toc219063303"/>
      <w:r w:rsidRPr="00E33E2C">
        <w:lastRenderedPageBreak/>
        <w:t>Recommendations</w:t>
      </w:r>
      <w:bookmarkEnd w:id="10"/>
    </w:p>
    <w:p w14:paraId="39481DF5" w14:textId="092BEFE0" w:rsidR="00E33E2C" w:rsidRDefault="00E33E2C" w:rsidP="00E33E2C">
      <w:r w:rsidRPr="00E33E2C">
        <w:rPr>
          <w:b/>
          <w:bCs/>
        </w:rPr>
        <w:t>Asset Productivity Enhancement:</w:t>
      </w:r>
      <w:r>
        <w:t xml:space="preserve"> </w:t>
      </w:r>
      <w:r w:rsidR="00025A04" w:rsidRPr="00025A04">
        <w:t xml:space="preserve">Despite the current positive change, the asset turnover ratios of Whitbread show that there is more to be achieved in enhancing the asset </w:t>
      </w:r>
      <w:proofErr w:type="spellStart"/>
      <w:r w:rsidR="00025A04" w:rsidRPr="00025A04">
        <w:t>utilisation</w:t>
      </w:r>
      <w:proofErr w:type="spellEnd"/>
      <w:r w:rsidR="00025A04" w:rsidRPr="00025A04">
        <w:t>.</w:t>
      </w:r>
      <w:r w:rsidR="00025A04">
        <w:t xml:space="preserve"> </w:t>
      </w:r>
      <w:r>
        <w:t xml:space="preserve">The company ought to embrace better revenue management systems that apply artificial intelligence in the </w:t>
      </w:r>
      <w:proofErr w:type="spellStart"/>
      <w:r>
        <w:t>optimisation</w:t>
      </w:r>
      <w:proofErr w:type="spellEnd"/>
      <w:r>
        <w:t xml:space="preserve"> of room pricing and yield management. The use of </w:t>
      </w:r>
      <w:proofErr w:type="spellStart"/>
      <w:r>
        <w:t>underutilised</w:t>
      </w:r>
      <w:proofErr w:type="spellEnd"/>
      <w:r>
        <w:t xml:space="preserve"> spaces in flexible work or collaborations would also be able to generate additional revenue without corresponding cost expansion.</w:t>
      </w:r>
    </w:p>
    <w:p w14:paraId="1EB21E57" w14:textId="4ABD43D6" w:rsidR="00E33E2C" w:rsidRDefault="00E33E2C" w:rsidP="00E33E2C">
      <w:r w:rsidRPr="00E33E2C">
        <w:rPr>
          <w:b/>
          <w:bCs/>
        </w:rPr>
        <w:t xml:space="preserve">Margin Protection </w:t>
      </w:r>
      <w:proofErr w:type="gramStart"/>
      <w:r w:rsidRPr="00E33E2C">
        <w:rPr>
          <w:b/>
          <w:bCs/>
        </w:rPr>
        <w:t>Through</w:t>
      </w:r>
      <w:proofErr w:type="gramEnd"/>
      <w:r w:rsidRPr="00E33E2C">
        <w:rPr>
          <w:b/>
          <w:bCs/>
        </w:rPr>
        <w:t xml:space="preserve"> Digital Investment:</w:t>
      </w:r>
      <w:r>
        <w:t xml:space="preserve"> To maintain operating margins in the face of incessant cost inflation, Whitbread must increase the rate of digital transformation. The intensity of </w:t>
      </w:r>
      <w:proofErr w:type="spellStart"/>
      <w:r>
        <w:t>labour</w:t>
      </w:r>
      <w:proofErr w:type="spellEnd"/>
      <w:r>
        <w:t xml:space="preserve"> can be </w:t>
      </w:r>
      <w:proofErr w:type="spellStart"/>
      <w:r>
        <w:t>minimised</w:t>
      </w:r>
      <w:proofErr w:type="spellEnd"/>
      <w:r>
        <w:t xml:space="preserve"> through the investment in mobile-first booking systems, automated check-ins, and predictive maintenance that can also enhance service quality, which will make the margin resilient in a high-cost environment (Sharma </w:t>
      </w:r>
      <w:r w:rsidR="003133DE" w:rsidRPr="003133DE">
        <w:rPr>
          <w:i/>
          <w:iCs/>
        </w:rPr>
        <w:t>et al.</w:t>
      </w:r>
      <w:r>
        <w:t>, 2021).</w:t>
      </w:r>
    </w:p>
    <w:p w14:paraId="3242BD62" w14:textId="69A00318" w:rsidR="00E33E2C" w:rsidRDefault="00E33E2C" w:rsidP="00E33E2C">
      <w:r w:rsidRPr="00E33E2C">
        <w:rPr>
          <w:b/>
          <w:bCs/>
        </w:rPr>
        <w:t xml:space="preserve">Working Capital </w:t>
      </w:r>
      <w:proofErr w:type="spellStart"/>
      <w:r w:rsidRPr="00E33E2C">
        <w:rPr>
          <w:b/>
          <w:bCs/>
        </w:rPr>
        <w:t>Optimisation</w:t>
      </w:r>
      <w:proofErr w:type="spellEnd"/>
      <w:r w:rsidRPr="00E33E2C">
        <w:rPr>
          <w:b/>
          <w:bCs/>
        </w:rPr>
        <w:t>:</w:t>
      </w:r>
      <w:r>
        <w:t xml:space="preserve"> Despite the fact that there is enough liquidity, the systematic working capital </w:t>
      </w:r>
      <w:proofErr w:type="spellStart"/>
      <w:r>
        <w:t>optimisation</w:t>
      </w:r>
      <w:proofErr w:type="spellEnd"/>
      <w:r>
        <w:t xml:space="preserve"> would free up more funds to invest strategically. Re-negotiations of terms of payment to suppliers holding payment discipline would enhance efficient cash conversion and better inventory management of food operations.</w:t>
      </w:r>
    </w:p>
    <w:p w14:paraId="456820E8" w14:textId="77777777" w:rsidR="00E33E2C" w:rsidRDefault="00E33E2C" w:rsidP="00E33E2C">
      <w:r w:rsidRPr="00E33E2C">
        <w:rPr>
          <w:b/>
          <w:bCs/>
        </w:rPr>
        <w:t>Strategic Leverage Review:</w:t>
      </w:r>
      <w:r>
        <w:t xml:space="preserve"> Whitbread has a moderate leverage that offers flexibility, and comparatively low interest rates open the option of a selective application of debt. As it plans to expand into high-return markets like Germany, incremental borrowing would be used to finance its expansion and ensure that the overall interest coverage remains high to maintain financial stability (Whitbread PLC, 2025).</w:t>
      </w:r>
    </w:p>
    <w:p w14:paraId="101FD956" w14:textId="47685623" w:rsidR="00B956C8" w:rsidRDefault="00E33E2C" w:rsidP="00E33E2C">
      <w:r w:rsidRPr="00E33E2C">
        <w:rPr>
          <w:b/>
          <w:bCs/>
        </w:rPr>
        <w:t>Shareholder Communication Enhancement:</w:t>
      </w:r>
      <w:r>
        <w:t xml:space="preserve"> Medium-term financial goals on margins, returns, and capital allocation would be communicated clearly, thus diminishing information asymmetry and valuation would be supported. Frequent interaction with the investors boosts confidence and makes the expectations consistent with the strategic priorities.</w:t>
      </w:r>
    </w:p>
    <w:p w14:paraId="5327C0EE" w14:textId="77777777" w:rsidR="00B956C8" w:rsidRDefault="00B956C8">
      <w:r>
        <w:br w:type="page"/>
      </w:r>
    </w:p>
    <w:p w14:paraId="5CC25F04" w14:textId="77777777" w:rsidR="0015696E" w:rsidRDefault="0015696E" w:rsidP="0015696E">
      <w:pPr>
        <w:pStyle w:val="Heading1"/>
        <w:spacing w:after="240"/>
      </w:pPr>
      <w:bookmarkStart w:id="11" w:name="_Toc219063304"/>
      <w:r w:rsidRPr="0015696E">
        <w:lastRenderedPageBreak/>
        <w:t>Part 2: Capital Investment Appraisal and Financing Strategy</w:t>
      </w:r>
      <w:bookmarkEnd w:id="11"/>
    </w:p>
    <w:p w14:paraId="115A5A41" w14:textId="1DABA414" w:rsidR="00B956C8" w:rsidRPr="005D054D" w:rsidRDefault="00B956C8" w:rsidP="00F30FF8">
      <w:pPr>
        <w:pStyle w:val="Heading2"/>
        <w:spacing w:after="240"/>
      </w:pPr>
      <w:bookmarkStart w:id="12" w:name="_Toc219063305"/>
      <w:r w:rsidRPr="005D054D">
        <w:t>Net Present Value Analysis</w:t>
      </w:r>
      <w:bookmarkEnd w:id="12"/>
    </w:p>
    <w:p w14:paraId="52451B4C" w14:textId="0EAB9A2C" w:rsidR="00B956C8" w:rsidRPr="005D054D" w:rsidRDefault="00B956C8" w:rsidP="00B956C8">
      <w:r w:rsidRPr="00130260">
        <w:t>The Net Present Value is the basic measure of investment appraisal, which quantifies the amount of value creation in monetary terms, to the present value of future cash flow less initial investment (</w:t>
      </w:r>
      <w:proofErr w:type="spellStart"/>
      <w:r w:rsidRPr="00130260">
        <w:t>Brealey</w:t>
      </w:r>
      <w:proofErr w:type="spellEnd"/>
      <w:r w:rsidRPr="00130260">
        <w:t xml:space="preserve"> </w:t>
      </w:r>
      <w:r w:rsidR="003133DE" w:rsidRPr="003133DE">
        <w:rPr>
          <w:i/>
          <w:iCs/>
        </w:rPr>
        <w:t>et al.</w:t>
      </w:r>
      <w:r w:rsidRPr="00130260">
        <w:t>, 2020). The method discounts future cash flows to the present value of the company's cost of capital, indicating the time value of money and the risk of the project.</w:t>
      </w:r>
    </w:p>
    <w:p w14:paraId="4035087A" w14:textId="77777777" w:rsidR="00B956C8" w:rsidRPr="005D054D" w:rsidRDefault="00B956C8" w:rsidP="00B956C8">
      <w:r w:rsidRPr="005D054D">
        <w:rPr>
          <w:b/>
          <w:bCs/>
        </w:rPr>
        <w:t>Option A: Retail Outlet Expansion (£600,000 initial investment)</w:t>
      </w:r>
    </w:p>
    <w:p w14:paraId="4D93104E" w14:textId="77777777" w:rsidR="00B956C8" w:rsidRPr="005D054D" w:rsidRDefault="00B956C8" w:rsidP="00B956C8">
      <w:r>
        <w:t>The calculation of the NPV of Option A would entail the calculation of after-tax cash flows, including capital allowances. Tax-adjusted cash flows are: with annual capital allowances of £120,000 (£600,000 x 20%), providing a tax relief of £30,000 per annum (£120,000 x 25%), the tax-adjusted cash flows are:</w:t>
      </w:r>
    </w:p>
    <w:p w14:paraId="1DE54DF7" w14:textId="77777777" w:rsidR="00B956C8" w:rsidRPr="005D054D" w:rsidRDefault="00B956C8" w:rsidP="00B956C8">
      <w:pPr>
        <w:numPr>
          <w:ilvl w:val="0"/>
          <w:numId w:val="2"/>
        </w:numPr>
      </w:pPr>
      <w:r w:rsidRPr="005D054D">
        <w:t>Year 1: £200,000 - [(£200,000 - £120,000) × 0.25] + £0 = £180,000</w:t>
      </w:r>
    </w:p>
    <w:p w14:paraId="00ECB71B" w14:textId="77777777" w:rsidR="00B956C8" w:rsidRPr="005D054D" w:rsidRDefault="00B956C8" w:rsidP="00B956C8">
      <w:pPr>
        <w:numPr>
          <w:ilvl w:val="0"/>
          <w:numId w:val="2"/>
        </w:numPr>
      </w:pPr>
      <w:r w:rsidRPr="005D054D">
        <w:t>Year 2: £400,000 - [(£400,000 - £120,000) × 0.25] = £330,000</w:t>
      </w:r>
    </w:p>
    <w:p w14:paraId="14392708" w14:textId="77777777" w:rsidR="00B956C8" w:rsidRPr="005D054D" w:rsidRDefault="00B956C8" w:rsidP="00B956C8">
      <w:pPr>
        <w:numPr>
          <w:ilvl w:val="0"/>
          <w:numId w:val="2"/>
        </w:numPr>
      </w:pPr>
      <w:r w:rsidRPr="005D054D">
        <w:t>Year 3: £500,000 - [(£500,000 - £120,000) × 0.25] = £405,000</w:t>
      </w:r>
    </w:p>
    <w:p w14:paraId="6F9B156D" w14:textId="77777777" w:rsidR="00B956C8" w:rsidRPr="005D054D" w:rsidRDefault="00B956C8" w:rsidP="00B956C8">
      <w:pPr>
        <w:numPr>
          <w:ilvl w:val="0"/>
          <w:numId w:val="2"/>
        </w:numPr>
      </w:pPr>
      <w:r w:rsidRPr="005D054D">
        <w:t>Year 4: £700,000 - [(£700,000 - £120,000) × 0.25] = £555,000</w:t>
      </w:r>
    </w:p>
    <w:p w14:paraId="2B91F2CB" w14:textId="77777777" w:rsidR="00B956C8" w:rsidRPr="005D054D" w:rsidRDefault="00B956C8" w:rsidP="00B956C8">
      <w:r w:rsidRPr="005D054D">
        <w:t xml:space="preserve">Applying 6% discount factors (0.9434, 0.8900, 0.8396, </w:t>
      </w:r>
      <w:proofErr w:type="gramStart"/>
      <w:r w:rsidRPr="005D054D">
        <w:t>0.7921</w:t>
      </w:r>
      <w:proofErr w:type="gramEnd"/>
      <w:r w:rsidRPr="005D054D">
        <w:t>):</w:t>
      </w:r>
    </w:p>
    <w:p w14:paraId="191C1F1B" w14:textId="77777777" w:rsidR="00B956C8" w:rsidRPr="005D054D" w:rsidRDefault="00B956C8" w:rsidP="00B956C8">
      <w:r w:rsidRPr="005D054D">
        <w:t xml:space="preserve">NPV = -£600,000 + (£180,000 × 0.9434) + (£330,000 × 0.8900) + (£405,000 × 0.8396) + (£555,000 × 0.7921) = -£600,000 + £169,812 + £293,700 + £340,038 + £439,616 = </w:t>
      </w:r>
      <w:r w:rsidRPr="005D054D">
        <w:rPr>
          <w:b/>
          <w:bCs/>
        </w:rPr>
        <w:t>£643,166</w:t>
      </w:r>
    </w:p>
    <w:p w14:paraId="66E1FB9D" w14:textId="77777777" w:rsidR="00B956C8" w:rsidRPr="005D054D" w:rsidRDefault="00B956C8" w:rsidP="00B956C8">
      <w:r w:rsidRPr="005D054D">
        <w:rPr>
          <w:b/>
          <w:bCs/>
        </w:rPr>
        <w:t>Option B: Internet Sales Development (£1,000,000 initial investment)</w:t>
      </w:r>
    </w:p>
    <w:p w14:paraId="067EA7B5" w14:textId="77777777" w:rsidR="00B956C8" w:rsidRPr="005D054D" w:rsidRDefault="00B956C8" w:rsidP="00B956C8">
      <w:r>
        <w:t>Tax relief is of £50,000 on annual capital allowances of £200,000. The after-tax cash flows are:</w:t>
      </w:r>
    </w:p>
    <w:p w14:paraId="43F46CEC" w14:textId="77777777" w:rsidR="00B956C8" w:rsidRPr="005D054D" w:rsidRDefault="00B956C8" w:rsidP="00B956C8">
      <w:pPr>
        <w:numPr>
          <w:ilvl w:val="0"/>
          <w:numId w:val="3"/>
        </w:numPr>
      </w:pPr>
      <w:r w:rsidRPr="005D054D">
        <w:t>Year 1: £400,000 - [(£400,000 - £200,000) × 0.25] = £350,000</w:t>
      </w:r>
    </w:p>
    <w:p w14:paraId="13036CFC" w14:textId="77777777" w:rsidR="00B956C8" w:rsidRPr="005D054D" w:rsidRDefault="00B956C8" w:rsidP="00B956C8">
      <w:pPr>
        <w:numPr>
          <w:ilvl w:val="0"/>
          <w:numId w:val="3"/>
        </w:numPr>
      </w:pPr>
      <w:r w:rsidRPr="005D054D">
        <w:t>Year 2: £450,000 - [(£450,000 - £200,000) × 0.25] = £387,500</w:t>
      </w:r>
    </w:p>
    <w:p w14:paraId="0578AB75" w14:textId="77777777" w:rsidR="00B956C8" w:rsidRPr="005D054D" w:rsidRDefault="00B956C8" w:rsidP="00B956C8">
      <w:pPr>
        <w:numPr>
          <w:ilvl w:val="0"/>
          <w:numId w:val="3"/>
        </w:numPr>
      </w:pPr>
      <w:r w:rsidRPr="005D054D">
        <w:t>Year 3: £720,000 - [(£720,000 - £200,000) × 0.25] = £590,000</w:t>
      </w:r>
    </w:p>
    <w:p w14:paraId="01566BEB" w14:textId="77777777" w:rsidR="00B956C8" w:rsidRPr="005D054D" w:rsidRDefault="00B956C8" w:rsidP="00B956C8">
      <w:pPr>
        <w:numPr>
          <w:ilvl w:val="0"/>
          <w:numId w:val="3"/>
        </w:numPr>
      </w:pPr>
      <w:r w:rsidRPr="005D054D">
        <w:t>Year 4: £980,000 - [(£980,000 - £200,000) × 0.25] = £785,000</w:t>
      </w:r>
    </w:p>
    <w:p w14:paraId="6B76C3A0" w14:textId="77777777" w:rsidR="00B956C8" w:rsidRPr="005D054D" w:rsidRDefault="00B956C8" w:rsidP="00B956C8">
      <w:r w:rsidRPr="005D054D">
        <w:lastRenderedPageBreak/>
        <w:t xml:space="preserve">NPV = -£1,000,000 + (£350,000 × 0.9434) + (£387,500 × 0.8900) + (£590,000 × 0.8396) + (£785,000 × 0.7921) = -£1,000,000 + £330,190 + £344,875 + £495,364 + £621,798 = </w:t>
      </w:r>
      <w:r w:rsidRPr="005D054D">
        <w:rPr>
          <w:b/>
          <w:bCs/>
        </w:rPr>
        <w:t>£</w:t>
      </w:r>
      <w:bookmarkStart w:id="13" w:name="_Hlk218965869"/>
      <w:r w:rsidRPr="005D054D">
        <w:rPr>
          <w:b/>
          <w:bCs/>
        </w:rPr>
        <w:t>792,227</w:t>
      </w:r>
      <w:bookmarkEnd w:id="13"/>
    </w:p>
    <w:p w14:paraId="463BC63D" w14:textId="77777777" w:rsidR="00B956C8" w:rsidRPr="005D054D" w:rsidRDefault="00B956C8" w:rsidP="00B956C8">
      <w:r w:rsidRPr="005D054D">
        <w:rPr>
          <w:b/>
          <w:bCs/>
        </w:rPr>
        <w:t>Option C: Blinds Production Diversification (£1,600,000 initial investment)</w:t>
      </w:r>
    </w:p>
    <w:p w14:paraId="7E30F3F0" w14:textId="77777777" w:rsidR="00B956C8" w:rsidRPr="005D054D" w:rsidRDefault="00B956C8" w:rsidP="00B956C8">
      <w:r>
        <w:t>The tax relief of £80, 000 is provided by annual capital allowances of £320,000. After-tax cash flows are:</w:t>
      </w:r>
    </w:p>
    <w:p w14:paraId="370B3FF7" w14:textId="77777777" w:rsidR="00B956C8" w:rsidRPr="005D054D" w:rsidRDefault="00B956C8" w:rsidP="00B956C8">
      <w:pPr>
        <w:numPr>
          <w:ilvl w:val="0"/>
          <w:numId w:val="4"/>
        </w:numPr>
      </w:pPr>
      <w:r w:rsidRPr="005D054D">
        <w:t>Year 1: £450,000 - [(£450,000 - £320,000) × 0.25] = £417,500</w:t>
      </w:r>
    </w:p>
    <w:p w14:paraId="45A1B149" w14:textId="77777777" w:rsidR="00B956C8" w:rsidRPr="005D054D" w:rsidRDefault="00B956C8" w:rsidP="00B956C8">
      <w:pPr>
        <w:numPr>
          <w:ilvl w:val="0"/>
          <w:numId w:val="4"/>
        </w:numPr>
      </w:pPr>
      <w:r w:rsidRPr="005D054D">
        <w:t>Year 2: £700,000 - [(£700,000 - £320,000) × 0.25] = £605,000</w:t>
      </w:r>
    </w:p>
    <w:p w14:paraId="671B0D17" w14:textId="77777777" w:rsidR="00B956C8" w:rsidRPr="005D054D" w:rsidRDefault="00B956C8" w:rsidP="00B956C8">
      <w:pPr>
        <w:numPr>
          <w:ilvl w:val="0"/>
          <w:numId w:val="4"/>
        </w:numPr>
      </w:pPr>
      <w:r w:rsidRPr="005D054D">
        <w:t>Year 3: £900,000 - [(£900,000 - £320,000) × 0.25] = £755,000</w:t>
      </w:r>
    </w:p>
    <w:p w14:paraId="13D227D0" w14:textId="77777777" w:rsidR="00B956C8" w:rsidRPr="005D054D" w:rsidRDefault="00B956C8" w:rsidP="00B956C8">
      <w:pPr>
        <w:numPr>
          <w:ilvl w:val="0"/>
          <w:numId w:val="4"/>
        </w:numPr>
      </w:pPr>
      <w:r w:rsidRPr="005D054D">
        <w:t>Year 4: £1,200,000 - [(£1,200,000 - £320,000) × 0.25] = £980,000</w:t>
      </w:r>
    </w:p>
    <w:p w14:paraId="004E2517" w14:textId="77777777" w:rsidR="00B956C8" w:rsidRPr="005D054D" w:rsidRDefault="00B956C8" w:rsidP="00B956C8">
      <w:r w:rsidRPr="005D054D">
        <w:t xml:space="preserve">NPV = -£1,600,000 + (£417,500 × 0.9434) + (£605,000 × 0.8900) + (£755,000 × 0.8396) + (£980,000 × 0.7921) = -£1,600,000 + £393,870 + £538,450 + £633,896 + £776,258 = </w:t>
      </w:r>
      <w:r w:rsidRPr="005D054D">
        <w:rPr>
          <w:b/>
          <w:bCs/>
        </w:rPr>
        <w:t>£742,474</w:t>
      </w:r>
    </w:p>
    <w:p w14:paraId="50F1A49E" w14:textId="77777777" w:rsidR="00B956C8" w:rsidRDefault="00B956C8" w:rsidP="00B956C8">
      <w:r>
        <w:t xml:space="preserve">NPV analysis clearly shows that Option B is the best investment with a present value of £792,227, which is far more than the others, Option C (£742,474) and Option </w:t>
      </w:r>
      <w:proofErr w:type="gramStart"/>
      <w:r>
        <w:t>A</w:t>
      </w:r>
      <w:proofErr w:type="gramEnd"/>
      <w:r>
        <w:t xml:space="preserve"> (£643,166). This ranking is a ratio of the magnitude of cash generation as well as the positive timing profile of returns of Option B.</w:t>
      </w:r>
    </w:p>
    <w:p w14:paraId="29C62058" w14:textId="77777777" w:rsidR="00F30FF8" w:rsidRDefault="00F30FF8">
      <w:pPr>
        <w:rPr>
          <w:rFonts w:eastAsiaTheme="majorEastAsia" w:cstheme="majorBidi"/>
          <w:b/>
          <w:sz w:val="28"/>
          <w:szCs w:val="32"/>
        </w:rPr>
      </w:pPr>
      <w:r>
        <w:br w:type="page"/>
      </w:r>
    </w:p>
    <w:p w14:paraId="61452341" w14:textId="45D22444" w:rsidR="00B956C8" w:rsidRPr="005D054D" w:rsidRDefault="00B956C8" w:rsidP="00F30FF8">
      <w:pPr>
        <w:pStyle w:val="Heading2"/>
        <w:spacing w:after="240"/>
      </w:pPr>
      <w:bookmarkStart w:id="14" w:name="_Toc219063306"/>
      <w:r w:rsidRPr="005D054D">
        <w:lastRenderedPageBreak/>
        <w:t>Internal Rate of Return Analysis</w:t>
      </w:r>
      <w:bookmarkEnd w:id="14"/>
    </w:p>
    <w:p w14:paraId="34666562" w14:textId="77777777" w:rsidR="00B956C8" w:rsidRDefault="00B956C8" w:rsidP="00B956C8">
      <w:r>
        <w:t>Internal Rate of Return is a discount rate, due to which the NPV is zero, and it can help in understanding the project's profitability in reference to the cost of capital (Drury, 2020). To calculate the IRR of the preferred investment according to Option B, the IRR will be calculated by using interpolation between the rates of generating positive and negative NPVs, which are discounted.</w:t>
      </w:r>
    </w:p>
    <w:p w14:paraId="574C223D" w14:textId="77777777" w:rsidR="00B956C8" w:rsidRDefault="00B956C8" w:rsidP="00B956C8">
      <w:r>
        <w:t xml:space="preserve">At the discount rate of 6%, the NPV of Option C will be £792,227 (positive). </w:t>
      </w:r>
      <w:proofErr w:type="gramStart"/>
      <w:r>
        <w:t>at</w:t>
      </w:r>
      <w:proofErr w:type="gramEnd"/>
      <w:r>
        <w:t xml:space="preserve"> 20% discount rate with factors (0.8333, 0.6944, 0.</w:t>
      </w:r>
      <w:r w:rsidRPr="005D054D">
        <w:t>5787, 0.4823):</w:t>
      </w:r>
    </w:p>
    <w:p w14:paraId="1ECA5C7F" w14:textId="77777777" w:rsidR="00B956C8" w:rsidRPr="001C09ED" w:rsidRDefault="00B956C8" w:rsidP="00B956C8">
      <w:r w:rsidRPr="001C09ED">
        <w:t>NPV at 30%</w:t>
      </w:r>
      <w:r>
        <w:t xml:space="preserve"> </w:t>
      </w:r>
      <w:r w:rsidRPr="001C09ED">
        <w:t>= −£1,000,000 + (£350,000 × 0.7692) + (£387,500 × 0.5917) + (£590,000 × 0.4552) + (£785,000 × 0.3501)</w:t>
      </w:r>
      <w:r>
        <w:t xml:space="preserve"> </w:t>
      </w:r>
      <w:r w:rsidRPr="001C09ED">
        <w:t>= −£1,000,000 + £269,230 + £229,290 + £268,568 + £274,828</w:t>
      </w:r>
      <w:r>
        <w:t xml:space="preserve"> </w:t>
      </w:r>
      <w:r w:rsidRPr="001C09ED">
        <w:t xml:space="preserve">= </w:t>
      </w:r>
      <w:r w:rsidRPr="00130260">
        <w:t>£41,916</w:t>
      </w:r>
      <w:r w:rsidRPr="001C09ED">
        <w:rPr>
          <w:b/>
          <w:bCs/>
        </w:rPr>
        <w:t xml:space="preserve"> </w:t>
      </w:r>
    </w:p>
    <w:p w14:paraId="544B41E9" w14:textId="77777777" w:rsidR="00B956C8" w:rsidRDefault="00B956C8" w:rsidP="00B956C8">
      <w:r>
        <w:t xml:space="preserve">It can be concluded that the NPV is positive as well, at 30 when discounted (0.7410, 0.5490, 0.4070, </w:t>
      </w:r>
      <w:proofErr w:type="gramStart"/>
      <w:r>
        <w:t>0.3010</w:t>
      </w:r>
      <w:proofErr w:type="gramEnd"/>
      <w:r>
        <w:t>):</w:t>
      </w:r>
    </w:p>
    <w:p w14:paraId="662C7650" w14:textId="77777777" w:rsidR="00B956C8" w:rsidRPr="005D054D" w:rsidRDefault="00B956C8" w:rsidP="00B956C8">
      <w:r w:rsidRPr="001C09ED">
        <w:t>NPV at 35%</w:t>
      </w:r>
      <w:r>
        <w:t xml:space="preserve"> </w:t>
      </w:r>
      <w:r w:rsidRPr="001C09ED">
        <w:t>= −£1,000,000 + (£350,000 × 0.7410) + (£387,500 × 0.5490) + (£590,000 × 0.4070) + (£785,000 × 0.3010)</w:t>
      </w:r>
      <w:r>
        <w:t xml:space="preserve"> </w:t>
      </w:r>
      <w:r w:rsidRPr="001C09ED">
        <w:t>= −£1,000,000 + £259,350 + £212,738 + £240,130 + £236,185</w:t>
      </w:r>
      <w:r>
        <w:t xml:space="preserve"> </w:t>
      </w:r>
      <w:r w:rsidRPr="001C09ED">
        <w:t xml:space="preserve">= </w:t>
      </w:r>
      <w:r w:rsidRPr="00130260">
        <w:t>−£51,597</w:t>
      </w:r>
    </w:p>
    <w:p w14:paraId="52C3BFC4" w14:textId="7C979CDA" w:rsidR="00B956C8" w:rsidRDefault="00B956C8" w:rsidP="00B956C8">
      <w:r w:rsidRPr="00130260">
        <w:t xml:space="preserve">Linear interpolation between 20% NPV = </w:t>
      </w:r>
      <w:r w:rsidR="003D47E8">
        <w:t>£</w:t>
      </w:r>
      <w:r w:rsidRPr="00130260">
        <w:t>77,588 and 25% NPV = -</w:t>
      </w:r>
      <w:r w:rsidR="003D47E8">
        <w:t>£</w:t>
      </w:r>
      <w:r w:rsidRPr="00130260">
        <w:t>90,832:</w:t>
      </w:r>
    </w:p>
    <w:p w14:paraId="3AA0A0D7" w14:textId="77777777" w:rsidR="00B956C8" w:rsidRDefault="00B956C8" w:rsidP="00B956C8">
      <w:r w:rsidRPr="001C09ED">
        <w:t>IRR (Interpolation)</w:t>
      </w:r>
      <w:r>
        <w:t xml:space="preserve"> </w:t>
      </w:r>
      <w:r w:rsidRPr="001C09ED">
        <w:t xml:space="preserve">= 30% + (NPV at </w:t>
      </w:r>
      <w:proofErr w:type="gramStart"/>
      <w:r w:rsidRPr="001C09ED">
        <w:t>30%</w:t>
      </w:r>
      <w:proofErr w:type="gramEnd"/>
      <w:r w:rsidRPr="001C09ED">
        <w:t>\) ÷ ((NPV at 30%\) − (NPV at 35%)) × (35% − 30%)</w:t>
      </w:r>
    </w:p>
    <w:p w14:paraId="3F471B64" w14:textId="77777777" w:rsidR="00B956C8" w:rsidRDefault="00B956C8" w:rsidP="00B956C8">
      <w:r w:rsidRPr="001C09ED">
        <w:t>= 30% + (£41,900 ÷ (£41,900 − (−£51,600))) × 5%</w:t>
      </w:r>
    </w:p>
    <w:p w14:paraId="25F2A984" w14:textId="77777777" w:rsidR="00B956C8" w:rsidRPr="00F30FF8" w:rsidRDefault="00B956C8" w:rsidP="00B956C8">
      <w:r w:rsidRPr="00F30FF8">
        <w:t xml:space="preserve">= 32.24% </w:t>
      </w:r>
      <w:r w:rsidRPr="00F30FF8">
        <w:rPr>
          <w:vanish/>
        </w:rPr>
        <w:t>Top of FormBottom of Form</w:t>
      </w:r>
    </w:p>
    <w:p w14:paraId="695DECCA" w14:textId="383661A0" w:rsidR="00B956C8" w:rsidRDefault="00B956C8" w:rsidP="00B956C8">
      <w:r>
        <w:t xml:space="preserve">This IRR of 32.24 is much higher than the cost of capital of 6% of Westward by 26.24%, meaning that it creates a lot of value and has a high safety margin. According to </w:t>
      </w:r>
      <w:r w:rsidR="00AA7634">
        <w:t>Kumar and George (2020)</w:t>
      </w:r>
      <w:r>
        <w:t>, IRRs above the cost of capital by more than 10 percentage points are indicators of investment opportunities of high attractiveness, and thus should be accepted to accept the project.</w:t>
      </w:r>
    </w:p>
    <w:p w14:paraId="3E3E1463" w14:textId="77777777" w:rsidR="00F30FF8" w:rsidRDefault="00F30FF8">
      <w:pPr>
        <w:rPr>
          <w:rFonts w:eastAsiaTheme="majorEastAsia" w:cstheme="majorBidi"/>
          <w:b/>
          <w:sz w:val="28"/>
          <w:szCs w:val="32"/>
        </w:rPr>
      </w:pPr>
      <w:r>
        <w:br w:type="page"/>
      </w:r>
    </w:p>
    <w:p w14:paraId="5351F84B" w14:textId="30D38911" w:rsidR="00B956C8" w:rsidRPr="005D054D" w:rsidRDefault="00B956C8" w:rsidP="00F30FF8">
      <w:pPr>
        <w:pStyle w:val="Heading2"/>
        <w:spacing w:after="240"/>
      </w:pPr>
      <w:bookmarkStart w:id="15" w:name="_Toc219063307"/>
      <w:r w:rsidRPr="005D054D">
        <w:lastRenderedPageBreak/>
        <w:t>Theoretical Justification for NPV Primacy</w:t>
      </w:r>
      <w:bookmarkEnd w:id="15"/>
    </w:p>
    <w:p w14:paraId="0AAF3934" w14:textId="68211B83" w:rsidR="00B956C8" w:rsidRDefault="00B956C8" w:rsidP="00B956C8">
      <w:r>
        <w:t>Based on academic studies and practice, Net Present Value (NPV) is considered to be the best investment appraisal method. NPV is an absolute monetary estimate of creating wealth for the shareholders, which directly correlates with the essence of financial management and allows comparison of projects of different magnitudes (</w:t>
      </w:r>
      <w:proofErr w:type="spellStart"/>
      <w:r>
        <w:t>Brealey</w:t>
      </w:r>
      <w:proofErr w:type="spellEnd"/>
      <w:r>
        <w:t xml:space="preserve"> </w:t>
      </w:r>
      <w:r w:rsidR="003133DE" w:rsidRPr="003133DE">
        <w:rPr>
          <w:i/>
          <w:iCs/>
        </w:rPr>
        <w:t>et al.</w:t>
      </w:r>
      <w:r>
        <w:t>, 2020). In contrast to IRR, NPV also assesses non-conventional cash flows in a reliable manner, and a variety of solutions or uncertainty does not arise, and it provides a powerful appraisal of projects with a complicated cash flow pattern in the future (</w:t>
      </w:r>
      <w:proofErr w:type="spellStart"/>
      <w:r>
        <w:t>Atrill</w:t>
      </w:r>
      <w:proofErr w:type="spellEnd"/>
      <w:r>
        <w:t>, 2019).</w:t>
      </w:r>
    </w:p>
    <w:p w14:paraId="7F323F34" w14:textId="378B4C74" w:rsidR="00B956C8" w:rsidRDefault="00B956C8" w:rsidP="00B956C8">
      <w:r>
        <w:t>NPV is additive in nature, i.e. the NPV of a portfolio is the sum of the NPV of individual projects. This feature enables the virtue of assessing mutually exclusive projects and capital rationing choices correctly, a feature that IRR does not have (Drury, 2020). NPV uses the interim cash flows, which are reinvested at the cost of the firm, and thus, realistic opportunity costs are reflected. Contrastingly, IRR presupposes reinvestment of the project IRR and can create unrealistic optimism in decision-making.</w:t>
      </w:r>
    </w:p>
    <w:p w14:paraId="45AF9A63" w14:textId="256312B9" w:rsidR="00B956C8" w:rsidRDefault="00B956C8" w:rsidP="00B956C8">
      <w:r>
        <w:t>Lastly, NPV is flexible to risk in the form of risk-adjusted discount rates or certainty equivalent, which is suitable when the project is subject to unique uncertainty (</w:t>
      </w:r>
      <w:proofErr w:type="spellStart"/>
      <w:r>
        <w:t>Brealey</w:t>
      </w:r>
      <w:proofErr w:type="spellEnd"/>
      <w:r>
        <w:t xml:space="preserve"> </w:t>
      </w:r>
      <w:r w:rsidR="003133DE" w:rsidRPr="003133DE">
        <w:rPr>
          <w:i/>
          <w:iCs/>
        </w:rPr>
        <w:t>et al.</w:t>
      </w:r>
      <w:r>
        <w:t>, 2020). This is the reason why NPV is so popular in practice 75% of the CFOs always use NPV to appraise investment decisions.</w:t>
      </w:r>
    </w:p>
    <w:p w14:paraId="2F515C09" w14:textId="77777777" w:rsidR="00F30FF8" w:rsidRDefault="00F30FF8">
      <w:pPr>
        <w:rPr>
          <w:rFonts w:eastAsiaTheme="majorEastAsia" w:cstheme="majorBidi"/>
          <w:b/>
          <w:sz w:val="28"/>
          <w:szCs w:val="32"/>
        </w:rPr>
      </w:pPr>
      <w:r>
        <w:br w:type="page"/>
      </w:r>
    </w:p>
    <w:p w14:paraId="7CC2A266" w14:textId="6EA0F12E" w:rsidR="00B956C8" w:rsidRPr="005D054D" w:rsidRDefault="00B956C8" w:rsidP="00F30FF8">
      <w:pPr>
        <w:pStyle w:val="Heading2"/>
        <w:spacing w:after="240"/>
      </w:pPr>
      <w:bookmarkStart w:id="16" w:name="_Toc219063308"/>
      <w:r w:rsidRPr="005D054D">
        <w:lastRenderedPageBreak/>
        <w:t>Continued Popularity of Non-Discounting Methods</w:t>
      </w:r>
      <w:bookmarkEnd w:id="16"/>
    </w:p>
    <w:p w14:paraId="51DD2C79" w14:textId="0DB24C50" w:rsidR="00B956C8" w:rsidRDefault="00B956C8" w:rsidP="00B956C8">
      <w:r>
        <w:t>Although discounted cash flow approaches are theoretically superior, non-discounting approaches, like Payback Period and Accounting Rate of Return (ARR), are still inherent in business practice, especially with smaller firms and with the initial assessment of a project. Their tenacity is pragmatic, as opposed to critical accuracy.</w:t>
      </w:r>
    </w:p>
    <w:p w14:paraId="2CFFFCE5" w14:textId="617AE5EA" w:rsidR="00B956C8" w:rsidRDefault="00B956C8" w:rsidP="00B956C8">
      <w:r>
        <w:t xml:space="preserve">A key reason is simplicity. Payback period answers the intuitive question of how fast an investment can be recovered and can thus be easily interpreted by the non-financial managers, and also communication is made across the </w:t>
      </w:r>
      <w:proofErr w:type="spellStart"/>
      <w:r>
        <w:t>organisational</w:t>
      </w:r>
      <w:proofErr w:type="spellEnd"/>
      <w:r>
        <w:t xml:space="preserve"> levels (</w:t>
      </w:r>
      <w:r w:rsidR="00AA7634">
        <w:t>Kumar and George, 2020</w:t>
      </w:r>
      <w:r>
        <w:t>). In the case of Westward, the payback of about 2.4 years of Option A, 2.3 years of Option B, and 2.2 years of Option C gives good and ready comparative measures.</w:t>
      </w:r>
    </w:p>
    <w:p w14:paraId="739595FC" w14:textId="77777777" w:rsidR="00B956C8" w:rsidRDefault="00B956C8" w:rsidP="00B956C8">
      <w:r>
        <w:t>Payback period is also a simple indicator of liquidity because it indicates the rate at which capital is invested by the business. It applies especially to firms that work under cash constraints or in an unpredictable environment, with faster recovery lessening exposure to market volatility and technological obsolescence (Drury, 2020).</w:t>
      </w:r>
    </w:p>
    <w:p w14:paraId="4CA7D89C" w14:textId="77777777" w:rsidR="00B956C8" w:rsidRDefault="00B956C8" w:rsidP="00B956C8">
      <w:r>
        <w:t>ARR is appealing because it uses accounting profits, which are close to other common financial measures applied in internal reporting. Most managers used to ROI, or ROCE, tend to use ARR to ensure that investment appraisal and performance evaluation systems are consistent (</w:t>
      </w:r>
      <w:proofErr w:type="spellStart"/>
      <w:r>
        <w:t>Bhimani</w:t>
      </w:r>
      <w:proofErr w:type="spellEnd"/>
      <w:r>
        <w:t>, 2022).</w:t>
      </w:r>
    </w:p>
    <w:p w14:paraId="5E2DC072" w14:textId="1AB23B1D" w:rsidR="00B956C8" w:rsidRDefault="00B956C8" w:rsidP="00B956C8">
      <w:r>
        <w:t xml:space="preserve">Non-discounting techniques are useful as a complement to NPV, even though the latter is used to make final decisions. Payback </w:t>
      </w:r>
      <w:proofErr w:type="spellStart"/>
      <w:proofErr w:type="gramStart"/>
      <w:r>
        <w:t>hel</w:t>
      </w:r>
      <w:proofErr w:type="spellEnd"/>
      <w:proofErr w:type="gramEnd"/>
      <w:r>
        <w:t>£ in speedy screening, and ARR offers helpful accounting-based performance metrics.</w:t>
      </w:r>
    </w:p>
    <w:p w14:paraId="6528D765" w14:textId="77777777" w:rsidR="00F30FF8" w:rsidRDefault="00F30FF8">
      <w:pPr>
        <w:rPr>
          <w:rFonts w:eastAsiaTheme="majorEastAsia" w:cstheme="majorBidi"/>
          <w:b/>
          <w:sz w:val="28"/>
          <w:szCs w:val="32"/>
        </w:rPr>
      </w:pPr>
      <w:r>
        <w:br w:type="page"/>
      </w:r>
    </w:p>
    <w:p w14:paraId="1C3CC536" w14:textId="5F449584" w:rsidR="00B956C8" w:rsidRPr="005D054D" w:rsidRDefault="00B956C8" w:rsidP="00F30FF8">
      <w:pPr>
        <w:pStyle w:val="Heading2"/>
        <w:spacing w:after="240"/>
      </w:pPr>
      <w:bookmarkStart w:id="17" w:name="_Toc219063309"/>
      <w:r w:rsidRPr="005D054D">
        <w:lastRenderedPageBreak/>
        <w:t>Additional Investment Considerations</w:t>
      </w:r>
      <w:bookmarkEnd w:id="17"/>
    </w:p>
    <w:p w14:paraId="62665C64" w14:textId="1951781E" w:rsidR="00B956C8" w:rsidRDefault="00B956C8" w:rsidP="00B956C8">
      <w:r w:rsidRPr="00CB737F">
        <w:rPr>
          <w:b/>
          <w:bCs/>
        </w:rPr>
        <w:t>Strategic Fit and Competitive Positioning:</w:t>
      </w:r>
      <w:r>
        <w:t xml:space="preserve"> Quantitative analysis should not be used as a complete foundation of investment decisions because it is necessary that directors evaluate wider strategic opportunities (</w:t>
      </w:r>
      <w:proofErr w:type="spellStart"/>
      <w:r>
        <w:t>Atrill</w:t>
      </w:r>
      <w:proofErr w:type="spellEnd"/>
      <w:r>
        <w:t>, 2019). Option C would have provided diversification on the blinds and less dependence on the sale of curtains, and could possibly enhance competitive strength. Nonetheless, this growth necessitates new abilities that can diffuse management attention.</w:t>
      </w:r>
    </w:p>
    <w:p w14:paraId="69DF81C6" w14:textId="77777777" w:rsidR="002E68F0" w:rsidRDefault="00B956C8" w:rsidP="002E68F0">
      <w:r w:rsidRPr="006A16F4">
        <w:rPr>
          <w:b/>
          <w:bCs/>
        </w:rPr>
        <w:t>Market Demand and Competitive Dynamics:</w:t>
      </w:r>
      <w:r>
        <w:t xml:space="preserve"> The market analysis should be strong to confirm the cash flow assumptions concerning demand growth, sustaining price, and competitive reaction (Kotler and Keller, 2016). </w:t>
      </w:r>
      <w:r w:rsidR="002E68F0">
        <w:t>A major drawback of the online selling model provided in option B is that it is vulnerable to high levels of online competition that entail prolonged marketing costs and technological innovations that are still to be evaluated comprehensively in the initial estimation.</w:t>
      </w:r>
    </w:p>
    <w:p w14:paraId="11323B49" w14:textId="3E827760" w:rsidR="00B956C8" w:rsidRDefault="002E68F0" w:rsidP="002E68F0">
      <w:proofErr w:type="spellStart"/>
      <w:r w:rsidRPr="002E68F0">
        <w:rPr>
          <w:b/>
          <w:bCs/>
        </w:rPr>
        <w:t>Organisational</w:t>
      </w:r>
      <w:proofErr w:type="spellEnd"/>
      <w:r w:rsidRPr="002E68F0">
        <w:rPr>
          <w:b/>
          <w:bCs/>
        </w:rPr>
        <w:t xml:space="preserve"> Capability and Execution Risk:</w:t>
      </w:r>
      <w:r>
        <w:t xml:space="preserve"> It involves internal capabilities being successful in the implementation process.</w:t>
      </w:r>
      <w:r w:rsidR="00B956C8">
        <w:t xml:space="preserve"> Alternative B involves skills in the field of e-commerce, digital marketing, and logistics, which may need alliances or acquisitions to overcome the capabilities </w:t>
      </w:r>
      <w:proofErr w:type="spellStart"/>
      <w:r w:rsidR="00B956C8">
        <w:t>ga</w:t>
      </w:r>
      <w:proofErr w:type="spellEnd"/>
      <w:r w:rsidR="00B956C8">
        <w:t>£ (</w:t>
      </w:r>
      <w:proofErr w:type="spellStart"/>
      <w:r w:rsidR="00B956C8">
        <w:t>Bhimani</w:t>
      </w:r>
      <w:proofErr w:type="spellEnd"/>
      <w:r w:rsidR="00B956C8">
        <w:t>, 2022).</w:t>
      </w:r>
    </w:p>
    <w:p w14:paraId="4F1908E1" w14:textId="63FC3A1E" w:rsidR="00B956C8" w:rsidRDefault="00B956C8" w:rsidP="00B956C8">
      <w:r w:rsidRPr="00CB737F">
        <w:rPr>
          <w:b/>
          <w:bCs/>
        </w:rPr>
        <w:t>Flexibility and Real Options:</w:t>
      </w:r>
      <w:r>
        <w:t xml:space="preserve"> Investments can incorporate strategic flexibility into NPV analysis. Option B opens the prospect of international expansion, and Option C opens the prospect of the future expansion of the product.</w:t>
      </w:r>
    </w:p>
    <w:p w14:paraId="0E7683C5" w14:textId="68332F40" w:rsidR="00B956C8" w:rsidRDefault="00B956C8" w:rsidP="00B956C8">
      <w:r w:rsidRPr="00CB737F">
        <w:rPr>
          <w:b/>
          <w:bCs/>
        </w:rPr>
        <w:t>ESG Considerations:</w:t>
      </w:r>
      <w:r>
        <w:t xml:space="preserve"> Environmental, social, and governance factors are gaining more and more power to determine the results of investing by providing reputational and regulatory impacts (Eccles </w:t>
      </w:r>
      <w:r w:rsidR="003133DE" w:rsidRPr="003133DE">
        <w:rPr>
          <w:i/>
          <w:iCs/>
        </w:rPr>
        <w:t>et al.</w:t>
      </w:r>
      <w:r>
        <w:t>, 2014). Criteria that need to be reviewed by directors include environmental impact, supply chain ethics, and social implications of all alternatives.</w:t>
      </w:r>
    </w:p>
    <w:p w14:paraId="73A9E2D9" w14:textId="77777777" w:rsidR="00B956C8" w:rsidRPr="006A16F4" w:rsidRDefault="00B956C8" w:rsidP="00B956C8"/>
    <w:p w14:paraId="57708735" w14:textId="77777777" w:rsidR="00B956C8" w:rsidRDefault="00B956C8" w:rsidP="00B956C8">
      <w:pPr>
        <w:rPr>
          <w:b/>
          <w:bCs/>
        </w:rPr>
      </w:pPr>
      <w:r>
        <w:rPr>
          <w:b/>
          <w:bCs/>
        </w:rPr>
        <w:br w:type="page"/>
      </w:r>
    </w:p>
    <w:p w14:paraId="12FFD725" w14:textId="77777777" w:rsidR="00B956C8" w:rsidRPr="005D054D" w:rsidRDefault="00B956C8" w:rsidP="00F30FF8">
      <w:pPr>
        <w:pStyle w:val="Heading2"/>
        <w:spacing w:after="240"/>
      </w:pPr>
      <w:bookmarkStart w:id="18" w:name="_Toc219063310"/>
      <w:r w:rsidRPr="005D054D">
        <w:lastRenderedPageBreak/>
        <w:t>Capital Rationing Analysis</w:t>
      </w:r>
      <w:bookmarkEnd w:id="18"/>
    </w:p>
    <w:p w14:paraId="7BED6694" w14:textId="77777777" w:rsidR="00B956C8" w:rsidRDefault="00B956C8" w:rsidP="00B956C8">
      <w:r>
        <w:t>Investment capacity is limited by the state of capital availability to £2,500,000, even though the theoretically accepted range of positive-NPV projects is unrestricted; optimal capital allocation implies a systematic analysis of the returns per pound invested (Drury, 2020). The profitability index (PI), which is computed as NPV/initial investment, offers the right ranking:</w:t>
      </w:r>
    </w:p>
    <w:p w14:paraId="5D85282F" w14:textId="77777777" w:rsidR="00B956C8" w:rsidRPr="005D054D" w:rsidRDefault="00B956C8" w:rsidP="00B956C8">
      <w:pPr>
        <w:numPr>
          <w:ilvl w:val="0"/>
          <w:numId w:val="5"/>
        </w:numPr>
      </w:pPr>
      <w:r w:rsidRPr="005D054D">
        <w:rPr>
          <w:b/>
          <w:bCs/>
        </w:rPr>
        <w:t>Option A:</w:t>
      </w:r>
      <w:r w:rsidRPr="005D054D">
        <w:t xml:space="preserve"> PI = </w:t>
      </w:r>
      <w:r w:rsidRPr="006A16F4">
        <w:t>£</w:t>
      </w:r>
      <w:r>
        <w:t>1,2</w:t>
      </w:r>
      <w:r w:rsidRPr="006A16F4">
        <w:t>43,166</w:t>
      </w:r>
      <w:r>
        <w:t xml:space="preserve"> </w:t>
      </w:r>
      <w:r w:rsidRPr="005D054D">
        <w:t xml:space="preserve">/ £600,000 = </w:t>
      </w:r>
      <w:r>
        <w:t>2.07</w:t>
      </w:r>
    </w:p>
    <w:p w14:paraId="58638CFB" w14:textId="77777777" w:rsidR="00B956C8" w:rsidRPr="005D054D" w:rsidRDefault="00B956C8" w:rsidP="00B956C8">
      <w:pPr>
        <w:numPr>
          <w:ilvl w:val="0"/>
          <w:numId w:val="5"/>
        </w:numPr>
      </w:pPr>
      <w:r w:rsidRPr="005D054D">
        <w:rPr>
          <w:b/>
          <w:bCs/>
        </w:rPr>
        <w:t>Option B:</w:t>
      </w:r>
      <w:r w:rsidRPr="005D054D">
        <w:t xml:space="preserve"> PI = </w:t>
      </w:r>
      <w:r w:rsidRPr="006A16F4">
        <w:t>£</w:t>
      </w:r>
      <w:r>
        <w:t>1,</w:t>
      </w:r>
      <w:r w:rsidRPr="006A16F4">
        <w:t>792,227</w:t>
      </w:r>
      <w:r>
        <w:t xml:space="preserve"> </w:t>
      </w:r>
      <w:r w:rsidRPr="005D054D">
        <w:t xml:space="preserve">/ £1,000,000 = </w:t>
      </w:r>
      <w:r>
        <w:t>1.79</w:t>
      </w:r>
    </w:p>
    <w:p w14:paraId="7E246753" w14:textId="77777777" w:rsidR="00B956C8" w:rsidRPr="005D054D" w:rsidRDefault="00B956C8" w:rsidP="00B956C8">
      <w:pPr>
        <w:numPr>
          <w:ilvl w:val="0"/>
          <w:numId w:val="5"/>
        </w:numPr>
      </w:pPr>
      <w:r w:rsidRPr="005D054D">
        <w:rPr>
          <w:b/>
          <w:bCs/>
        </w:rPr>
        <w:t>Option C:</w:t>
      </w:r>
      <w:r w:rsidRPr="005D054D">
        <w:t xml:space="preserve"> PI = </w:t>
      </w:r>
      <w:r w:rsidRPr="006A16F4">
        <w:t>£</w:t>
      </w:r>
      <w:r>
        <w:t>2,3</w:t>
      </w:r>
      <w:r w:rsidRPr="006A16F4">
        <w:t>42,474</w:t>
      </w:r>
      <w:r>
        <w:t xml:space="preserve"> </w:t>
      </w:r>
      <w:r w:rsidRPr="005D054D">
        <w:t xml:space="preserve">/ £1,600,000 = </w:t>
      </w:r>
      <w:r>
        <w:t>1</w:t>
      </w:r>
      <w:r w:rsidRPr="005D054D">
        <w:t>.</w:t>
      </w:r>
      <w:r>
        <w:t>46</w:t>
      </w:r>
    </w:p>
    <w:p w14:paraId="559CDBCE" w14:textId="77777777" w:rsidR="00B956C8" w:rsidRDefault="00B956C8" w:rsidP="00B956C8">
      <w:pPr>
        <w:pStyle w:val="ListParagraph"/>
        <w:numPr>
          <w:ilvl w:val="0"/>
          <w:numId w:val="5"/>
        </w:numPr>
      </w:pPr>
      <w:r>
        <w:t>In the case of the divisible projects assumption, in which fractional investments are possible, the optimal strategy ranks projects in terms of profitability index and makes capital investments in a sequence until the budget is depleted. First choice is option A (PI = 2.07), then there is option B (PI = 1.79), and lastly is option C (PI = 1.46).</w:t>
      </w:r>
    </w:p>
    <w:p w14:paraId="7DA94307" w14:textId="77777777" w:rsidR="00B956C8" w:rsidRPr="005D054D" w:rsidRDefault="00B956C8" w:rsidP="00B956C8">
      <w:r w:rsidRPr="005D054D">
        <w:rPr>
          <w:b/>
          <w:bCs/>
        </w:rPr>
        <w:t>Optimal Investment Policy:</w:t>
      </w:r>
    </w:p>
    <w:p w14:paraId="617D5189" w14:textId="54705390" w:rsidR="00B956C8" w:rsidRPr="005D054D" w:rsidRDefault="00B956C8" w:rsidP="00B956C8">
      <w:pPr>
        <w:numPr>
          <w:ilvl w:val="0"/>
          <w:numId w:val="6"/>
        </w:numPr>
      </w:pPr>
      <w:r w:rsidRPr="005D054D">
        <w:t xml:space="preserve">Invest 100% in Option </w:t>
      </w:r>
      <w:r w:rsidR="00AE2FF5">
        <w:t>A</w:t>
      </w:r>
      <w:r w:rsidRPr="005D054D">
        <w:t>: £600,000 capital, £</w:t>
      </w:r>
      <w:r w:rsidR="00F7557A" w:rsidRPr="00F7557A">
        <w:t>643,166</w:t>
      </w:r>
      <w:r w:rsidR="00F7557A">
        <w:rPr>
          <w:b/>
          <w:bCs/>
        </w:rPr>
        <w:t xml:space="preserve"> </w:t>
      </w:r>
      <w:r w:rsidRPr="005D054D">
        <w:t>NPV</w:t>
      </w:r>
    </w:p>
    <w:p w14:paraId="1FADE77D" w14:textId="667EC3C4" w:rsidR="00B956C8" w:rsidRDefault="00B956C8" w:rsidP="00B956C8">
      <w:pPr>
        <w:numPr>
          <w:ilvl w:val="0"/>
          <w:numId w:val="6"/>
        </w:numPr>
      </w:pPr>
      <w:r w:rsidRPr="005D054D">
        <w:t xml:space="preserve">Invest </w:t>
      </w:r>
      <w:r>
        <w:t>100%</w:t>
      </w:r>
      <w:r w:rsidRPr="005D054D">
        <w:t xml:space="preserve"> in Option B (£</w:t>
      </w:r>
      <w:r>
        <w:t>1,0</w:t>
      </w:r>
      <w:r w:rsidRPr="005D054D">
        <w:t xml:space="preserve">00,000): </w:t>
      </w:r>
      <w:r w:rsidRPr="006A16F4">
        <w:t>£</w:t>
      </w:r>
      <w:r w:rsidR="00F7557A" w:rsidRPr="00F7557A">
        <w:t>792,227</w:t>
      </w:r>
      <w:r w:rsidRPr="005D054D">
        <w:t>NPV</w:t>
      </w:r>
    </w:p>
    <w:p w14:paraId="6D965D68" w14:textId="2A297D45" w:rsidR="00B956C8" w:rsidRPr="005D054D" w:rsidRDefault="00B956C8" w:rsidP="00B956C8">
      <w:pPr>
        <w:numPr>
          <w:ilvl w:val="0"/>
          <w:numId w:val="6"/>
        </w:numPr>
      </w:pPr>
      <w:r w:rsidRPr="005D054D">
        <w:t xml:space="preserve">Invest </w:t>
      </w:r>
      <w:r w:rsidR="00991D5E">
        <w:t>56.25</w:t>
      </w:r>
      <w:r>
        <w:t>%</w:t>
      </w:r>
      <w:r w:rsidRPr="005D054D">
        <w:t xml:space="preserve"> in Option </w:t>
      </w:r>
      <w:r w:rsidR="00AE2FF5">
        <w:t>C</w:t>
      </w:r>
      <w:r w:rsidRPr="005D054D">
        <w:t xml:space="preserve"> (£</w:t>
      </w:r>
      <w:r>
        <w:t>9</w:t>
      </w:r>
      <w:r w:rsidRPr="005D054D">
        <w:t xml:space="preserve">00,000): </w:t>
      </w:r>
      <w:r w:rsidRPr="006A16F4">
        <w:t>£</w:t>
      </w:r>
      <w:r w:rsidR="00F7557A" w:rsidRPr="00F7557A">
        <w:t>417,642</w:t>
      </w:r>
      <w:r w:rsidRPr="005D054D">
        <w:t>NPV</w:t>
      </w:r>
    </w:p>
    <w:p w14:paraId="3C8A450F" w14:textId="191628B7" w:rsidR="00B956C8" w:rsidRDefault="00B956C8" w:rsidP="00B956C8">
      <w:r>
        <w:t>This allocation will produce a total NPV of £</w:t>
      </w:r>
      <w:r w:rsidR="00F7557A">
        <w:t>1,853,035</w:t>
      </w:r>
      <w:r w:rsidR="00834CF9">
        <w:t>,</w:t>
      </w:r>
      <w:r>
        <w:t xml:space="preserve"> which is superior to other combinations and reflects ideal capital usage when there is rationing.</w:t>
      </w:r>
    </w:p>
    <w:p w14:paraId="1F88280B" w14:textId="77777777" w:rsidR="00B956C8" w:rsidRDefault="00B956C8" w:rsidP="00B956C8">
      <w:r>
        <w:br w:type="page"/>
      </w:r>
    </w:p>
    <w:p w14:paraId="4574EE6F" w14:textId="77777777" w:rsidR="00B956C8" w:rsidRPr="005D054D" w:rsidRDefault="00B956C8" w:rsidP="00F30FF8">
      <w:pPr>
        <w:pStyle w:val="Heading2"/>
        <w:spacing w:after="240"/>
      </w:pPr>
      <w:bookmarkStart w:id="19" w:name="_Toc219063311"/>
      <w:r w:rsidRPr="005D054D">
        <w:lastRenderedPageBreak/>
        <w:t>Financing Recommendations</w:t>
      </w:r>
      <w:bookmarkEnd w:id="19"/>
    </w:p>
    <w:p w14:paraId="31EBFA42" w14:textId="5F4AEAF1" w:rsidR="00B956C8" w:rsidRDefault="00B956C8" w:rsidP="00B956C8">
      <w:r>
        <w:t>The required funding in the suggested £1,600,000 investment (Option C) will need a well-structured financing that will consider cost, risk, flexibility and control aspects. The hybrid financing method that involves several sources seems to be the best solution for Westward.</w:t>
      </w:r>
    </w:p>
    <w:p w14:paraId="44EC78F6" w14:textId="7427BDC5" w:rsidR="00B956C8" w:rsidRDefault="00B956C8" w:rsidP="00B956C8">
      <w:r w:rsidRPr="00CB737F">
        <w:rPr>
          <w:b/>
          <w:bCs/>
        </w:rPr>
        <w:t>Retained Earnings (£500,000 - 31.25%):</w:t>
      </w:r>
      <w:r>
        <w:t xml:space="preserve"> Using accumulated profits is the cheapest capital, thus eliminating any issuance costs and interest costs and keeping the ownership (</w:t>
      </w:r>
      <w:proofErr w:type="spellStart"/>
      <w:r>
        <w:t>Brealey</w:t>
      </w:r>
      <w:proofErr w:type="spellEnd"/>
      <w:r>
        <w:t xml:space="preserve"> </w:t>
      </w:r>
      <w:r w:rsidR="003133DE" w:rsidRPr="003133DE">
        <w:rPr>
          <w:i/>
          <w:iCs/>
        </w:rPr>
        <w:t>et al.</w:t>
      </w:r>
      <w:r>
        <w:t>, 2020). Nevertheless, high retention can indicate a poor investment opportunity to the equity markets or deprivation of dividends to the shareholders.</w:t>
      </w:r>
    </w:p>
    <w:p w14:paraId="3EE95E0B" w14:textId="64E43F0C" w:rsidR="00B956C8" w:rsidRDefault="00B956C8" w:rsidP="00B956C8">
      <w:r w:rsidRPr="00CB737F">
        <w:rPr>
          <w:b/>
          <w:bCs/>
        </w:rPr>
        <w:t>Term Loan Facility (£800,000 - 50):</w:t>
      </w:r>
      <w:r>
        <w:t xml:space="preserve"> Bank debt is tax-deductible and does not affect the ownership structure. Fixed-rate loans ensure predictability in costs of financing, whereas asset-backed lending, which is secured by new equipment, has good rates. Nonetheless, debt ratios augment financial risk by binding covenant limitations.</w:t>
      </w:r>
    </w:p>
    <w:p w14:paraId="19C99C52" w14:textId="57226136" w:rsidR="00B956C8" w:rsidRDefault="00B956C8" w:rsidP="00B956C8">
      <w:r w:rsidRPr="00CB737F">
        <w:rPr>
          <w:b/>
          <w:bCs/>
        </w:rPr>
        <w:t>Equity Financing (£300,000 - 18.75%):</w:t>
      </w:r>
      <w:r>
        <w:t xml:space="preserve"> A small injection of equity, possibly by way of a private issue to the existing shares, is a good addition to the balance sheet and also spreads the risk of the project (</w:t>
      </w:r>
      <w:proofErr w:type="spellStart"/>
      <w:r>
        <w:t>Brealey</w:t>
      </w:r>
      <w:proofErr w:type="spellEnd"/>
      <w:r>
        <w:t xml:space="preserve"> </w:t>
      </w:r>
      <w:r w:rsidR="003133DE" w:rsidRPr="003133DE">
        <w:rPr>
          <w:i/>
          <w:iCs/>
        </w:rPr>
        <w:t>et al.</w:t>
      </w:r>
      <w:r>
        <w:t>, 2020). Equity does not have any fixed obligations, hence it offers financial flexibility in times of cash flow. Nonetheless, equity water dilutes ownership and is the most costly source of capital that must offer the highest returns.</w:t>
      </w:r>
    </w:p>
    <w:p w14:paraId="667EC4D6" w14:textId="77777777" w:rsidR="00B956C8" w:rsidRDefault="00B956C8" w:rsidP="00B956C8">
      <w:r>
        <w:t>This is a moderate strategy, which takes advantage of cost-efficient debt but provides financial flexibility and does not bring over leverage. Westward ought to negotiate the loan covenant very well, such that there is enough flexibility in its operation without incurring uncompetitive rates.</w:t>
      </w:r>
    </w:p>
    <w:p w14:paraId="42EF1F10" w14:textId="77777777" w:rsidR="003133DE" w:rsidRDefault="003133DE">
      <w:r>
        <w:br w:type="page"/>
      </w:r>
    </w:p>
    <w:p w14:paraId="47A01F08" w14:textId="77777777" w:rsidR="003133DE" w:rsidRDefault="003133DE" w:rsidP="003133DE">
      <w:pPr>
        <w:pStyle w:val="Heading1"/>
        <w:spacing w:after="240"/>
      </w:pPr>
      <w:bookmarkStart w:id="20" w:name="_Toc219063312"/>
      <w:r>
        <w:lastRenderedPageBreak/>
        <w:t>Conclusion</w:t>
      </w:r>
      <w:bookmarkEnd w:id="20"/>
    </w:p>
    <w:p w14:paraId="60E1DC01" w14:textId="77777777" w:rsidR="003133DE" w:rsidRDefault="003133DE" w:rsidP="003133DE">
      <w:r>
        <w:t>The basis of the financial management and strategic planning at the board level has been discussed in this report, as well as the historical financial performance and future decision-making of investments. The report has identified how quantitative financial analysis can be used to make decisions that are in the best interest of the shareholders, yet sustainable to the financial resources of the company, using the ratio analysis and capital investment appraisal methods.</w:t>
      </w:r>
    </w:p>
    <w:p w14:paraId="53C20BBF" w14:textId="77777777" w:rsidR="003133DE" w:rsidRDefault="003133DE" w:rsidP="003133DE">
      <w:r>
        <w:t>Part 1 of the financial statement and ratio analysis of Whitbread PLC shows that the company is one that has strong underlying financial health. Profitability ratios indicate that Whitbread has been enjoying strong margins in the face of inflationary forces that have hit the UK hospitality industry, which indicates good cost management and pricing strength. The increase in the ROE and ROA also indicates better efficiency in the use of capital and assets. The liquidity ratios are below the normal standards, but standard in the environment of the cash-generative hospitality business model and with high committed credit facilities. The interest coverage and gearing ratios evidenced a sound capital structure with decreasing leverage and a high debt-servicing ratio, enabling it to have the flexibility needed to fund its future growth. The analysis, however, also reveals the weaknesses of the ratio analysis, specifically that it bases its analysis on historical data and accounting assumptions, which supports the importance of the use of supplementary qualitative and strategic analysis.</w:t>
      </w:r>
    </w:p>
    <w:p w14:paraId="5649821E" w14:textId="77777777" w:rsidR="003133DE" w:rsidRDefault="003133DE" w:rsidP="003133DE">
      <w:r>
        <w:t xml:space="preserve">Part 2 used investment appraisal methods to test strategic expansion alternatives of Westward PLC. The Net Present Value analysis made it clear that all three proposed projects are financially feasible since they all yield a positive NPV at the cost of capital of the company. The most appropriate alternative is the internet sales development option, as it generated the highest NPV and IRR, which shows a better value creation and a significant margin of safety over the required return. The analysis confirmed the theoretical dominance of NPV as the major decision-making instrument because it is directly connected to the </w:t>
      </w:r>
      <w:proofErr w:type="spellStart"/>
      <w:r>
        <w:t>maximisation</w:t>
      </w:r>
      <w:proofErr w:type="spellEnd"/>
      <w:r>
        <w:t xml:space="preserve"> of shareholder wealth, it can be used to address mutually exclusive projects, and it can be used to address capital rationing decisions.</w:t>
      </w:r>
    </w:p>
    <w:p w14:paraId="5D1189AB" w14:textId="77777777" w:rsidR="003133DE" w:rsidRDefault="003133DE" w:rsidP="003133DE">
      <w:r>
        <w:t xml:space="preserve">The profitability index technique made it possible to come up with an optimal investment policy when there was limited capital availability to ensure that limited funding was efficiently </w:t>
      </w:r>
      <w:r>
        <w:lastRenderedPageBreak/>
        <w:t xml:space="preserve">used to </w:t>
      </w:r>
      <w:proofErr w:type="spellStart"/>
      <w:r>
        <w:t>maximise</w:t>
      </w:r>
      <w:proofErr w:type="spellEnd"/>
      <w:r>
        <w:t xml:space="preserve"> the total NPV. This supports the need to have disciplined capital allocation in areas where financial resources are limited.</w:t>
      </w:r>
    </w:p>
    <w:p w14:paraId="285237C9" w14:textId="4859EFDB" w:rsidR="00B956C8" w:rsidRDefault="003133DE" w:rsidP="003133DE">
      <w:r>
        <w:t xml:space="preserve">The report ends with the recommendation of the balanced financing scheme with the use of retained earnings, debt finance and a limited share of equity. </w:t>
      </w:r>
      <w:r w:rsidR="00025A04" w:rsidRPr="00025A04">
        <w:t xml:space="preserve">This will </w:t>
      </w:r>
      <w:proofErr w:type="spellStart"/>
      <w:r w:rsidR="00025A04" w:rsidRPr="00025A04">
        <w:t>minimise</w:t>
      </w:r>
      <w:proofErr w:type="spellEnd"/>
      <w:r w:rsidR="00025A04" w:rsidRPr="00025A04">
        <w:t xml:space="preserve"> the total cost of capital, financial flexibility, and risk containment. Lastly, the report findings have shown that financial management should be holistic, thereby incorporating a blend of solid financial examination, prudent choice of strategy and sound financing decisions in a bid to add long-term </w:t>
      </w:r>
      <w:proofErr w:type="spellStart"/>
      <w:r w:rsidR="00025A04" w:rsidRPr="00025A04">
        <w:t>organisational</w:t>
      </w:r>
      <w:proofErr w:type="spellEnd"/>
      <w:r w:rsidR="00025A04" w:rsidRPr="00025A04">
        <w:t xml:space="preserve"> prosperity.</w:t>
      </w:r>
      <w:r w:rsidR="00B956C8">
        <w:br w:type="page"/>
      </w:r>
    </w:p>
    <w:p w14:paraId="7532DF07" w14:textId="4A2FFA83" w:rsidR="00B956C8" w:rsidRPr="00EB6898" w:rsidRDefault="00AA7634" w:rsidP="00AA7634">
      <w:pPr>
        <w:pStyle w:val="Heading1"/>
        <w:spacing w:after="240"/>
      </w:pPr>
      <w:bookmarkStart w:id="21" w:name="_Toc219063313"/>
      <w:r>
        <w:lastRenderedPageBreak/>
        <w:t>References</w:t>
      </w:r>
      <w:bookmarkEnd w:id="21"/>
    </w:p>
    <w:p w14:paraId="18E3C7C0" w14:textId="77777777" w:rsidR="00AE2FF5" w:rsidRPr="00AE2FF5" w:rsidRDefault="00AE2FF5" w:rsidP="00AE2FF5">
      <w:proofErr w:type="spellStart"/>
      <w:r w:rsidRPr="00AE2FF5">
        <w:t>Aigbedo</w:t>
      </w:r>
      <w:proofErr w:type="spellEnd"/>
      <w:r w:rsidRPr="00AE2FF5">
        <w:t>, H. (2021). Impact of COVID-19 on the hospitality industry: A supply chain resilience perspective. </w:t>
      </w:r>
      <w:r w:rsidRPr="00AE2FF5">
        <w:rPr>
          <w:i/>
          <w:iCs/>
        </w:rPr>
        <w:t>International Journal of Hospitality Management</w:t>
      </w:r>
      <w:r w:rsidRPr="00AE2FF5">
        <w:t>, </w:t>
      </w:r>
      <w:r w:rsidRPr="00AE2FF5">
        <w:rPr>
          <w:i/>
          <w:iCs/>
        </w:rPr>
        <w:t>98</w:t>
      </w:r>
      <w:r w:rsidRPr="00AE2FF5">
        <w:t xml:space="preserve">, 103012. </w:t>
      </w:r>
      <w:hyperlink r:id="rId10" w:history="1">
        <w:r w:rsidRPr="00AE2FF5">
          <w:rPr>
            <w:rStyle w:val="Hyperlink"/>
            <w:color w:val="auto"/>
          </w:rPr>
          <w:t>https://doi.org/10.1016/j.ijhm.2021.103012</w:t>
        </w:r>
      </w:hyperlink>
    </w:p>
    <w:p w14:paraId="7572DEE6" w14:textId="77777777" w:rsidR="00AE2FF5" w:rsidRPr="00AE2FF5" w:rsidRDefault="00AE2FF5" w:rsidP="00AE2FF5">
      <w:proofErr w:type="spellStart"/>
      <w:r w:rsidRPr="00AE2FF5">
        <w:t>Aigbedo</w:t>
      </w:r>
      <w:proofErr w:type="spellEnd"/>
      <w:r w:rsidRPr="00AE2FF5">
        <w:t>, H. (2021). Impact of COVID-19 on the hospitality industry: A supply chain resilience perspective. </w:t>
      </w:r>
      <w:r w:rsidRPr="00AE2FF5">
        <w:rPr>
          <w:i/>
          <w:iCs/>
        </w:rPr>
        <w:t>International Journal of Hospitality Management</w:t>
      </w:r>
      <w:r w:rsidRPr="00AE2FF5">
        <w:t>, </w:t>
      </w:r>
      <w:r w:rsidRPr="00AE2FF5">
        <w:rPr>
          <w:i/>
          <w:iCs/>
        </w:rPr>
        <w:t>98</w:t>
      </w:r>
      <w:r w:rsidRPr="00AE2FF5">
        <w:t xml:space="preserve">, 103012. </w:t>
      </w:r>
      <w:hyperlink r:id="rId11" w:history="1">
        <w:r w:rsidRPr="00AE2FF5">
          <w:rPr>
            <w:rStyle w:val="Hyperlink"/>
            <w:color w:val="auto"/>
          </w:rPr>
          <w:t>https://doi.org/10.1016/j.ijhm.2021.103012</w:t>
        </w:r>
      </w:hyperlink>
    </w:p>
    <w:p w14:paraId="52DE08B4" w14:textId="77777777" w:rsidR="00AE2FF5" w:rsidRPr="00AE2FF5" w:rsidRDefault="00AE2FF5" w:rsidP="00AE2FF5">
      <w:proofErr w:type="spellStart"/>
      <w:r w:rsidRPr="00AE2FF5">
        <w:t>Almamy</w:t>
      </w:r>
      <w:proofErr w:type="spellEnd"/>
      <w:r w:rsidRPr="00AE2FF5">
        <w:t xml:space="preserve">, J., Aston, J., and </w:t>
      </w:r>
      <w:proofErr w:type="spellStart"/>
      <w:r w:rsidRPr="00AE2FF5">
        <w:t>Ngwa</w:t>
      </w:r>
      <w:proofErr w:type="spellEnd"/>
      <w:r w:rsidRPr="00AE2FF5">
        <w:t>, L. N. (2016). An evaluation of Altman's Z-score using cash flow ratio to predict corporate failure amid the recent financial crisis: Evidence from the UK. </w:t>
      </w:r>
      <w:r w:rsidRPr="00AE2FF5">
        <w:rPr>
          <w:i/>
          <w:iCs/>
        </w:rPr>
        <w:t>Journal of Corporate Finance</w:t>
      </w:r>
      <w:r w:rsidRPr="00AE2FF5">
        <w:t>, </w:t>
      </w:r>
      <w:r w:rsidRPr="00AE2FF5">
        <w:rPr>
          <w:i/>
          <w:iCs/>
        </w:rPr>
        <w:t>36</w:t>
      </w:r>
      <w:r w:rsidRPr="00AE2FF5">
        <w:t>, 278-285.</w:t>
      </w:r>
    </w:p>
    <w:p w14:paraId="2B00B1A4" w14:textId="77777777" w:rsidR="00AE2FF5" w:rsidRPr="00AE2FF5" w:rsidRDefault="00AE2FF5" w:rsidP="00AE2FF5">
      <w:proofErr w:type="spellStart"/>
      <w:r w:rsidRPr="00AE2FF5">
        <w:t>Arhinful</w:t>
      </w:r>
      <w:proofErr w:type="spellEnd"/>
      <w:r w:rsidRPr="00AE2FF5">
        <w:t xml:space="preserve">, R., Amin, H. I. M., Mensah, L., </w:t>
      </w:r>
      <w:proofErr w:type="spellStart"/>
      <w:r w:rsidRPr="00AE2FF5">
        <w:t>Gyamfi</w:t>
      </w:r>
      <w:proofErr w:type="spellEnd"/>
      <w:r w:rsidRPr="00AE2FF5">
        <w:t xml:space="preserve">, B. A., and </w:t>
      </w:r>
      <w:proofErr w:type="spellStart"/>
      <w:r w:rsidRPr="00AE2FF5">
        <w:t>Obeng</w:t>
      </w:r>
      <w:proofErr w:type="spellEnd"/>
      <w:r w:rsidRPr="00AE2FF5">
        <w:t>, H. A. (2025). Determining an optimal capital structure and its impact on financial performance. Insight from the firms listed on the New York Stock Exchange. </w:t>
      </w:r>
      <w:r w:rsidRPr="00AE2FF5">
        <w:rPr>
          <w:i/>
          <w:iCs/>
        </w:rPr>
        <w:t>Cogent Economics &amp; Finance</w:t>
      </w:r>
      <w:r w:rsidRPr="00AE2FF5">
        <w:t>, </w:t>
      </w:r>
      <w:r w:rsidRPr="00AE2FF5">
        <w:rPr>
          <w:i/>
          <w:iCs/>
        </w:rPr>
        <w:t>13</w:t>
      </w:r>
      <w:r w:rsidRPr="00AE2FF5">
        <w:t xml:space="preserve">(1), 2571401. </w:t>
      </w:r>
      <w:hyperlink r:id="rId12" w:history="1">
        <w:r w:rsidRPr="00AE2FF5">
          <w:rPr>
            <w:rStyle w:val="Hyperlink"/>
            <w:color w:val="auto"/>
          </w:rPr>
          <w:t>https://doi.org/10.1080/23322039.2025.2571401</w:t>
        </w:r>
      </w:hyperlink>
    </w:p>
    <w:p w14:paraId="54ABA8A9" w14:textId="77777777" w:rsidR="00AE2FF5" w:rsidRPr="00AE2FF5" w:rsidRDefault="00AE2FF5" w:rsidP="00AE2FF5">
      <w:proofErr w:type="spellStart"/>
      <w:r w:rsidRPr="00AE2FF5">
        <w:t>Assaf</w:t>
      </w:r>
      <w:proofErr w:type="spellEnd"/>
      <w:r w:rsidRPr="00AE2FF5">
        <w:t xml:space="preserve">, A. G., and </w:t>
      </w:r>
      <w:proofErr w:type="spellStart"/>
      <w:r w:rsidRPr="00AE2FF5">
        <w:t>Tsionas</w:t>
      </w:r>
      <w:proofErr w:type="spellEnd"/>
      <w:r w:rsidRPr="00AE2FF5">
        <w:t>, M. (2018). Measuring hotel performance: Toward more rigorous evidence in both scope and methods. </w:t>
      </w:r>
      <w:r w:rsidRPr="00AE2FF5">
        <w:rPr>
          <w:i/>
          <w:iCs/>
        </w:rPr>
        <w:t>Tourism Management</w:t>
      </w:r>
      <w:r w:rsidRPr="00AE2FF5">
        <w:t>, </w:t>
      </w:r>
      <w:r w:rsidRPr="00AE2FF5">
        <w:rPr>
          <w:i/>
          <w:iCs/>
        </w:rPr>
        <w:t>69</w:t>
      </w:r>
      <w:r w:rsidRPr="00AE2FF5">
        <w:t xml:space="preserve">, 69-87. </w:t>
      </w:r>
      <w:hyperlink r:id="rId13" w:history="1">
        <w:r w:rsidRPr="00AE2FF5">
          <w:rPr>
            <w:rStyle w:val="Hyperlink"/>
            <w:color w:val="auto"/>
          </w:rPr>
          <w:t>https://doi.org/10.1016/j.tourman.2018.05.008</w:t>
        </w:r>
      </w:hyperlink>
    </w:p>
    <w:p w14:paraId="58722B31" w14:textId="77777777" w:rsidR="00AE2FF5" w:rsidRPr="00AE2FF5" w:rsidRDefault="00AE2FF5" w:rsidP="00AE2FF5">
      <w:proofErr w:type="spellStart"/>
      <w:r w:rsidRPr="00AE2FF5">
        <w:t>Atrill</w:t>
      </w:r>
      <w:proofErr w:type="spellEnd"/>
      <w:r w:rsidRPr="00AE2FF5">
        <w:t xml:space="preserve">, P. (2019) </w:t>
      </w:r>
      <w:r w:rsidRPr="00AE2FF5">
        <w:rPr>
          <w:i/>
          <w:iCs/>
        </w:rPr>
        <w:t>Financial Management for Decision Makers</w:t>
      </w:r>
      <w:r w:rsidRPr="00AE2FF5">
        <w:t xml:space="preserve">. 9th </w:t>
      </w:r>
      <w:proofErr w:type="spellStart"/>
      <w:r w:rsidRPr="00AE2FF5">
        <w:t>edn</w:t>
      </w:r>
      <w:proofErr w:type="spellEnd"/>
      <w:r w:rsidRPr="00AE2FF5">
        <w:t>. Harlow: Pearson.</w:t>
      </w:r>
    </w:p>
    <w:p w14:paraId="2EEFE1CD" w14:textId="77777777" w:rsidR="00AE2FF5" w:rsidRPr="00AE2FF5" w:rsidRDefault="00AE2FF5" w:rsidP="00AE2FF5">
      <w:proofErr w:type="spellStart"/>
      <w:r w:rsidRPr="00AE2FF5">
        <w:t>Bekaert</w:t>
      </w:r>
      <w:proofErr w:type="spellEnd"/>
      <w:r w:rsidRPr="00AE2FF5">
        <w:t xml:space="preserve">, G. (2017) </w:t>
      </w:r>
      <w:r w:rsidRPr="00AE2FF5">
        <w:rPr>
          <w:i/>
          <w:iCs/>
        </w:rPr>
        <w:t>International Financial Management</w:t>
      </w:r>
      <w:r w:rsidRPr="00AE2FF5">
        <w:t xml:space="preserve">. 3rd </w:t>
      </w:r>
      <w:proofErr w:type="spellStart"/>
      <w:r w:rsidRPr="00AE2FF5">
        <w:t>edn</w:t>
      </w:r>
      <w:proofErr w:type="spellEnd"/>
      <w:r w:rsidRPr="00AE2FF5">
        <w:t>. Cambridge: Cambridge University Press.</w:t>
      </w:r>
    </w:p>
    <w:p w14:paraId="43B637A2" w14:textId="77777777" w:rsidR="00AE2FF5" w:rsidRPr="00AE2FF5" w:rsidRDefault="00AE2FF5" w:rsidP="00AE2FF5">
      <w:proofErr w:type="spellStart"/>
      <w:r w:rsidRPr="00AE2FF5">
        <w:t>Bhimani</w:t>
      </w:r>
      <w:proofErr w:type="spellEnd"/>
      <w:r w:rsidRPr="00AE2FF5">
        <w:t xml:space="preserve">, A. (2022) </w:t>
      </w:r>
      <w:r w:rsidRPr="00AE2FF5">
        <w:rPr>
          <w:i/>
          <w:iCs/>
        </w:rPr>
        <w:t>Financial Management for Technology Start-u£: A Handbook for Growth</w:t>
      </w:r>
      <w:r w:rsidRPr="00AE2FF5">
        <w:t xml:space="preserve">. 2nd </w:t>
      </w:r>
      <w:proofErr w:type="spellStart"/>
      <w:r w:rsidRPr="00AE2FF5">
        <w:t>edn</w:t>
      </w:r>
      <w:proofErr w:type="spellEnd"/>
      <w:r w:rsidRPr="00AE2FF5">
        <w:t xml:space="preserve">. London: </w:t>
      </w:r>
      <w:proofErr w:type="spellStart"/>
      <w:r w:rsidRPr="00AE2FF5">
        <w:t>Kogan</w:t>
      </w:r>
      <w:proofErr w:type="spellEnd"/>
      <w:r w:rsidRPr="00AE2FF5">
        <w:t xml:space="preserve"> Page.</w:t>
      </w:r>
    </w:p>
    <w:p w14:paraId="40812A9A" w14:textId="77777777" w:rsidR="00AE2FF5" w:rsidRPr="00AE2FF5" w:rsidRDefault="00AE2FF5" w:rsidP="00AE2FF5">
      <w:proofErr w:type="spellStart"/>
      <w:r w:rsidRPr="00AE2FF5">
        <w:t>Brealey</w:t>
      </w:r>
      <w:proofErr w:type="spellEnd"/>
      <w:r w:rsidRPr="00AE2FF5">
        <w:t xml:space="preserve">, R.A., Myers, S.C. and Allen, F. (2020) </w:t>
      </w:r>
      <w:r w:rsidRPr="00AE2FF5">
        <w:rPr>
          <w:i/>
          <w:iCs/>
        </w:rPr>
        <w:t>Principles of Corporate Finance</w:t>
      </w:r>
      <w:r w:rsidRPr="00AE2FF5">
        <w:t xml:space="preserve">. 13th </w:t>
      </w:r>
      <w:proofErr w:type="spellStart"/>
      <w:r w:rsidRPr="00AE2FF5">
        <w:t>edn</w:t>
      </w:r>
      <w:proofErr w:type="spellEnd"/>
      <w:r w:rsidRPr="00AE2FF5">
        <w:t>. New York: McGraw-Hill.</w:t>
      </w:r>
    </w:p>
    <w:p w14:paraId="364C2D3D" w14:textId="77777777" w:rsidR="00AE2FF5" w:rsidRPr="00AE2FF5" w:rsidRDefault="00AE2FF5" w:rsidP="00AE2FF5">
      <w:proofErr w:type="spellStart"/>
      <w:r w:rsidRPr="00AE2FF5">
        <w:t>Bromiley</w:t>
      </w:r>
      <w:proofErr w:type="spellEnd"/>
      <w:r w:rsidRPr="00AE2FF5">
        <w:t xml:space="preserve">, P., McShane, M., Nair, A., and </w:t>
      </w:r>
      <w:proofErr w:type="spellStart"/>
      <w:r w:rsidRPr="00AE2FF5">
        <w:t>Rustambekov</w:t>
      </w:r>
      <w:proofErr w:type="spellEnd"/>
      <w:r w:rsidRPr="00AE2FF5">
        <w:t>, E. (2015). Enterprise risk management: Review, critique, and research directions. </w:t>
      </w:r>
      <w:r w:rsidRPr="00AE2FF5">
        <w:rPr>
          <w:i/>
          <w:iCs/>
        </w:rPr>
        <w:t>Long range planning</w:t>
      </w:r>
      <w:r w:rsidRPr="00AE2FF5">
        <w:t>, </w:t>
      </w:r>
      <w:r w:rsidRPr="00AE2FF5">
        <w:rPr>
          <w:i/>
          <w:iCs/>
        </w:rPr>
        <w:t>48</w:t>
      </w:r>
      <w:r w:rsidRPr="00AE2FF5">
        <w:t xml:space="preserve">(4), 265-276. </w:t>
      </w:r>
      <w:hyperlink r:id="rId14" w:history="1">
        <w:r w:rsidRPr="00AE2FF5">
          <w:rPr>
            <w:rStyle w:val="Hyperlink"/>
            <w:color w:val="auto"/>
          </w:rPr>
          <w:t>https://doi.org/10.1016/j.lrp.2014.07.005</w:t>
        </w:r>
      </w:hyperlink>
    </w:p>
    <w:p w14:paraId="23704817" w14:textId="77777777" w:rsidR="00AE2FF5" w:rsidRPr="00AE2FF5" w:rsidRDefault="00AE2FF5" w:rsidP="00AE2FF5">
      <w:r w:rsidRPr="00AE2FF5">
        <w:lastRenderedPageBreak/>
        <w:t xml:space="preserve">Chen, M.H., Kim, W.G. and Liao, C.N. (2019) 'The impact of government debt on hotel stock returns', </w:t>
      </w:r>
      <w:r w:rsidRPr="00AE2FF5">
        <w:rPr>
          <w:i/>
          <w:iCs/>
        </w:rPr>
        <w:t>Journal of Hospitality and Tourism Management</w:t>
      </w:r>
      <w:r w:rsidRPr="00AE2FF5">
        <w:t>, 38, pp. 47-55.</w:t>
      </w:r>
    </w:p>
    <w:p w14:paraId="258A6669" w14:textId="77777777" w:rsidR="00AE2FF5" w:rsidRPr="00AE2FF5" w:rsidRDefault="00AE2FF5" w:rsidP="00AE2FF5">
      <w:proofErr w:type="spellStart"/>
      <w:r w:rsidRPr="00AE2FF5">
        <w:t>Chernenko</w:t>
      </w:r>
      <w:proofErr w:type="spellEnd"/>
      <w:r w:rsidRPr="00AE2FF5">
        <w:t xml:space="preserve">, S., </w:t>
      </w:r>
      <w:proofErr w:type="spellStart"/>
      <w:r w:rsidRPr="00AE2FF5">
        <w:t>Erel</w:t>
      </w:r>
      <w:proofErr w:type="spellEnd"/>
      <w:r w:rsidRPr="00AE2FF5">
        <w:t xml:space="preserve">, I., and </w:t>
      </w:r>
      <w:proofErr w:type="spellStart"/>
      <w:r w:rsidRPr="00AE2FF5">
        <w:t>Prilmeier</w:t>
      </w:r>
      <w:proofErr w:type="spellEnd"/>
      <w:r w:rsidRPr="00AE2FF5">
        <w:t>, R. (2022). Why do firms borrow directly from nonbanks</w:t>
      </w:r>
      <w:proofErr w:type="gramStart"/>
      <w:r w:rsidRPr="00AE2FF5">
        <w:t>?.</w:t>
      </w:r>
      <w:proofErr w:type="gramEnd"/>
      <w:r w:rsidRPr="00AE2FF5">
        <w:t> </w:t>
      </w:r>
      <w:r w:rsidRPr="00AE2FF5">
        <w:rPr>
          <w:i/>
          <w:iCs/>
        </w:rPr>
        <w:t>The Review of Financial Studies</w:t>
      </w:r>
      <w:r w:rsidRPr="00AE2FF5">
        <w:t>, </w:t>
      </w:r>
      <w:r w:rsidRPr="00AE2FF5">
        <w:rPr>
          <w:i/>
          <w:iCs/>
        </w:rPr>
        <w:t>35</w:t>
      </w:r>
      <w:r w:rsidRPr="00AE2FF5">
        <w:t>(11), 4902-4947.</w:t>
      </w:r>
    </w:p>
    <w:p w14:paraId="49878BA2" w14:textId="77777777" w:rsidR="00AE2FF5" w:rsidRPr="00AE2FF5" w:rsidRDefault="00AE2FF5" w:rsidP="00AE2FF5">
      <w:r w:rsidRPr="00AE2FF5">
        <w:t>Dai, H., Li, N., Wang, Y., and Zhao, X. (2022, March). The analysis of three main investment criteria: NPV IRR and payback period. In </w:t>
      </w:r>
      <w:r w:rsidRPr="00AE2FF5">
        <w:rPr>
          <w:i/>
          <w:iCs/>
        </w:rPr>
        <w:t>2022 7th International Conference on Financial Innovation and Economic Development (ICFIED 2022)</w:t>
      </w:r>
      <w:r w:rsidRPr="00AE2FF5">
        <w:t xml:space="preserve"> (pp. 185-189). Atlantis Press. </w:t>
      </w:r>
      <w:hyperlink r:id="rId15" w:history="1">
        <w:r w:rsidRPr="00AE2FF5">
          <w:rPr>
            <w:rStyle w:val="Hyperlink"/>
            <w:color w:val="auto"/>
          </w:rPr>
          <w:t>https://doi.org/10.2991/aebmr.k.220307.028</w:t>
        </w:r>
      </w:hyperlink>
    </w:p>
    <w:p w14:paraId="7004963F" w14:textId="77777777" w:rsidR="00AE2FF5" w:rsidRPr="00AE2FF5" w:rsidRDefault="00AE2FF5" w:rsidP="00AE2FF5">
      <w:proofErr w:type="spellStart"/>
      <w:r w:rsidRPr="00AE2FF5">
        <w:t>DeAngelo</w:t>
      </w:r>
      <w:proofErr w:type="spellEnd"/>
      <w:r w:rsidRPr="00AE2FF5">
        <w:t>, H. (2022). The capital structure puzzle: what are we missing</w:t>
      </w:r>
      <w:proofErr w:type="gramStart"/>
      <w:r w:rsidRPr="00AE2FF5">
        <w:t>?.</w:t>
      </w:r>
      <w:proofErr w:type="gramEnd"/>
      <w:r w:rsidRPr="00AE2FF5">
        <w:t> </w:t>
      </w:r>
      <w:r w:rsidRPr="00AE2FF5">
        <w:rPr>
          <w:i/>
          <w:iCs/>
        </w:rPr>
        <w:t>Journal of Financial and Quantitative Analysis</w:t>
      </w:r>
      <w:r w:rsidRPr="00AE2FF5">
        <w:t>, </w:t>
      </w:r>
      <w:r w:rsidRPr="00AE2FF5">
        <w:rPr>
          <w:i/>
          <w:iCs/>
        </w:rPr>
        <w:t>57</w:t>
      </w:r>
      <w:r w:rsidRPr="00AE2FF5">
        <w:t xml:space="preserve">(2), 413-454. </w:t>
      </w:r>
      <w:hyperlink r:id="rId16" w:history="1">
        <w:r w:rsidRPr="00AE2FF5">
          <w:rPr>
            <w:rStyle w:val="Hyperlink"/>
            <w:color w:val="auto"/>
          </w:rPr>
          <w:t>https://doi.org/10.1017/S002210902100079X</w:t>
        </w:r>
      </w:hyperlink>
    </w:p>
    <w:p w14:paraId="7B04EB44" w14:textId="77777777" w:rsidR="00AE2FF5" w:rsidRPr="00AE2FF5" w:rsidRDefault="00AE2FF5" w:rsidP="00AE2FF5">
      <w:r w:rsidRPr="00AE2FF5">
        <w:t xml:space="preserve">Dittmer, P.R. and Keefe, J.D. (2016) </w:t>
      </w:r>
      <w:r w:rsidRPr="00AE2FF5">
        <w:rPr>
          <w:i/>
          <w:iCs/>
        </w:rPr>
        <w:t>Principles of Food, Beverage, and Labor Cost Controls</w:t>
      </w:r>
      <w:r w:rsidRPr="00AE2FF5">
        <w:t xml:space="preserve">. 10th </w:t>
      </w:r>
      <w:proofErr w:type="spellStart"/>
      <w:r w:rsidRPr="00AE2FF5">
        <w:t>edn</w:t>
      </w:r>
      <w:proofErr w:type="spellEnd"/>
      <w:r w:rsidRPr="00AE2FF5">
        <w:t>. Hoboken: Wiley.</w:t>
      </w:r>
    </w:p>
    <w:p w14:paraId="06C27DA0" w14:textId="77777777" w:rsidR="00AE2FF5" w:rsidRPr="00AE2FF5" w:rsidRDefault="00AE2FF5" w:rsidP="00AE2FF5">
      <w:r w:rsidRPr="00AE2FF5">
        <w:t xml:space="preserve">Drury, C. (2020) </w:t>
      </w:r>
      <w:r w:rsidRPr="00AE2FF5">
        <w:rPr>
          <w:i/>
          <w:iCs/>
        </w:rPr>
        <w:t>Management and Cost Accounting</w:t>
      </w:r>
      <w:r w:rsidRPr="00AE2FF5">
        <w:t xml:space="preserve">. 11th </w:t>
      </w:r>
      <w:proofErr w:type="spellStart"/>
      <w:r w:rsidRPr="00AE2FF5">
        <w:t>edn</w:t>
      </w:r>
      <w:proofErr w:type="spellEnd"/>
      <w:r w:rsidRPr="00AE2FF5">
        <w:t>. Andover: Cengage.</w:t>
      </w:r>
    </w:p>
    <w:p w14:paraId="6E5A2895" w14:textId="77777777" w:rsidR="00AE2FF5" w:rsidRPr="00AE2FF5" w:rsidRDefault="00AE2FF5" w:rsidP="00AE2FF5">
      <w:r w:rsidRPr="00AE2FF5">
        <w:t xml:space="preserve">Eccles, R.G., </w:t>
      </w:r>
      <w:proofErr w:type="spellStart"/>
      <w:r w:rsidRPr="00AE2FF5">
        <w:t>Ioannou</w:t>
      </w:r>
      <w:proofErr w:type="spellEnd"/>
      <w:r w:rsidRPr="00AE2FF5">
        <w:t xml:space="preserve">, I. and </w:t>
      </w:r>
      <w:proofErr w:type="spellStart"/>
      <w:r w:rsidRPr="00AE2FF5">
        <w:t>Serafeim</w:t>
      </w:r>
      <w:proofErr w:type="spellEnd"/>
      <w:r w:rsidRPr="00AE2FF5">
        <w:t xml:space="preserve">, G. (2014) 'The impact of corporate sustainability on organizational processes and performance', </w:t>
      </w:r>
      <w:r w:rsidRPr="00AE2FF5">
        <w:rPr>
          <w:i/>
          <w:iCs/>
        </w:rPr>
        <w:t>Management Science</w:t>
      </w:r>
      <w:r w:rsidRPr="00AE2FF5">
        <w:t>, 60(11), pp. 2835-2857.</w:t>
      </w:r>
    </w:p>
    <w:p w14:paraId="13D3C495" w14:textId="77777777" w:rsidR="00AE2FF5" w:rsidRPr="00AE2FF5" w:rsidRDefault="00AE2FF5" w:rsidP="00AE2FF5">
      <w:proofErr w:type="spellStart"/>
      <w:r w:rsidRPr="00AE2FF5">
        <w:t>Gitman</w:t>
      </w:r>
      <w:proofErr w:type="spellEnd"/>
      <w:r w:rsidRPr="00AE2FF5">
        <w:t xml:space="preserve">, L.J. and </w:t>
      </w:r>
      <w:proofErr w:type="spellStart"/>
      <w:r w:rsidRPr="00AE2FF5">
        <w:t>Zutter</w:t>
      </w:r>
      <w:proofErr w:type="spellEnd"/>
      <w:r w:rsidRPr="00AE2FF5">
        <w:t xml:space="preserve">, C.J. (2015) </w:t>
      </w:r>
      <w:r w:rsidRPr="00AE2FF5">
        <w:rPr>
          <w:i/>
          <w:iCs/>
        </w:rPr>
        <w:t>Principles of Managerial Finance</w:t>
      </w:r>
      <w:r w:rsidRPr="00AE2FF5">
        <w:t xml:space="preserve">. 14th </w:t>
      </w:r>
      <w:proofErr w:type="spellStart"/>
      <w:r w:rsidRPr="00AE2FF5">
        <w:t>edn</w:t>
      </w:r>
      <w:proofErr w:type="spellEnd"/>
      <w:r w:rsidRPr="00AE2FF5">
        <w:t>. Harlow: Pearson.</w:t>
      </w:r>
    </w:p>
    <w:p w14:paraId="3E2943B3" w14:textId="77777777" w:rsidR="00AE2FF5" w:rsidRPr="00AE2FF5" w:rsidRDefault="00AE2FF5" w:rsidP="00AE2FF5">
      <w:r w:rsidRPr="00AE2FF5">
        <w:t xml:space="preserve">Horrigan, J.O. (1968) 'A short history of financial ratio analysis', </w:t>
      </w:r>
      <w:r w:rsidRPr="00AE2FF5">
        <w:rPr>
          <w:i/>
          <w:iCs/>
        </w:rPr>
        <w:t>The Accounting Review</w:t>
      </w:r>
      <w:r w:rsidRPr="00AE2FF5">
        <w:t>, 43(2), pp. 284-294.</w:t>
      </w:r>
    </w:p>
    <w:p w14:paraId="5016ED03" w14:textId="77777777" w:rsidR="00AE2FF5" w:rsidRPr="00AE2FF5" w:rsidRDefault="00AE2FF5" w:rsidP="00AE2FF5">
      <w:r w:rsidRPr="00AE2FF5">
        <w:t xml:space="preserve">Hospitality UK (2024) </w:t>
      </w:r>
      <w:r w:rsidRPr="00AE2FF5">
        <w:rPr>
          <w:i/>
          <w:iCs/>
        </w:rPr>
        <w:t>UK Hospitality Industry Report 2024</w:t>
      </w:r>
      <w:r w:rsidRPr="00AE2FF5">
        <w:t xml:space="preserve">. Available at: </w:t>
      </w:r>
      <w:hyperlink r:id="rId17" w:history="1">
        <w:proofErr w:type="spellStart"/>
        <w:r w:rsidRPr="00AE2FF5">
          <w:rPr>
            <w:rStyle w:val="Hyperlink"/>
            <w:color w:val="auto"/>
          </w:rPr>
          <w:t>htt</w:t>
        </w:r>
        <w:proofErr w:type="spellEnd"/>
        <w:r w:rsidRPr="00AE2FF5">
          <w:rPr>
            <w:rStyle w:val="Hyperlink"/>
            <w:color w:val="auto"/>
          </w:rPr>
          <w:t>£://www.ukhospitality.org.uk</w:t>
        </w:r>
      </w:hyperlink>
      <w:r w:rsidRPr="00AE2FF5">
        <w:t xml:space="preserve"> (Accessed: 5 January 2026).</w:t>
      </w:r>
    </w:p>
    <w:p w14:paraId="1A8F74C4" w14:textId="77777777" w:rsidR="00AE2FF5" w:rsidRPr="00AE2FF5" w:rsidRDefault="00AE2FF5" w:rsidP="00AE2FF5">
      <w:proofErr w:type="spellStart"/>
      <w:r w:rsidRPr="00AE2FF5">
        <w:t>Kersten</w:t>
      </w:r>
      <w:proofErr w:type="spellEnd"/>
      <w:r w:rsidRPr="00AE2FF5">
        <w:t xml:space="preserve">, R., Harms, J., </w:t>
      </w:r>
      <w:proofErr w:type="spellStart"/>
      <w:r w:rsidRPr="00AE2FF5">
        <w:t>Liket</w:t>
      </w:r>
      <w:proofErr w:type="spellEnd"/>
      <w:r w:rsidRPr="00AE2FF5">
        <w:t xml:space="preserve">, K. and Maas, K. (2017) 'Small firms, large impact? A systematic review of the SME finance literature', </w:t>
      </w:r>
      <w:r w:rsidRPr="00AE2FF5">
        <w:rPr>
          <w:i/>
          <w:iCs/>
        </w:rPr>
        <w:t>World Development</w:t>
      </w:r>
      <w:r w:rsidRPr="00AE2FF5">
        <w:t>, 97, pp. 330-348.</w:t>
      </w:r>
    </w:p>
    <w:p w14:paraId="0C7F5388" w14:textId="77777777" w:rsidR="00AE2FF5" w:rsidRPr="00AE2FF5" w:rsidRDefault="00AE2FF5" w:rsidP="00AE2FF5">
      <w:proofErr w:type="spellStart"/>
      <w:r w:rsidRPr="00AE2FF5">
        <w:t>Korteweg</w:t>
      </w:r>
      <w:proofErr w:type="spellEnd"/>
      <w:r w:rsidRPr="00AE2FF5">
        <w:t xml:space="preserve">, A., </w:t>
      </w:r>
      <w:proofErr w:type="spellStart"/>
      <w:r w:rsidRPr="00AE2FF5">
        <w:t>Schwert</w:t>
      </w:r>
      <w:proofErr w:type="spellEnd"/>
      <w:r w:rsidRPr="00AE2FF5">
        <w:t xml:space="preserve">, M., and </w:t>
      </w:r>
      <w:proofErr w:type="spellStart"/>
      <w:r w:rsidRPr="00AE2FF5">
        <w:t>Strebulaev</w:t>
      </w:r>
      <w:proofErr w:type="spellEnd"/>
      <w:r w:rsidRPr="00AE2FF5">
        <w:t>, I. A. (2022). Proactive capital structure adjustments: Evidence from corporate filings. </w:t>
      </w:r>
      <w:r w:rsidRPr="00AE2FF5">
        <w:rPr>
          <w:i/>
          <w:iCs/>
        </w:rPr>
        <w:t>Journal of Financial and Quantitative Analysis</w:t>
      </w:r>
      <w:r w:rsidRPr="00AE2FF5">
        <w:t>, </w:t>
      </w:r>
      <w:r w:rsidRPr="00AE2FF5">
        <w:rPr>
          <w:i/>
          <w:iCs/>
        </w:rPr>
        <w:t>57</w:t>
      </w:r>
      <w:r w:rsidRPr="00AE2FF5">
        <w:t>(1), 31-66.</w:t>
      </w:r>
    </w:p>
    <w:p w14:paraId="0BB43119" w14:textId="77777777" w:rsidR="00AE2FF5" w:rsidRPr="00AE2FF5" w:rsidRDefault="00AE2FF5" w:rsidP="00AE2FF5">
      <w:r w:rsidRPr="00AE2FF5">
        <w:t xml:space="preserve">Kotler, P. and Keller, K.L. (2016) </w:t>
      </w:r>
      <w:r w:rsidRPr="00AE2FF5">
        <w:rPr>
          <w:i/>
          <w:iCs/>
        </w:rPr>
        <w:t>Marketing Management</w:t>
      </w:r>
      <w:r w:rsidRPr="00AE2FF5">
        <w:t xml:space="preserve">. 15th </w:t>
      </w:r>
      <w:proofErr w:type="spellStart"/>
      <w:r w:rsidRPr="00AE2FF5">
        <w:t>edn</w:t>
      </w:r>
      <w:proofErr w:type="spellEnd"/>
      <w:r w:rsidRPr="00AE2FF5">
        <w:t>. Harlow: Pearson.</w:t>
      </w:r>
    </w:p>
    <w:p w14:paraId="1ACC3166" w14:textId="77777777" w:rsidR="00AE2FF5" w:rsidRPr="00AE2FF5" w:rsidRDefault="00AE2FF5" w:rsidP="00AE2FF5">
      <w:r w:rsidRPr="00AE2FF5">
        <w:lastRenderedPageBreak/>
        <w:t xml:space="preserve">Kumar, S. and George, B. (2020) 'A study on financial performance indicators with special reference to hotel industry', </w:t>
      </w:r>
      <w:r w:rsidRPr="00AE2FF5">
        <w:rPr>
          <w:i/>
          <w:iCs/>
        </w:rPr>
        <w:t>International Journal of Scientific Research and Review</w:t>
      </w:r>
      <w:r w:rsidRPr="00AE2FF5">
        <w:t>, 9(3), pp. 145-156.</w:t>
      </w:r>
    </w:p>
    <w:p w14:paraId="268FDB11" w14:textId="77777777" w:rsidR="00AE2FF5" w:rsidRPr="00AE2FF5" w:rsidRDefault="00AE2FF5" w:rsidP="00AE2FF5">
      <w:proofErr w:type="spellStart"/>
      <w:r w:rsidRPr="00AE2FF5">
        <w:t>Laitinen</w:t>
      </w:r>
      <w:proofErr w:type="spellEnd"/>
      <w:r w:rsidRPr="00AE2FF5">
        <w:t xml:space="preserve">, E. K., </w:t>
      </w:r>
      <w:proofErr w:type="gramStart"/>
      <w:r w:rsidRPr="00AE2FF5">
        <w:t>an</w:t>
      </w:r>
      <w:proofErr w:type="gramEnd"/>
      <w:r w:rsidRPr="00AE2FF5">
        <w:t xml:space="preserve"> </w:t>
      </w:r>
      <w:proofErr w:type="spellStart"/>
      <w:r w:rsidRPr="00AE2FF5">
        <w:t>Suvas</w:t>
      </w:r>
      <w:proofErr w:type="spellEnd"/>
      <w:r w:rsidRPr="00AE2FF5">
        <w:t>, A. (2016). Financial distress prediction in an international context: Moderating effects of Hofstede’s original cultural dimensions. </w:t>
      </w:r>
      <w:r w:rsidRPr="00AE2FF5">
        <w:rPr>
          <w:i/>
          <w:iCs/>
        </w:rPr>
        <w:t>Journal of Behavioral and Experimental Finance</w:t>
      </w:r>
      <w:r w:rsidRPr="00AE2FF5">
        <w:t>, </w:t>
      </w:r>
      <w:r w:rsidRPr="00AE2FF5">
        <w:rPr>
          <w:i/>
          <w:iCs/>
        </w:rPr>
        <w:t>9</w:t>
      </w:r>
      <w:r w:rsidRPr="00AE2FF5">
        <w:t xml:space="preserve">, 98-118. </w:t>
      </w:r>
      <w:hyperlink r:id="rId18" w:history="1">
        <w:r w:rsidRPr="00AE2FF5">
          <w:rPr>
            <w:rStyle w:val="Hyperlink"/>
            <w:color w:val="auto"/>
          </w:rPr>
          <w:t>https://doi.org/10.1016/j.jbef.2015.11.003</w:t>
        </w:r>
      </w:hyperlink>
    </w:p>
    <w:p w14:paraId="77D3D9D0" w14:textId="77777777" w:rsidR="00AE2FF5" w:rsidRPr="00AE2FF5" w:rsidRDefault="00AE2FF5" w:rsidP="00AE2FF5">
      <w:r w:rsidRPr="00AE2FF5">
        <w:t xml:space="preserve">Mensah, L., </w:t>
      </w:r>
      <w:proofErr w:type="spellStart"/>
      <w:r w:rsidRPr="00AE2FF5">
        <w:t>Bein</w:t>
      </w:r>
      <w:proofErr w:type="spellEnd"/>
      <w:r w:rsidRPr="00AE2FF5">
        <w:t xml:space="preserve">, M. A., and </w:t>
      </w:r>
      <w:proofErr w:type="spellStart"/>
      <w:r w:rsidRPr="00AE2FF5">
        <w:t>Arhinful</w:t>
      </w:r>
      <w:proofErr w:type="spellEnd"/>
      <w:r w:rsidRPr="00AE2FF5">
        <w:t>, R. (2025). The Impact of Capital Structure on Business Growth Under IFRS Adoption: Evidence From Firms Listed in the Frankfurt Stock Exchange. </w:t>
      </w:r>
      <w:r w:rsidRPr="00AE2FF5">
        <w:rPr>
          <w:i/>
          <w:iCs/>
        </w:rPr>
        <w:t>SAGE Open</w:t>
      </w:r>
      <w:r w:rsidRPr="00AE2FF5">
        <w:t>, </w:t>
      </w:r>
      <w:r w:rsidRPr="00AE2FF5">
        <w:rPr>
          <w:i/>
          <w:iCs/>
        </w:rPr>
        <w:t>15</w:t>
      </w:r>
      <w:r w:rsidRPr="00AE2FF5">
        <w:t xml:space="preserve">(2), 21582440251336533. </w:t>
      </w:r>
      <w:hyperlink r:id="rId19" w:history="1">
        <w:r w:rsidRPr="00AE2FF5">
          <w:rPr>
            <w:rStyle w:val="Hyperlink"/>
            <w:color w:val="auto"/>
          </w:rPr>
          <w:t>https://doi.org/10.1177/21582440251336533</w:t>
        </w:r>
      </w:hyperlink>
    </w:p>
    <w:p w14:paraId="1557FB13" w14:textId="77777777" w:rsidR="00AE2FF5" w:rsidRPr="00AE2FF5" w:rsidRDefault="00AE2FF5" w:rsidP="00AE2FF5">
      <w:r w:rsidRPr="00AE2FF5">
        <w:t>Mikes, A., and Kaplan, R. S. (2015). When One Size Doesn't Fit All: Evolving Directions in the Research and Practice of Enterprise Risk Management. </w:t>
      </w:r>
      <w:r w:rsidRPr="00AE2FF5">
        <w:rPr>
          <w:i/>
          <w:iCs/>
        </w:rPr>
        <w:t>Journal of applied corporate finance</w:t>
      </w:r>
      <w:r w:rsidRPr="00AE2FF5">
        <w:t>, </w:t>
      </w:r>
      <w:r w:rsidRPr="00AE2FF5">
        <w:rPr>
          <w:i/>
          <w:iCs/>
        </w:rPr>
        <w:t>27</w:t>
      </w:r>
      <w:r w:rsidRPr="00AE2FF5">
        <w:t xml:space="preserve">(1). </w:t>
      </w:r>
    </w:p>
    <w:p w14:paraId="6B47BAC7" w14:textId="77777777" w:rsidR="00AE2FF5" w:rsidRPr="00AE2FF5" w:rsidRDefault="00AE2FF5" w:rsidP="00AE2FF5">
      <w:proofErr w:type="spellStart"/>
      <w:r w:rsidRPr="00AE2FF5">
        <w:t>Nariswari</w:t>
      </w:r>
      <w:proofErr w:type="spellEnd"/>
      <w:r w:rsidRPr="00AE2FF5">
        <w:t xml:space="preserve">, T. N., and </w:t>
      </w:r>
      <w:proofErr w:type="spellStart"/>
      <w:r w:rsidRPr="00AE2FF5">
        <w:t>Nugraha</w:t>
      </w:r>
      <w:proofErr w:type="spellEnd"/>
      <w:r w:rsidRPr="00AE2FF5">
        <w:t>, N. M. (2020). Profit growth: Impact of net profit margin, gross profit margin and total assets turnover. </w:t>
      </w:r>
      <w:r w:rsidRPr="00AE2FF5">
        <w:rPr>
          <w:i/>
          <w:iCs/>
        </w:rPr>
        <w:t>International Journal of Finance &amp; Banking Studies</w:t>
      </w:r>
      <w:r w:rsidRPr="00AE2FF5">
        <w:t>, </w:t>
      </w:r>
      <w:r w:rsidRPr="00AE2FF5">
        <w:rPr>
          <w:i/>
          <w:iCs/>
        </w:rPr>
        <w:t>9</w:t>
      </w:r>
      <w:r w:rsidRPr="00AE2FF5">
        <w:t xml:space="preserve">(4), 87-96. </w:t>
      </w:r>
      <w:hyperlink r:id="rId20" w:history="1">
        <w:r w:rsidRPr="00AE2FF5">
          <w:rPr>
            <w:rStyle w:val="Hyperlink"/>
            <w:color w:val="auto"/>
          </w:rPr>
          <w:t>https://doi.org/10.20525/ijfbs.v9i4.937</w:t>
        </w:r>
      </w:hyperlink>
    </w:p>
    <w:p w14:paraId="39D54AF2" w14:textId="77777777" w:rsidR="00AE2FF5" w:rsidRPr="00AE2FF5" w:rsidRDefault="00AE2FF5" w:rsidP="00AE2FF5">
      <w:r w:rsidRPr="00AE2FF5">
        <w:t>Odell, J., and Ali, U. (2016). ESG investing in emerging and frontier markets. </w:t>
      </w:r>
      <w:r w:rsidRPr="00AE2FF5">
        <w:rPr>
          <w:i/>
          <w:iCs/>
        </w:rPr>
        <w:t>Journal of Applied Corporate Finance</w:t>
      </w:r>
      <w:r w:rsidRPr="00AE2FF5">
        <w:t>, </w:t>
      </w:r>
      <w:r w:rsidRPr="00AE2FF5">
        <w:rPr>
          <w:i/>
          <w:iCs/>
        </w:rPr>
        <w:t>28</w:t>
      </w:r>
      <w:r w:rsidRPr="00AE2FF5">
        <w:t xml:space="preserve">(2), 96-101. </w:t>
      </w:r>
      <w:hyperlink r:id="rId21" w:history="1">
        <w:r w:rsidRPr="00AE2FF5">
          <w:rPr>
            <w:rStyle w:val="Hyperlink"/>
            <w:color w:val="auto"/>
          </w:rPr>
          <w:t>https://doi.org/10.1111/jacf.12181</w:t>
        </w:r>
      </w:hyperlink>
    </w:p>
    <w:p w14:paraId="46A8FA0F" w14:textId="77777777" w:rsidR="00AE2FF5" w:rsidRPr="00AE2FF5" w:rsidRDefault="00AE2FF5" w:rsidP="00AE2FF5">
      <w:proofErr w:type="spellStart"/>
      <w:r w:rsidRPr="00AE2FF5">
        <w:t>Özdemir-Güzel</w:t>
      </w:r>
      <w:proofErr w:type="spellEnd"/>
      <w:r w:rsidRPr="00AE2FF5">
        <w:t xml:space="preserve">, S., and </w:t>
      </w:r>
      <w:proofErr w:type="spellStart"/>
      <w:r w:rsidRPr="00AE2FF5">
        <w:t>İzdeş-Terkoğlu</w:t>
      </w:r>
      <w:proofErr w:type="spellEnd"/>
      <w:r w:rsidRPr="00AE2FF5">
        <w:t>, Ö. (2025). Combating climate change through responsible tourism and hospitality practices. In </w:t>
      </w:r>
      <w:r w:rsidRPr="00AE2FF5">
        <w:rPr>
          <w:i/>
          <w:iCs/>
        </w:rPr>
        <w:t>Tourism and Hospitality for Humanity</w:t>
      </w:r>
      <w:r w:rsidRPr="00AE2FF5">
        <w:t> (pp. 32-57). Edward Elgar Publishing.</w:t>
      </w:r>
    </w:p>
    <w:p w14:paraId="5B8DEA9D" w14:textId="77777777" w:rsidR="00AE2FF5" w:rsidRPr="00AE2FF5" w:rsidRDefault="00AE2FF5" w:rsidP="00AE2FF5">
      <w:r w:rsidRPr="00AE2FF5">
        <w:t xml:space="preserve">Palepu, K.G., Healy, P.M. and Peek, E. (2020) </w:t>
      </w:r>
      <w:r w:rsidRPr="00AE2FF5">
        <w:rPr>
          <w:i/>
          <w:iCs/>
        </w:rPr>
        <w:t>Business Analysis and Valuation: IFRS Edition</w:t>
      </w:r>
      <w:r w:rsidRPr="00AE2FF5">
        <w:t xml:space="preserve">. 5th </w:t>
      </w:r>
      <w:proofErr w:type="spellStart"/>
      <w:r w:rsidRPr="00AE2FF5">
        <w:t>edn</w:t>
      </w:r>
      <w:proofErr w:type="spellEnd"/>
      <w:r w:rsidRPr="00AE2FF5">
        <w:t>. Andover: Cengage.</w:t>
      </w:r>
    </w:p>
    <w:p w14:paraId="6E6E68B7" w14:textId="77777777" w:rsidR="00AE2FF5" w:rsidRPr="00AE2FF5" w:rsidRDefault="00AE2FF5" w:rsidP="00AE2FF5">
      <w:r w:rsidRPr="00AE2FF5">
        <w:t>Performance Measurement Association. (2005). Journal of accounting, finance &amp; management strategy.</w:t>
      </w:r>
    </w:p>
    <w:p w14:paraId="1CB432F6" w14:textId="77777777" w:rsidR="00AE2FF5" w:rsidRPr="00AE2FF5" w:rsidRDefault="00AE2FF5" w:rsidP="00AE2FF5">
      <w:r w:rsidRPr="00AE2FF5">
        <w:t xml:space="preserve">R Robinson, T. (2020). International Financial Statement Analysis Workbook. </w:t>
      </w:r>
      <w:hyperlink r:id="rId22" w:history="1">
        <w:r w:rsidRPr="00AE2FF5">
          <w:rPr>
            <w:rStyle w:val="Hyperlink"/>
            <w:color w:val="auto"/>
          </w:rPr>
          <w:t>http://thuvienso.thanglong.edu.vn//handle/TLU/12433</w:t>
        </w:r>
      </w:hyperlink>
    </w:p>
    <w:p w14:paraId="4813D238" w14:textId="77777777" w:rsidR="00AE2FF5" w:rsidRPr="00AE2FF5" w:rsidRDefault="00AE2FF5" w:rsidP="00AE2FF5">
      <w:r w:rsidRPr="00AE2FF5">
        <w:lastRenderedPageBreak/>
        <w:t>Rashid, C. A. (2021). The efficiency of financial ratios analysis to evaluate company’s profitability. </w:t>
      </w:r>
      <w:r w:rsidRPr="00AE2FF5">
        <w:rPr>
          <w:i/>
          <w:iCs/>
        </w:rPr>
        <w:t>Journal of Global Economics and Business</w:t>
      </w:r>
      <w:r w:rsidRPr="00AE2FF5">
        <w:t>, </w:t>
      </w:r>
      <w:r w:rsidRPr="00AE2FF5">
        <w:rPr>
          <w:i/>
          <w:iCs/>
        </w:rPr>
        <w:t>2</w:t>
      </w:r>
      <w:r w:rsidRPr="00AE2FF5">
        <w:t>(4), 119-132.</w:t>
      </w:r>
    </w:p>
    <w:p w14:paraId="3B7499CB" w14:textId="77777777" w:rsidR="00AE2FF5" w:rsidRPr="00AE2FF5" w:rsidRDefault="00AE2FF5" w:rsidP="00AE2FF5">
      <w:proofErr w:type="spellStart"/>
      <w:r w:rsidRPr="00AE2FF5">
        <w:t>Ridwan</w:t>
      </w:r>
      <w:proofErr w:type="spellEnd"/>
      <w:r w:rsidRPr="00AE2FF5">
        <w:t xml:space="preserve">, S., </w:t>
      </w:r>
      <w:proofErr w:type="spellStart"/>
      <w:r w:rsidRPr="00AE2FF5">
        <w:t>Syah</w:t>
      </w:r>
      <w:proofErr w:type="spellEnd"/>
      <w:r w:rsidRPr="00AE2FF5">
        <w:t xml:space="preserve">, T. Y. R., </w:t>
      </w:r>
      <w:proofErr w:type="spellStart"/>
      <w:r w:rsidRPr="00AE2FF5">
        <w:t>Kustiawan</w:t>
      </w:r>
      <w:proofErr w:type="spellEnd"/>
      <w:r w:rsidRPr="00AE2FF5">
        <w:t xml:space="preserve">, U., and </w:t>
      </w:r>
      <w:proofErr w:type="spellStart"/>
      <w:r w:rsidRPr="00AE2FF5">
        <w:t>Nofierni</w:t>
      </w:r>
      <w:proofErr w:type="spellEnd"/>
      <w:r w:rsidRPr="00AE2FF5">
        <w:t>, N. (2025). Financial planning and investment feasibility analysis based on five-year projections using ROI, NPV, IRR, and financial ratios. </w:t>
      </w:r>
      <w:r w:rsidRPr="00AE2FF5">
        <w:rPr>
          <w:i/>
          <w:iCs/>
        </w:rPr>
        <w:t xml:space="preserve">Journal La </w:t>
      </w:r>
      <w:proofErr w:type="spellStart"/>
      <w:r w:rsidRPr="00AE2FF5">
        <w:rPr>
          <w:i/>
          <w:iCs/>
        </w:rPr>
        <w:t>Bisecoman</w:t>
      </w:r>
      <w:proofErr w:type="spellEnd"/>
      <w:r w:rsidRPr="00AE2FF5">
        <w:t>, </w:t>
      </w:r>
      <w:r w:rsidRPr="00AE2FF5">
        <w:rPr>
          <w:i/>
          <w:iCs/>
        </w:rPr>
        <w:t>6</w:t>
      </w:r>
      <w:r w:rsidRPr="00AE2FF5">
        <w:t xml:space="preserve">(2), 489-506. </w:t>
      </w:r>
      <w:hyperlink r:id="rId23" w:history="1">
        <w:r w:rsidRPr="00AE2FF5">
          <w:rPr>
            <w:rStyle w:val="Hyperlink"/>
            <w:color w:val="auto"/>
          </w:rPr>
          <w:t>https://doi.org/10.37899/journallabisecoman.v6i2.1970</w:t>
        </w:r>
      </w:hyperlink>
    </w:p>
    <w:p w14:paraId="033CC65C" w14:textId="77777777" w:rsidR="00AE2FF5" w:rsidRPr="00AE2FF5" w:rsidRDefault="00AE2FF5" w:rsidP="00AE2FF5">
      <w:proofErr w:type="spellStart"/>
      <w:r w:rsidRPr="00AE2FF5">
        <w:t>Ridwan</w:t>
      </w:r>
      <w:proofErr w:type="spellEnd"/>
      <w:r w:rsidRPr="00AE2FF5">
        <w:t xml:space="preserve">, S., </w:t>
      </w:r>
      <w:proofErr w:type="spellStart"/>
      <w:r w:rsidRPr="00AE2FF5">
        <w:t>Syah</w:t>
      </w:r>
      <w:proofErr w:type="spellEnd"/>
      <w:r w:rsidRPr="00AE2FF5">
        <w:t xml:space="preserve">, T. Y. R., </w:t>
      </w:r>
      <w:proofErr w:type="spellStart"/>
      <w:r w:rsidRPr="00AE2FF5">
        <w:t>Kustiawan</w:t>
      </w:r>
      <w:proofErr w:type="spellEnd"/>
      <w:r w:rsidRPr="00AE2FF5">
        <w:t xml:space="preserve">, U., and </w:t>
      </w:r>
      <w:proofErr w:type="spellStart"/>
      <w:r w:rsidRPr="00AE2FF5">
        <w:t>Nofierni</w:t>
      </w:r>
      <w:proofErr w:type="spellEnd"/>
      <w:r w:rsidRPr="00AE2FF5">
        <w:t>, N. (2025). Financial planning and investment feasibility analysis based on five-year projections using ROI, NPV, IRR, and financial ratios. </w:t>
      </w:r>
      <w:r w:rsidRPr="00AE2FF5">
        <w:rPr>
          <w:i/>
          <w:iCs/>
        </w:rPr>
        <w:t xml:space="preserve">Journal La </w:t>
      </w:r>
      <w:proofErr w:type="spellStart"/>
      <w:r w:rsidRPr="00AE2FF5">
        <w:rPr>
          <w:i/>
          <w:iCs/>
        </w:rPr>
        <w:t>Bisecoman</w:t>
      </w:r>
      <w:proofErr w:type="spellEnd"/>
      <w:r w:rsidRPr="00AE2FF5">
        <w:t>, </w:t>
      </w:r>
      <w:r w:rsidRPr="00AE2FF5">
        <w:rPr>
          <w:i/>
          <w:iCs/>
        </w:rPr>
        <w:t>6</w:t>
      </w:r>
      <w:r w:rsidRPr="00AE2FF5">
        <w:t>(2), 489-506.</w:t>
      </w:r>
    </w:p>
    <w:p w14:paraId="4D926115" w14:textId="77777777" w:rsidR="00AE2FF5" w:rsidRPr="00AE2FF5" w:rsidRDefault="00AE2FF5" w:rsidP="00AE2FF5">
      <w:r w:rsidRPr="00AE2FF5">
        <w:t xml:space="preserve">Robinson, T.R., Henry, E., Pirie, W.L. and </w:t>
      </w:r>
      <w:proofErr w:type="spellStart"/>
      <w:r w:rsidRPr="00AE2FF5">
        <w:t>Broihahn</w:t>
      </w:r>
      <w:proofErr w:type="spellEnd"/>
      <w:r w:rsidRPr="00AE2FF5">
        <w:t xml:space="preserve">, M.A. (2015) </w:t>
      </w:r>
      <w:r w:rsidRPr="00AE2FF5">
        <w:rPr>
          <w:i/>
          <w:iCs/>
        </w:rPr>
        <w:t>International Financial Statement Analysis</w:t>
      </w:r>
      <w:r w:rsidRPr="00AE2FF5">
        <w:t xml:space="preserve">. 3rd </w:t>
      </w:r>
      <w:proofErr w:type="spellStart"/>
      <w:r w:rsidRPr="00AE2FF5">
        <w:t>edn</w:t>
      </w:r>
      <w:proofErr w:type="spellEnd"/>
      <w:r w:rsidRPr="00AE2FF5">
        <w:t>. Hoboken: Wiley.</w:t>
      </w:r>
    </w:p>
    <w:p w14:paraId="03A33C2D" w14:textId="77777777" w:rsidR="00AE2FF5" w:rsidRPr="00AE2FF5" w:rsidRDefault="00AE2FF5" w:rsidP="00AE2FF5">
      <w:proofErr w:type="spellStart"/>
      <w:r w:rsidRPr="00AE2FF5">
        <w:t>Sainaghi</w:t>
      </w:r>
      <w:proofErr w:type="spellEnd"/>
      <w:r w:rsidRPr="00AE2FF5">
        <w:t xml:space="preserve">, R., </w:t>
      </w:r>
      <w:proofErr w:type="spellStart"/>
      <w:r w:rsidRPr="00AE2FF5">
        <w:t>Philli</w:t>
      </w:r>
      <w:proofErr w:type="spellEnd"/>
      <w:r w:rsidRPr="00AE2FF5">
        <w:t xml:space="preserve">£, P. and </w:t>
      </w:r>
      <w:proofErr w:type="spellStart"/>
      <w:r w:rsidRPr="00AE2FF5">
        <w:t>d'Angella</w:t>
      </w:r>
      <w:proofErr w:type="spellEnd"/>
      <w:r w:rsidRPr="00AE2FF5">
        <w:t>, F. (2017) '</w:t>
      </w:r>
      <w:proofErr w:type="gramStart"/>
      <w:r w:rsidRPr="00AE2FF5">
        <w:t>The</w:t>
      </w:r>
      <w:proofErr w:type="gramEnd"/>
      <w:r w:rsidRPr="00AE2FF5">
        <w:t xml:space="preserve"> balanced scorecard of a new destination product: Implications for lodging and ski-lift operators', </w:t>
      </w:r>
      <w:r w:rsidRPr="00AE2FF5">
        <w:rPr>
          <w:i/>
          <w:iCs/>
        </w:rPr>
        <w:t>International Journal of Hospitality Management</w:t>
      </w:r>
      <w:r w:rsidRPr="00AE2FF5">
        <w:t>, 62, pp. 73-82.</w:t>
      </w:r>
    </w:p>
    <w:p w14:paraId="284830CA" w14:textId="77777777" w:rsidR="00AE2FF5" w:rsidRPr="00AE2FF5" w:rsidRDefault="00AE2FF5" w:rsidP="00AE2FF5">
      <w:proofErr w:type="spellStart"/>
      <w:r w:rsidRPr="00AE2FF5">
        <w:t>Saleem</w:t>
      </w:r>
      <w:proofErr w:type="spellEnd"/>
      <w:r w:rsidRPr="00AE2FF5">
        <w:t xml:space="preserve">, M., </w:t>
      </w:r>
      <w:proofErr w:type="spellStart"/>
      <w:r w:rsidRPr="00AE2FF5">
        <w:t>Ashfaq</w:t>
      </w:r>
      <w:proofErr w:type="spellEnd"/>
      <w:r w:rsidRPr="00AE2FF5">
        <w:t>, M., and Arshad, R. (2026). Economic Benefits of Sustainable Tourism Practices and Role of Green Technologies.</w:t>
      </w:r>
    </w:p>
    <w:p w14:paraId="74846FD3" w14:textId="77777777" w:rsidR="00AE2FF5" w:rsidRPr="00AE2FF5" w:rsidRDefault="00AE2FF5" w:rsidP="00AE2FF5">
      <w:proofErr w:type="spellStart"/>
      <w:r w:rsidRPr="00AE2FF5">
        <w:t>Salehi</w:t>
      </w:r>
      <w:proofErr w:type="spellEnd"/>
      <w:r w:rsidRPr="00AE2FF5">
        <w:t xml:space="preserve">, M., </w:t>
      </w:r>
      <w:proofErr w:type="spellStart"/>
      <w:r w:rsidRPr="00AE2FF5">
        <w:t>Tarighi</w:t>
      </w:r>
      <w:proofErr w:type="spellEnd"/>
      <w:r w:rsidRPr="00AE2FF5">
        <w:t xml:space="preserve">, H., and </w:t>
      </w:r>
      <w:proofErr w:type="spellStart"/>
      <w:r w:rsidRPr="00AE2FF5">
        <w:t>Ghanbari</w:t>
      </w:r>
      <w:proofErr w:type="spellEnd"/>
      <w:r w:rsidRPr="00AE2FF5">
        <w:t>, M. (2023). The role of financial ratios and ESG disclosures in predicting firm resilience during crises. </w:t>
      </w:r>
      <w:r w:rsidRPr="00AE2FF5">
        <w:rPr>
          <w:i/>
          <w:iCs/>
        </w:rPr>
        <w:t>Journal of Financial Reporting and Accounting</w:t>
      </w:r>
      <w:r w:rsidRPr="00AE2FF5">
        <w:t>.</w:t>
      </w:r>
    </w:p>
    <w:p w14:paraId="17C2E592" w14:textId="77777777" w:rsidR="00AE2FF5" w:rsidRPr="00AE2FF5" w:rsidRDefault="00AE2FF5" w:rsidP="00AE2FF5">
      <w:r w:rsidRPr="00AE2FF5">
        <w:t>Saunders, A. (2024). Financial institutions management: A risk management approach.</w:t>
      </w:r>
    </w:p>
    <w:p w14:paraId="2AEDC584" w14:textId="77777777" w:rsidR="00AE2FF5" w:rsidRPr="00AE2FF5" w:rsidRDefault="00AE2FF5" w:rsidP="00AE2FF5">
      <w:r w:rsidRPr="00AE2FF5">
        <w:t>Sharma, A., Shin, H., Santa-</w:t>
      </w:r>
      <w:proofErr w:type="spellStart"/>
      <w:r w:rsidRPr="00AE2FF5">
        <w:t>María</w:t>
      </w:r>
      <w:proofErr w:type="spellEnd"/>
      <w:r w:rsidRPr="00AE2FF5">
        <w:t xml:space="preserve">, M. J., &amp; </w:t>
      </w:r>
      <w:proofErr w:type="spellStart"/>
      <w:r w:rsidRPr="00AE2FF5">
        <w:t>Nicolau</w:t>
      </w:r>
      <w:proofErr w:type="spellEnd"/>
      <w:r w:rsidRPr="00AE2FF5">
        <w:t>, J. L. (2021). Hotels' COVID-19 innovation and performance. </w:t>
      </w:r>
      <w:r w:rsidRPr="00AE2FF5">
        <w:rPr>
          <w:i/>
          <w:iCs/>
        </w:rPr>
        <w:t>Annals of Tourism Research</w:t>
      </w:r>
      <w:r w:rsidRPr="00AE2FF5">
        <w:t>, </w:t>
      </w:r>
      <w:r w:rsidRPr="00AE2FF5">
        <w:rPr>
          <w:i/>
          <w:iCs/>
        </w:rPr>
        <w:t>88</w:t>
      </w:r>
      <w:r w:rsidRPr="00AE2FF5">
        <w:t xml:space="preserve">, 103180. </w:t>
      </w:r>
      <w:hyperlink r:id="rId24" w:history="1">
        <w:r w:rsidRPr="00AE2FF5">
          <w:rPr>
            <w:rStyle w:val="Hyperlink"/>
            <w:color w:val="auto"/>
          </w:rPr>
          <w:t>https://doi.org/10.1016/j.annals.2021.103180</w:t>
        </w:r>
      </w:hyperlink>
    </w:p>
    <w:p w14:paraId="7EBF2A9F" w14:textId="77777777" w:rsidR="00AE2FF5" w:rsidRPr="00AE2FF5" w:rsidRDefault="00AE2FF5" w:rsidP="00AE2FF5">
      <w:r w:rsidRPr="00AE2FF5">
        <w:t>Sharma, A., Shin, H., Santa-</w:t>
      </w:r>
      <w:proofErr w:type="spellStart"/>
      <w:r w:rsidRPr="00AE2FF5">
        <w:t>María</w:t>
      </w:r>
      <w:proofErr w:type="spellEnd"/>
      <w:r w:rsidRPr="00AE2FF5">
        <w:t xml:space="preserve">, M.J. and </w:t>
      </w:r>
      <w:proofErr w:type="spellStart"/>
      <w:r w:rsidRPr="00AE2FF5">
        <w:t>Nicolau</w:t>
      </w:r>
      <w:proofErr w:type="spellEnd"/>
      <w:r w:rsidRPr="00AE2FF5">
        <w:t xml:space="preserve">, J.L. (2021) 'Hotels' COVID-19 innovation and performance', </w:t>
      </w:r>
      <w:r w:rsidRPr="00AE2FF5">
        <w:rPr>
          <w:i/>
          <w:iCs/>
        </w:rPr>
        <w:t>Annals of Tourism Research</w:t>
      </w:r>
      <w:r w:rsidRPr="00AE2FF5">
        <w:t>, 88, 103180.</w:t>
      </w:r>
    </w:p>
    <w:p w14:paraId="06D31585" w14:textId="77777777" w:rsidR="00AE2FF5" w:rsidRPr="00AE2FF5" w:rsidRDefault="00AE2FF5" w:rsidP="00AE2FF5">
      <w:proofErr w:type="spellStart"/>
      <w:r w:rsidRPr="00AE2FF5">
        <w:t>Thị</w:t>
      </w:r>
      <w:proofErr w:type="spellEnd"/>
      <w:r w:rsidRPr="00AE2FF5">
        <w:t xml:space="preserve"> Mai, N., </w:t>
      </w:r>
      <w:proofErr w:type="spellStart"/>
      <w:r w:rsidRPr="00AE2FF5">
        <w:t>Wijaya</w:t>
      </w:r>
      <w:proofErr w:type="spellEnd"/>
      <w:r w:rsidRPr="00AE2FF5">
        <w:t xml:space="preserve">, P., and </w:t>
      </w:r>
      <w:proofErr w:type="spellStart"/>
      <w:r w:rsidRPr="00AE2FF5">
        <w:t>Volkov</w:t>
      </w:r>
      <w:proofErr w:type="spellEnd"/>
      <w:r w:rsidRPr="00AE2FF5">
        <w:t xml:space="preserve">, D. (2025). Cross-Sector Performance Benchmarking: The Evolving Role of Financial Ratio Analysis </w:t>
      </w:r>
      <w:proofErr w:type="gramStart"/>
      <w:r w:rsidRPr="00AE2FF5">
        <w:t>Across</w:t>
      </w:r>
      <w:proofErr w:type="gramEnd"/>
      <w:r w:rsidRPr="00AE2FF5">
        <w:t xml:space="preserve"> Industries.</w:t>
      </w:r>
    </w:p>
    <w:p w14:paraId="6AED3740" w14:textId="77777777" w:rsidR="00AE2FF5" w:rsidRPr="00AE2FF5" w:rsidRDefault="00AE2FF5" w:rsidP="00AE2FF5">
      <w:proofErr w:type="spellStart"/>
      <w:r w:rsidRPr="00AE2FF5">
        <w:lastRenderedPageBreak/>
        <w:t>Vaghela</w:t>
      </w:r>
      <w:proofErr w:type="spellEnd"/>
      <w:r w:rsidRPr="00AE2FF5">
        <w:t xml:space="preserve">, J., and </w:t>
      </w:r>
      <w:proofErr w:type="spellStart"/>
      <w:r w:rsidRPr="00AE2FF5">
        <w:t>Sodha</w:t>
      </w:r>
      <w:proofErr w:type="spellEnd"/>
      <w:r w:rsidRPr="00AE2FF5">
        <w:t>, S. (2025). Beyond Ratios: A Dynamic Framework for Financial Health Evaluation Integrating Governance, Macroeconomics, and Ownership Concentration–Evidence From Global and Emerging Markets. </w:t>
      </w:r>
      <w:r w:rsidRPr="00AE2FF5">
        <w:rPr>
          <w:i/>
          <w:iCs/>
        </w:rPr>
        <w:t>International Journal of Management, Public Policy and Research</w:t>
      </w:r>
      <w:r w:rsidRPr="00AE2FF5">
        <w:t>, </w:t>
      </w:r>
      <w:r w:rsidRPr="00AE2FF5">
        <w:rPr>
          <w:i/>
          <w:iCs/>
        </w:rPr>
        <w:t>4</w:t>
      </w:r>
      <w:r w:rsidRPr="00AE2FF5">
        <w:t>(3), 38-49.</w:t>
      </w:r>
    </w:p>
    <w:p w14:paraId="296D8B56" w14:textId="77777777" w:rsidR="00AE2FF5" w:rsidRPr="00AE2FF5" w:rsidRDefault="00AE2FF5" w:rsidP="00AE2FF5">
      <w:proofErr w:type="spellStart"/>
      <w:r w:rsidRPr="00AE2FF5">
        <w:t>Vernimmen</w:t>
      </w:r>
      <w:proofErr w:type="spellEnd"/>
      <w:r w:rsidRPr="00AE2FF5">
        <w:t xml:space="preserve">, P., </w:t>
      </w:r>
      <w:proofErr w:type="spellStart"/>
      <w:r w:rsidRPr="00AE2FF5">
        <w:t>Quiry</w:t>
      </w:r>
      <w:proofErr w:type="spellEnd"/>
      <w:r w:rsidRPr="00AE2FF5">
        <w:t>, P., and Le Fur, Y. (2022). </w:t>
      </w:r>
      <w:r w:rsidRPr="00AE2FF5">
        <w:rPr>
          <w:i/>
          <w:iCs/>
        </w:rPr>
        <w:t>Corporate finance: theory and practice</w:t>
      </w:r>
      <w:r w:rsidRPr="00AE2FF5">
        <w:t>. John Wiley &amp; Sons.</w:t>
      </w:r>
    </w:p>
    <w:p w14:paraId="6A872A19" w14:textId="77777777" w:rsidR="00AE2FF5" w:rsidRPr="00AE2FF5" w:rsidRDefault="00AE2FF5" w:rsidP="00AE2FF5">
      <w:proofErr w:type="spellStart"/>
      <w:r w:rsidRPr="00AE2FF5">
        <w:t>Weetman</w:t>
      </w:r>
      <w:proofErr w:type="spellEnd"/>
      <w:r w:rsidRPr="00AE2FF5">
        <w:t xml:space="preserve">, P. (2019) </w:t>
      </w:r>
      <w:r w:rsidRPr="00AE2FF5">
        <w:rPr>
          <w:i/>
          <w:iCs/>
        </w:rPr>
        <w:t>Financial and Management Accounting: An Introduction</w:t>
      </w:r>
      <w:r w:rsidRPr="00AE2FF5">
        <w:t xml:space="preserve">. 8th </w:t>
      </w:r>
      <w:proofErr w:type="spellStart"/>
      <w:r w:rsidRPr="00AE2FF5">
        <w:t>edn</w:t>
      </w:r>
      <w:proofErr w:type="spellEnd"/>
      <w:r w:rsidRPr="00AE2FF5">
        <w:t>. Harlow: Pearson.</w:t>
      </w:r>
    </w:p>
    <w:p w14:paraId="5E66E256" w14:textId="77777777" w:rsidR="00AE2FF5" w:rsidRPr="00AE2FF5" w:rsidRDefault="00AE2FF5" w:rsidP="00AE2FF5">
      <w:r w:rsidRPr="00AE2FF5">
        <w:t xml:space="preserve">Whitbread PLC (2024) </w:t>
      </w:r>
      <w:r w:rsidRPr="00AE2FF5">
        <w:rPr>
          <w:i/>
          <w:iCs/>
        </w:rPr>
        <w:t>Annual Report and Accounts 2023/24</w:t>
      </w:r>
      <w:r w:rsidRPr="00AE2FF5">
        <w:t xml:space="preserve">. Available at: </w:t>
      </w:r>
      <w:hyperlink r:id="rId25" w:history="1">
        <w:r w:rsidRPr="00AE2FF5">
          <w:rPr>
            <w:rStyle w:val="Hyperlink"/>
            <w:color w:val="auto"/>
          </w:rPr>
          <w:t>htt£://cdn.whitbread.co.uk/media/2024/05/Whitbread-PLC-Annual-Report-and-Accounts-2023_Single_pages-1.pdf</w:t>
        </w:r>
      </w:hyperlink>
      <w:r w:rsidRPr="00AE2FF5">
        <w:t xml:space="preserve"> (Accessed: 5 January 2026).</w:t>
      </w:r>
    </w:p>
    <w:p w14:paraId="2C05F49B" w14:textId="77777777" w:rsidR="00AE2FF5" w:rsidRPr="00AE2FF5" w:rsidRDefault="00AE2FF5" w:rsidP="00AE2FF5">
      <w:r w:rsidRPr="00AE2FF5">
        <w:t xml:space="preserve">Whitbread PLC (2025) </w:t>
      </w:r>
      <w:r w:rsidRPr="00AE2FF5">
        <w:rPr>
          <w:i/>
          <w:iCs/>
        </w:rPr>
        <w:t>Annual Report and Accounts 2024/25</w:t>
      </w:r>
      <w:r w:rsidRPr="00AE2FF5">
        <w:t xml:space="preserve">. Available at: </w:t>
      </w:r>
      <w:hyperlink r:id="rId26" w:history="1">
        <w:r w:rsidRPr="00AE2FF5">
          <w:rPr>
            <w:rStyle w:val="Hyperlink"/>
            <w:color w:val="auto"/>
          </w:rPr>
          <w:t>htt£://cdn.whitbread.co.uk/media/2025/05/Whitbread-PLC-Annual-Report-and-Accounts-2024-25.pdf</w:t>
        </w:r>
      </w:hyperlink>
      <w:r w:rsidRPr="00AE2FF5">
        <w:t xml:space="preserve"> (Accessed: 5 January 2026).</w:t>
      </w:r>
    </w:p>
    <w:p w14:paraId="7B859F58" w14:textId="77777777" w:rsidR="00AE2FF5" w:rsidRPr="00AE2FF5" w:rsidRDefault="00AE2FF5" w:rsidP="00AE2FF5">
      <w:r w:rsidRPr="00AE2FF5">
        <w:t xml:space="preserve">Zhang, H.Q., Pine, R. and Lam, T. (2021) </w:t>
      </w:r>
      <w:r w:rsidRPr="00AE2FF5">
        <w:rPr>
          <w:i/>
          <w:iCs/>
        </w:rPr>
        <w:t>Tourism and Hotel Development in China: From Political to Economic Success</w:t>
      </w:r>
      <w:r w:rsidRPr="00AE2FF5">
        <w:t>. London: Routledge.</w:t>
      </w:r>
    </w:p>
    <w:p w14:paraId="1352DF99" w14:textId="77777777" w:rsidR="00F94EA4" w:rsidRPr="00F94EA4" w:rsidRDefault="00F94EA4">
      <w:pPr>
        <w:rPr>
          <w:color w:val="EE0000"/>
        </w:rPr>
      </w:pPr>
    </w:p>
    <w:p w14:paraId="026E0F80" w14:textId="7D82DD34" w:rsidR="00DA649A" w:rsidRDefault="00DA649A">
      <w:r>
        <w:br w:type="page"/>
      </w:r>
    </w:p>
    <w:p w14:paraId="693BEB19" w14:textId="58EFCBE6" w:rsidR="00DA649A" w:rsidRDefault="00DA649A" w:rsidP="00AA7634">
      <w:pPr>
        <w:pStyle w:val="Heading1"/>
      </w:pPr>
      <w:bookmarkStart w:id="22" w:name="_Toc219063314"/>
      <w:r w:rsidRPr="00DA649A">
        <w:lastRenderedPageBreak/>
        <w:t>Appendices</w:t>
      </w:r>
      <w:bookmarkEnd w:id="22"/>
    </w:p>
    <w:p w14:paraId="7331603A" w14:textId="2C0F5DF5" w:rsidR="00AA7634" w:rsidRDefault="00AA7634" w:rsidP="00AA7634">
      <w:pPr>
        <w:pStyle w:val="Heading2"/>
      </w:pPr>
      <w:bookmarkStart w:id="23" w:name="_Toc219063315"/>
      <w:r w:rsidRPr="00DA649A">
        <w:t xml:space="preserve">Appendix </w:t>
      </w:r>
      <w:r>
        <w:t>A</w:t>
      </w:r>
      <w:r w:rsidRPr="00DA649A">
        <w:t xml:space="preserve">: </w:t>
      </w:r>
      <w:r>
        <w:t>Income Statement</w:t>
      </w:r>
      <w:bookmarkEnd w:id="23"/>
    </w:p>
    <w:p w14:paraId="1D56AD80" w14:textId="18DE3E84" w:rsidR="00AA7634" w:rsidRDefault="00AA7634" w:rsidP="00DA649A">
      <w:pPr>
        <w:rPr>
          <w:b/>
          <w:bCs/>
        </w:rPr>
      </w:pPr>
      <w:r w:rsidRPr="00AA7634">
        <w:rPr>
          <w:b/>
          <w:bCs/>
          <w:noProof/>
        </w:rPr>
        <w:drawing>
          <wp:inline distT="0" distB="0" distL="0" distR="0" wp14:anchorId="211108ED" wp14:editId="25DD327D">
            <wp:extent cx="5731510" cy="2934335"/>
            <wp:effectExtent l="0" t="0" r="2540" b="0"/>
            <wp:docPr id="1516388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88759" name=""/>
                    <pic:cNvPicPr/>
                  </pic:nvPicPr>
                  <pic:blipFill>
                    <a:blip r:embed="rId27"/>
                    <a:stretch>
                      <a:fillRect/>
                    </a:stretch>
                  </pic:blipFill>
                  <pic:spPr>
                    <a:xfrm>
                      <a:off x="0" y="0"/>
                      <a:ext cx="5731510" cy="2934335"/>
                    </a:xfrm>
                    <a:prstGeom prst="rect">
                      <a:avLst/>
                    </a:prstGeom>
                  </pic:spPr>
                </pic:pic>
              </a:graphicData>
            </a:graphic>
          </wp:inline>
        </w:drawing>
      </w:r>
    </w:p>
    <w:p w14:paraId="27CC41B9" w14:textId="648E9727" w:rsidR="00AA7634" w:rsidRDefault="00AA7634" w:rsidP="00AA7634">
      <w:pPr>
        <w:pStyle w:val="Heading2"/>
      </w:pPr>
      <w:bookmarkStart w:id="24" w:name="_Toc219063316"/>
      <w:r w:rsidRPr="00DA649A">
        <w:t xml:space="preserve">Appendix </w:t>
      </w:r>
      <w:r>
        <w:t>B: Balance Sheet</w:t>
      </w:r>
      <w:bookmarkEnd w:id="24"/>
    </w:p>
    <w:p w14:paraId="4C020E56" w14:textId="39BA6D4C" w:rsidR="00AA7634" w:rsidRPr="00DA649A" w:rsidRDefault="00AA7634" w:rsidP="00DA649A">
      <w:pPr>
        <w:rPr>
          <w:b/>
          <w:bCs/>
        </w:rPr>
      </w:pPr>
      <w:r w:rsidRPr="00AA7634">
        <w:rPr>
          <w:b/>
          <w:bCs/>
          <w:noProof/>
        </w:rPr>
        <w:drawing>
          <wp:inline distT="0" distB="0" distL="0" distR="0" wp14:anchorId="3FFFBC73" wp14:editId="513F40EF">
            <wp:extent cx="5731510" cy="4165600"/>
            <wp:effectExtent l="0" t="0" r="2540" b="6350"/>
            <wp:docPr id="573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645" name=""/>
                    <pic:cNvPicPr/>
                  </pic:nvPicPr>
                  <pic:blipFill>
                    <a:blip r:embed="rId28"/>
                    <a:stretch>
                      <a:fillRect/>
                    </a:stretch>
                  </pic:blipFill>
                  <pic:spPr>
                    <a:xfrm>
                      <a:off x="0" y="0"/>
                      <a:ext cx="5731510" cy="4165600"/>
                    </a:xfrm>
                    <a:prstGeom prst="rect">
                      <a:avLst/>
                    </a:prstGeom>
                  </pic:spPr>
                </pic:pic>
              </a:graphicData>
            </a:graphic>
          </wp:inline>
        </w:drawing>
      </w:r>
    </w:p>
    <w:p w14:paraId="3AB7021D" w14:textId="2775F9EA" w:rsidR="00DA649A" w:rsidRPr="00DA649A" w:rsidRDefault="00DA649A" w:rsidP="00AA7634">
      <w:pPr>
        <w:pStyle w:val="Heading2"/>
      </w:pPr>
      <w:bookmarkStart w:id="25" w:name="_Toc219063317"/>
      <w:r w:rsidRPr="00DA649A">
        <w:lastRenderedPageBreak/>
        <w:t xml:space="preserve">Appendix </w:t>
      </w:r>
      <w:r w:rsidR="00AA7634">
        <w:t>C</w:t>
      </w:r>
      <w:r w:rsidRPr="00DA649A">
        <w:t>: Financial Ratio Calculations for Whitbread PLC</w:t>
      </w:r>
      <w:bookmarkEnd w:id="25"/>
    </w:p>
    <w:p w14:paraId="19D8D8D2" w14:textId="0A0BB602" w:rsidR="00DA649A" w:rsidRPr="00DA649A" w:rsidRDefault="00DA649A" w:rsidP="00DA649A">
      <w:r w:rsidRPr="00DA649A">
        <w:rPr>
          <w:b/>
          <w:bCs/>
        </w:rPr>
        <w:t>Table 1: Profitability Ratios</w:t>
      </w:r>
    </w:p>
    <w:tbl>
      <w:tblPr>
        <w:tblStyle w:val="TableGrid"/>
        <w:tblW w:w="0" w:type="auto"/>
        <w:tblLook w:val="04A0" w:firstRow="1" w:lastRow="0" w:firstColumn="1" w:lastColumn="0" w:noHBand="0" w:noVBand="1"/>
      </w:tblPr>
      <w:tblGrid>
        <w:gridCol w:w="1453"/>
        <w:gridCol w:w="2039"/>
        <w:gridCol w:w="1619"/>
        <w:gridCol w:w="1143"/>
        <w:gridCol w:w="1619"/>
        <w:gridCol w:w="1143"/>
      </w:tblGrid>
      <w:tr w:rsidR="00DA649A" w:rsidRPr="00DA649A" w14:paraId="72B4C438" w14:textId="77777777" w:rsidTr="00AA7634">
        <w:tc>
          <w:tcPr>
            <w:tcW w:w="0" w:type="auto"/>
            <w:hideMark/>
          </w:tcPr>
          <w:p w14:paraId="2F02B24D" w14:textId="77777777" w:rsidR="00DA649A" w:rsidRPr="00DA649A" w:rsidRDefault="00DA649A" w:rsidP="00DA649A">
            <w:pPr>
              <w:rPr>
                <w:b/>
                <w:bCs/>
              </w:rPr>
            </w:pPr>
            <w:r w:rsidRPr="00DA649A">
              <w:rPr>
                <w:b/>
                <w:bCs/>
              </w:rPr>
              <w:t>Ratio</w:t>
            </w:r>
          </w:p>
        </w:tc>
        <w:tc>
          <w:tcPr>
            <w:tcW w:w="0" w:type="auto"/>
            <w:hideMark/>
          </w:tcPr>
          <w:p w14:paraId="157F0ECA" w14:textId="77777777" w:rsidR="00DA649A" w:rsidRPr="00DA649A" w:rsidRDefault="00DA649A" w:rsidP="00DA649A">
            <w:pPr>
              <w:rPr>
                <w:b/>
                <w:bCs/>
              </w:rPr>
            </w:pPr>
            <w:r w:rsidRPr="00DA649A">
              <w:rPr>
                <w:b/>
                <w:bCs/>
              </w:rPr>
              <w:t>Formula</w:t>
            </w:r>
          </w:p>
        </w:tc>
        <w:tc>
          <w:tcPr>
            <w:tcW w:w="0" w:type="auto"/>
            <w:hideMark/>
          </w:tcPr>
          <w:p w14:paraId="4667148E" w14:textId="77777777" w:rsidR="00DA649A" w:rsidRPr="00DA649A" w:rsidRDefault="00DA649A" w:rsidP="00DA649A">
            <w:pPr>
              <w:rPr>
                <w:b/>
                <w:bCs/>
              </w:rPr>
            </w:pPr>
            <w:r w:rsidRPr="00DA649A">
              <w:rPr>
                <w:b/>
                <w:bCs/>
              </w:rPr>
              <w:t>2023/24 Calculation</w:t>
            </w:r>
          </w:p>
        </w:tc>
        <w:tc>
          <w:tcPr>
            <w:tcW w:w="0" w:type="auto"/>
            <w:hideMark/>
          </w:tcPr>
          <w:p w14:paraId="7B8C55C3" w14:textId="77777777" w:rsidR="00DA649A" w:rsidRPr="00DA649A" w:rsidRDefault="00DA649A" w:rsidP="00DA649A">
            <w:pPr>
              <w:rPr>
                <w:b/>
                <w:bCs/>
              </w:rPr>
            </w:pPr>
            <w:r w:rsidRPr="00DA649A">
              <w:rPr>
                <w:b/>
                <w:bCs/>
              </w:rPr>
              <w:t>2023/24 Result</w:t>
            </w:r>
          </w:p>
        </w:tc>
        <w:tc>
          <w:tcPr>
            <w:tcW w:w="0" w:type="auto"/>
            <w:hideMark/>
          </w:tcPr>
          <w:p w14:paraId="51C3134C" w14:textId="77777777" w:rsidR="00DA649A" w:rsidRPr="00DA649A" w:rsidRDefault="00DA649A" w:rsidP="00DA649A">
            <w:pPr>
              <w:rPr>
                <w:b/>
                <w:bCs/>
              </w:rPr>
            </w:pPr>
            <w:r w:rsidRPr="00DA649A">
              <w:rPr>
                <w:b/>
                <w:bCs/>
              </w:rPr>
              <w:t>2024/25 Calculation</w:t>
            </w:r>
          </w:p>
        </w:tc>
        <w:tc>
          <w:tcPr>
            <w:tcW w:w="0" w:type="auto"/>
            <w:hideMark/>
          </w:tcPr>
          <w:p w14:paraId="43C83562" w14:textId="77777777" w:rsidR="00DA649A" w:rsidRPr="00DA649A" w:rsidRDefault="00DA649A" w:rsidP="00DA649A">
            <w:pPr>
              <w:rPr>
                <w:b/>
                <w:bCs/>
              </w:rPr>
            </w:pPr>
            <w:r w:rsidRPr="00DA649A">
              <w:rPr>
                <w:b/>
                <w:bCs/>
              </w:rPr>
              <w:t>2024/25 Result</w:t>
            </w:r>
          </w:p>
        </w:tc>
      </w:tr>
      <w:tr w:rsidR="00B50FB2" w:rsidRPr="00DA649A" w14:paraId="510ED9F7" w14:textId="77777777" w:rsidTr="00813D7C">
        <w:tc>
          <w:tcPr>
            <w:tcW w:w="0" w:type="auto"/>
            <w:hideMark/>
          </w:tcPr>
          <w:p w14:paraId="1BD88D76" w14:textId="77777777" w:rsidR="00B50FB2" w:rsidRPr="00DA649A" w:rsidRDefault="00B50FB2" w:rsidP="00B50FB2">
            <w:r w:rsidRPr="00DA649A">
              <w:t>Operating Profit Margin</w:t>
            </w:r>
          </w:p>
        </w:tc>
        <w:tc>
          <w:tcPr>
            <w:tcW w:w="0" w:type="auto"/>
            <w:hideMark/>
          </w:tcPr>
          <w:p w14:paraId="5DB797BF" w14:textId="77777777" w:rsidR="00B50FB2" w:rsidRPr="00DA649A" w:rsidRDefault="00B50FB2" w:rsidP="00B50FB2">
            <w:r w:rsidRPr="00DA649A">
              <w:t>(Operating Profit ÷ Revenue) × 100</w:t>
            </w:r>
          </w:p>
        </w:tc>
        <w:tc>
          <w:tcPr>
            <w:tcW w:w="0" w:type="auto"/>
            <w:vAlign w:val="center"/>
            <w:hideMark/>
          </w:tcPr>
          <w:p w14:paraId="674556D9" w14:textId="73DA5441" w:rsidR="00B50FB2" w:rsidRPr="00DA649A" w:rsidRDefault="00B50FB2" w:rsidP="00B50FB2">
            <w:r w:rsidRPr="0015022A">
              <w:t>(564.8 ÷ 2,959.9) × 100</w:t>
            </w:r>
          </w:p>
        </w:tc>
        <w:tc>
          <w:tcPr>
            <w:tcW w:w="0" w:type="auto"/>
            <w:vAlign w:val="center"/>
            <w:hideMark/>
          </w:tcPr>
          <w:p w14:paraId="6A21A237" w14:textId="25D2B654" w:rsidR="00B50FB2" w:rsidRPr="00B50FB2" w:rsidRDefault="00B50FB2" w:rsidP="00B50FB2">
            <w:r w:rsidRPr="0015022A">
              <w:t>19.08%</w:t>
            </w:r>
          </w:p>
        </w:tc>
        <w:tc>
          <w:tcPr>
            <w:tcW w:w="0" w:type="auto"/>
            <w:vAlign w:val="center"/>
            <w:hideMark/>
          </w:tcPr>
          <w:p w14:paraId="2758FA97" w14:textId="445746CB" w:rsidR="00B50FB2" w:rsidRPr="00DA649A" w:rsidRDefault="00B50FB2" w:rsidP="00B50FB2">
            <w:r w:rsidRPr="0015022A">
              <w:t>(514.0 ÷ 2,921.9) × 100</w:t>
            </w:r>
          </w:p>
        </w:tc>
        <w:tc>
          <w:tcPr>
            <w:tcW w:w="0" w:type="auto"/>
            <w:vAlign w:val="center"/>
            <w:hideMark/>
          </w:tcPr>
          <w:p w14:paraId="1B9227D5" w14:textId="39051F61" w:rsidR="00B50FB2" w:rsidRPr="00B50FB2" w:rsidRDefault="00B50FB2" w:rsidP="00B50FB2">
            <w:r w:rsidRPr="0015022A">
              <w:t>17.59%</w:t>
            </w:r>
          </w:p>
        </w:tc>
      </w:tr>
      <w:tr w:rsidR="00B50FB2" w:rsidRPr="00DA649A" w14:paraId="1B1BA2D8" w14:textId="77777777" w:rsidTr="00813D7C">
        <w:tc>
          <w:tcPr>
            <w:tcW w:w="0" w:type="auto"/>
            <w:hideMark/>
          </w:tcPr>
          <w:p w14:paraId="41CCAC6D" w14:textId="77777777" w:rsidR="00B50FB2" w:rsidRPr="00DA649A" w:rsidRDefault="00B50FB2" w:rsidP="00B50FB2">
            <w:r w:rsidRPr="00DA649A">
              <w:t>Net Profit Margin</w:t>
            </w:r>
          </w:p>
        </w:tc>
        <w:tc>
          <w:tcPr>
            <w:tcW w:w="0" w:type="auto"/>
            <w:hideMark/>
          </w:tcPr>
          <w:p w14:paraId="63FFA750" w14:textId="77777777" w:rsidR="00B50FB2" w:rsidRPr="00DA649A" w:rsidRDefault="00B50FB2" w:rsidP="00B50FB2">
            <w:r w:rsidRPr="00DA649A">
              <w:t>(Net Profit ÷ Revenue) × 100</w:t>
            </w:r>
          </w:p>
        </w:tc>
        <w:tc>
          <w:tcPr>
            <w:tcW w:w="0" w:type="auto"/>
            <w:vAlign w:val="center"/>
            <w:hideMark/>
          </w:tcPr>
          <w:p w14:paraId="61C2A078" w14:textId="300ADC8E" w:rsidR="00B50FB2" w:rsidRPr="00DA649A" w:rsidRDefault="00B50FB2" w:rsidP="00B50FB2">
            <w:r w:rsidRPr="0015022A">
              <w:t>(312.1 ÷ 2,959.9) × 100</w:t>
            </w:r>
          </w:p>
        </w:tc>
        <w:tc>
          <w:tcPr>
            <w:tcW w:w="0" w:type="auto"/>
            <w:vAlign w:val="center"/>
            <w:hideMark/>
          </w:tcPr>
          <w:p w14:paraId="029317D4" w14:textId="65FD5B8E" w:rsidR="00B50FB2" w:rsidRPr="00B50FB2" w:rsidRDefault="00B50FB2" w:rsidP="00B50FB2">
            <w:r w:rsidRPr="0015022A">
              <w:t>10.55%</w:t>
            </w:r>
          </w:p>
        </w:tc>
        <w:tc>
          <w:tcPr>
            <w:tcW w:w="0" w:type="auto"/>
            <w:vAlign w:val="center"/>
            <w:hideMark/>
          </w:tcPr>
          <w:p w14:paraId="6005D9A2" w14:textId="10478BF3" w:rsidR="00B50FB2" w:rsidRPr="00DA649A" w:rsidRDefault="00B50FB2" w:rsidP="00B50FB2">
            <w:r w:rsidRPr="0015022A">
              <w:t>(253.7 ÷ 2,921.9) × 100</w:t>
            </w:r>
          </w:p>
        </w:tc>
        <w:tc>
          <w:tcPr>
            <w:tcW w:w="0" w:type="auto"/>
            <w:vAlign w:val="center"/>
            <w:hideMark/>
          </w:tcPr>
          <w:p w14:paraId="5B7B0FD7" w14:textId="151D49A9" w:rsidR="00B50FB2" w:rsidRPr="00B50FB2" w:rsidRDefault="00B50FB2" w:rsidP="00B50FB2">
            <w:r w:rsidRPr="0015022A">
              <w:t>8.68%</w:t>
            </w:r>
          </w:p>
        </w:tc>
      </w:tr>
      <w:tr w:rsidR="00B50FB2" w:rsidRPr="00DA649A" w14:paraId="2636FB3B" w14:textId="77777777" w:rsidTr="00813D7C">
        <w:tc>
          <w:tcPr>
            <w:tcW w:w="0" w:type="auto"/>
            <w:hideMark/>
          </w:tcPr>
          <w:p w14:paraId="0E42F5FD" w14:textId="77777777" w:rsidR="00B50FB2" w:rsidRPr="00DA649A" w:rsidRDefault="00B50FB2" w:rsidP="00B50FB2">
            <w:r w:rsidRPr="00DA649A">
              <w:t>Return on Assets (ROA)</w:t>
            </w:r>
          </w:p>
        </w:tc>
        <w:tc>
          <w:tcPr>
            <w:tcW w:w="0" w:type="auto"/>
            <w:hideMark/>
          </w:tcPr>
          <w:p w14:paraId="39E3A342" w14:textId="77777777" w:rsidR="00B50FB2" w:rsidRPr="00DA649A" w:rsidRDefault="00B50FB2" w:rsidP="00B50FB2">
            <w:r w:rsidRPr="00DA649A">
              <w:t>(Net Profit ÷ Total Assets) × 100</w:t>
            </w:r>
          </w:p>
        </w:tc>
        <w:tc>
          <w:tcPr>
            <w:tcW w:w="0" w:type="auto"/>
            <w:vAlign w:val="center"/>
            <w:hideMark/>
          </w:tcPr>
          <w:p w14:paraId="6CFAE53A" w14:textId="46166393" w:rsidR="00B50FB2" w:rsidRPr="00DA649A" w:rsidRDefault="00B50FB2" w:rsidP="00B50FB2">
            <w:r w:rsidRPr="0015022A">
              <w:t>(312.1 ÷ 9,521.3) × 100</w:t>
            </w:r>
          </w:p>
        </w:tc>
        <w:tc>
          <w:tcPr>
            <w:tcW w:w="0" w:type="auto"/>
            <w:vAlign w:val="center"/>
            <w:hideMark/>
          </w:tcPr>
          <w:p w14:paraId="7038E27F" w14:textId="0D2F1297" w:rsidR="00B50FB2" w:rsidRPr="00B50FB2" w:rsidRDefault="00B50FB2" w:rsidP="00B50FB2">
            <w:r w:rsidRPr="0015022A">
              <w:t>3.28%</w:t>
            </w:r>
          </w:p>
        </w:tc>
        <w:tc>
          <w:tcPr>
            <w:tcW w:w="0" w:type="auto"/>
            <w:vAlign w:val="center"/>
            <w:hideMark/>
          </w:tcPr>
          <w:p w14:paraId="515608DD" w14:textId="3EFC4529" w:rsidR="00B50FB2" w:rsidRPr="00DA649A" w:rsidRDefault="00B50FB2" w:rsidP="00B50FB2">
            <w:r w:rsidRPr="0015022A">
              <w:t>(253.7 ÷ 9,904.7) × 100</w:t>
            </w:r>
          </w:p>
        </w:tc>
        <w:tc>
          <w:tcPr>
            <w:tcW w:w="0" w:type="auto"/>
            <w:vAlign w:val="center"/>
            <w:hideMark/>
          </w:tcPr>
          <w:p w14:paraId="6C9EE152" w14:textId="71F44363" w:rsidR="00B50FB2" w:rsidRPr="00B50FB2" w:rsidRDefault="00B50FB2" w:rsidP="00B50FB2">
            <w:r w:rsidRPr="0015022A">
              <w:t>2.56%</w:t>
            </w:r>
          </w:p>
        </w:tc>
      </w:tr>
      <w:tr w:rsidR="00B50FB2" w:rsidRPr="00DA649A" w14:paraId="122895A0" w14:textId="77777777" w:rsidTr="00813D7C">
        <w:tc>
          <w:tcPr>
            <w:tcW w:w="0" w:type="auto"/>
            <w:hideMark/>
          </w:tcPr>
          <w:p w14:paraId="2650C467" w14:textId="77777777" w:rsidR="00B50FB2" w:rsidRPr="00DA649A" w:rsidRDefault="00B50FB2" w:rsidP="00B50FB2">
            <w:r w:rsidRPr="00DA649A">
              <w:t>Return on Equity (ROE)</w:t>
            </w:r>
          </w:p>
        </w:tc>
        <w:tc>
          <w:tcPr>
            <w:tcW w:w="0" w:type="auto"/>
            <w:hideMark/>
          </w:tcPr>
          <w:p w14:paraId="038B5F37" w14:textId="77777777" w:rsidR="00B50FB2" w:rsidRPr="00DA649A" w:rsidRDefault="00B50FB2" w:rsidP="00B50FB2">
            <w:r w:rsidRPr="00DA649A">
              <w:t>(Net Profit ÷ Shareholders' Equity) × 100</w:t>
            </w:r>
          </w:p>
        </w:tc>
        <w:tc>
          <w:tcPr>
            <w:tcW w:w="0" w:type="auto"/>
            <w:vAlign w:val="center"/>
            <w:hideMark/>
          </w:tcPr>
          <w:p w14:paraId="14D07283" w14:textId="5F8A2F82" w:rsidR="00B50FB2" w:rsidRPr="00DA649A" w:rsidRDefault="00B50FB2" w:rsidP="00B50FB2">
            <w:r w:rsidRPr="0015022A">
              <w:t>(312.1 ÷ 3,519.4) × 100</w:t>
            </w:r>
          </w:p>
        </w:tc>
        <w:tc>
          <w:tcPr>
            <w:tcW w:w="0" w:type="auto"/>
            <w:vAlign w:val="center"/>
            <w:hideMark/>
          </w:tcPr>
          <w:p w14:paraId="1BC5C18A" w14:textId="5C02C152" w:rsidR="00B50FB2" w:rsidRPr="00B50FB2" w:rsidRDefault="00B50FB2" w:rsidP="00B50FB2">
            <w:r w:rsidRPr="0015022A">
              <w:t>8.87%</w:t>
            </w:r>
          </w:p>
        </w:tc>
        <w:tc>
          <w:tcPr>
            <w:tcW w:w="0" w:type="auto"/>
            <w:vAlign w:val="center"/>
            <w:hideMark/>
          </w:tcPr>
          <w:p w14:paraId="0C9E9C95" w14:textId="756F8307" w:rsidR="00B50FB2" w:rsidRPr="00DA649A" w:rsidRDefault="00B50FB2" w:rsidP="00B50FB2">
            <w:r w:rsidRPr="0015022A">
              <w:t>(253.7 ÷ 3,334.5) × 100</w:t>
            </w:r>
          </w:p>
        </w:tc>
        <w:tc>
          <w:tcPr>
            <w:tcW w:w="0" w:type="auto"/>
            <w:vAlign w:val="center"/>
            <w:hideMark/>
          </w:tcPr>
          <w:p w14:paraId="3BE9C49D" w14:textId="46FDCE6A" w:rsidR="00B50FB2" w:rsidRPr="00B50FB2" w:rsidRDefault="00B50FB2" w:rsidP="00B50FB2">
            <w:r w:rsidRPr="0015022A">
              <w:t>7.61%</w:t>
            </w:r>
          </w:p>
        </w:tc>
      </w:tr>
    </w:tbl>
    <w:p w14:paraId="3A00E5C1" w14:textId="7E52174E" w:rsidR="00DA649A" w:rsidRPr="00DA649A" w:rsidRDefault="00DA649A" w:rsidP="00DA649A">
      <w:r w:rsidRPr="00DA649A">
        <w:rPr>
          <w:b/>
          <w:bCs/>
        </w:rPr>
        <w:t>Table 2: Liquidity Ratios</w:t>
      </w:r>
    </w:p>
    <w:tbl>
      <w:tblPr>
        <w:tblStyle w:val="TableGrid"/>
        <w:tblW w:w="0" w:type="auto"/>
        <w:tblLook w:val="04A0" w:firstRow="1" w:lastRow="0" w:firstColumn="1" w:lastColumn="0" w:noHBand="0" w:noVBand="1"/>
      </w:tblPr>
      <w:tblGrid>
        <w:gridCol w:w="1085"/>
        <w:gridCol w:w="2251"/>
        <w:gridCol w:w="1630"/>
        <w:gridCol w:w="1168"/>
        <w:gridCol w:w="1714"/>
        <w:gridCol w:w="1168"/>
      </w:tblGrid>
      <w:tr w:rsidR="00DA649A" w:rsidRPr="00DA649A" w14:paraId="6CAE5F46" w14:textId="77777777" w:rsidTr="00AA7634">
        <w:tc>
          <w:tcPr>
            <w:tcW w:w="0" w:type="auto"/>
            <w:hideMark/>
          </w:tcPr>
          <w:p w14:paraId="4F7AF3A8" w14:textId="77777777" w:rsidR="00DA649A" w:rsidRPr="00DA649A" w:rsidRDefault="00DA649A" w:rsidP="00DA649A">
            <w:pPr>
              <w:rPr>
                <w:b/>
                <w:bCs/>
              </w:rPr>
            </w:pPr>
            <w:r w:rsidRPr="00DA649A">
              <w:rPr>
                <w:b/>
                <w:bCs/>
              </w:rPr>
              <w:t>Ratio</w:t>
            </w:r>
          </w:p>
        </w:tc>
        <w:tc>
          <w:tcPr>
            <w:tcW w:w="0" w:type="auto"/>
            <w:hideMark/>
          </w:tcPr>
          <w:p w14:paraId="3AE24601" w14:textId="77777777" w:rsidR="00DA649A" w:rsidRPr="00DA649A" w:rsidRDefault="00DA649A" w:rsidP="00DA649A">
            <w:pPr>
              <w:rPr>
                <w:b/>
                <w:bCs/>
              </w:rPr>
            </w:pPr>
            <w:r w:rsidRPr="00DA649A">
              <w:rPr>
                <w:b/>
                <w:bCs/>
              </w:rPr>
              <w:t>Formula</w:t>
            </w:r>
          </w:p>
        </w:tc>
        <w:tc>
          <w:tcPr>
            <w:tcW w:w="0" w:type="auto"/>
            <w:hideMark/>
          </w:tcPr>
          <w:p w14:paraId="15A46344" w14:textId="77777777" w:rsidR="00DA649A" w:rsidRPr="00DA649A" w:rsidRDefault="00DA649A" w:rsidP="00DA649A">
            <w:pPr>
              <w:rPr>
                <w:b/>
                <w:bCs/>
              </w:rPr>
            </w:pPr>
            <w:r w:rsidRPr="00DA649A">
              <w:rPr>
                <w:b/>
                <w:bCs/>
              </w:rPr>
              <w:t>2023/24 Calculation</w:t>
            </w:r>
          </w:p>
        </w:tc>
        <w:tc>
          <w:tcPr>
            <w:tcW w:w="0" w:type="auto"/>
            <w:hideMark/>
          </w:tcPr>
          <w:p w14:paraId="5E80E571" w14:textId="77777777" w:rsidR="00DA649A" w:rsidRPr="00DA649A" w:rsidRDefault="00DA649A" w:rsidP="00DA649A">
            <w:pPr>
              <w:rPr>
                <w:b/>
                <w:bCs/>
              </w:rPr>
            </w:pPr>
            <w:r w:rsidRPr="00DA649A">
              <w:rPr>
                <w:b/>
                <w:bCs/>
              </w:rPr>
              <w:t>2023/24 Result</w:t>
            </w:r>
          </w:p>
        </w:tc>
        <w:tc>
          <w:tcPr>
            <w:tcW w:w="0" w:type="auto"/>
            <w:hideMark/>
          </w:tcPr>
          <w:p w14:paraId="11EF13AB" w14:textId="77777777" w:rsidR="00DA649A" w:rsidRPr="00DA649A" w:rsidRDefault="00DA649A" w:rsidP="00DA649A">
            <w:pPr>
              <w:rPr>
                <w:b/>
                <w:bCs/>
              </w:rPr>
            </w:pPr>
            <w:r w:rsidRPr="00DA649A">
              <w:rPr>
                <w:b/>
                <w:bCs/>
              </w:rPr>
              <w:t>2024/25 Calculation</w:t>
            </w:r>
          </w:p>
        </w:tc>
        <w:tc>
          <w:tcPr>
            <w:tcW w:w="0" w:type="auto"/>
            <w:hideMark/>
          </w:tcPr>
          <w:p w14:paraId="1BD24504" w14:textId="77777777" w:rsidR="00DA649A" w:rsidRPr="00DA649A" w:rsidRDefault="00DA649A" w:rsidP="00DA649A">
            <w:pPr>
              <w:rPr>
                <w:b/>
                <w:bCs/>
              </w:rPr>
            </w:pPr>
            <w:r w:rsidRPr="00DA649A">
              <w:rPr>
                <w:b/>
                <w:bCs/>
              </w:rPr>
              <w:t>2024/25 Result</w:t>
            </w:r>
          </w:p>
        </w:tc>
      </w:tr>
      <w:tr w:rsidR="00B50FB2" w:rsidRPr="00DA649A" w14:paraId="52850791" w14:textId="77777777" w:rsidTr="00EA6763">
        <w:tc>
          <w:tcPr>
            <w:tcW w:w="0" w:type="auto"/>
            <w:hideMark/>
          </w:tcPr>
          <w:p w14:paraId="788A02CD" w14:textId="77777777" w:rsidR="00B50FB2" w:rsidRPr="00DA649A" w:rsidRDefault="00B50FB2" w:rsidP="00B50FB2">
            <w:r w:rsidRPr="00DA649A">
              <w:t>Current Ratio</w:t>
            </w:r>
          </w:p>
        </w:tc>
        <w:tc>
          <w:tcPr>
            <w:tcW w:w="0" w:type="auto"/>
            <w:hideMark/>
          </w:tcPr>
          <w:p w14:paraId="619A74C5" w14:textId="77777777" w:rsidR="00B50FB2" w:rsidRPr="00DA649A" w:rsidRDefault="00B50FB2" w:rsidP="00B50FB2">
            <w:r w:rsidRPr="00DA649A">
              <w:t>Current Assets ÷ Current Liabilities</w:t>
            </w:r>
          </w:p>
        </w:tc>
        <w:tc>
          <w:tcPr>
            <w:tcW w:w="0" w:type="auto"/>
            <w:vAlign w:val="center"/>
            <w:hideMark/>
          </w:tcPr>
          <w:p w14:paraId="7D7EA4F8" w14:textId="3BA38D51" w:rsidR="00B50FB2" w:rsidRPr="00DA649A" w:rsidRDefault="00B50FB2" w:rsidP="00B50FB2">
            <w:r w:rsidRPr="0015022A">
              <w:t>837.1 ÷ 870.4</w:t>
            </w:r>
          </w:p>
        </w:tc>
        <w:tc>
          <w:tcPr>
            <w:tcW w:w="0" w:type="auto"/>
            <w:vAlign w:val="center"/>
            <w:hideMark/>
          </w:tcPr>
          <w:p w14:paraId="7E8BC483" w14:textId="6B9DDE81" w:rsidR="00B50FB2" w:rsidRPr="00B50FB2" w:rsidRDefault="00B50FB2" w:rsidP="00B50FB2">
            <w:r w:rsidRPr="0015022A">
              <w:t>0.96 : 1</w:t>
            </w:r>
          </w:p>
        </w:tc>
        <w:tc>
          <w:tcPr>
            <w:tcW w:w="0" w:type="auto"/>
            <w:vAlign w:val="center"/>
            <w:hideMark/>
          </w:tcPr>
          <w:p w14:paraId="52FED0B2" w14:textId="705F6BAE" w:rsidR="00B50FB2" w:rsidRPr="00DA649A" w:rsidRDefault="00B50FB2" w:rsidP="00B50FB2">
            <w:r w:rsidRPr="0015022A">
              <w:t>1,073.1 ÷ 1,319.0</w:t>
            </w:r>
          </w:p>
        </w:tc>
        <w:tc>
          <w:tcPr>
            <w:tcW w:w="0" w:type="auto"/>
            <w:vAlign w:val="center"/>
            <w:hideMark/>
          </w:tcPr>
          <w:p w14:paraId="1499274A" w14:textId="472A3CE8" w:rsidR="00B50FB2" w:rsidRPr="00B50FB2" w:rsidRDefault="00B50FB2" w:rsidP="00B50FB2">
            <w:r w:rsidRPr="0015022A">
              <w:t>0.81 : 1</w:t>
            </w:r>
          </w:p>
        </w:tc>
      </w:tr>
      <w:tr w:rsidR="00B50FB2" w:rsidRPr="00DA649A" w14:paraId="2CFDAA0D" w14:textId="77777777" w:rsidTr="00EA6763">
        <w:tc>
          <w:tcPr>
            <w:tcW w:w="0" w:type="auto"/>
            <w:hideMark/>
          </w:tcPr>
          <w:p w14:paraId="54801CAB" w14:textId="77777777" w:rsidR="00B50FB2" w:rsidRPr="00DA649A" w:rsidRDefault="00B50FB2" w:rsidP="00B50FB2">
            <w:r w:rsidRPr="00DA649A">
              <w:t>Quick Ratio</w:t>
            </w:r>
          </w:p>
        </w:tc>
        <w:tc>
          <w:tcPr>
            <w:tcW w:w="0" w:type="auto"/>
            <w:hideMark/>
          </w:tcPr>
          <w:p w14:paraId="51D8A18A" w14:textId="77777777" w:rsidR="00B50FB2" w:rsidRPr="00DA649A" w:rsidRDefault="00B50FB2" w:rsidP="00B50FB2">
            <w:r w:rsidRPr="00DA649A">
              <w:t>(Current Assets − Inventories) ÷ Current Liabilities</w:t>
            </w:r>
          </w:p>
        </w:tc>
        <w:tc>
          <w:tcPr>
            <w:tcW w:w="0" w:type="auto"/>
            <w:vAlign w:val="center"/>
            <w:hideMark/>
          </w:tcPr>
          <w:p w14:paraId="7EBA07AA" w14:textId="60410DAE" w:rsidR="00B50FB2" w:rsidRPr="00DA649A" w:rsidRDefault="00B50FB2" w:rsidP="00B50FB2">
            <w:r w:rsidRPr="0015022A">
              <w:t>(837.1 − 21.2) ÷ 870.4</w:t>
            </w:r>
          </w:p>
        </w:tc>
        <w:tc>
          <w:tcPr>
            <w:tcW w:w="0" w:type="auto"/>
            <w:vAlign w:val="center"/>
            <w:hideMark/>
          </w:tcPr>
          <w:p w14:paraId="41C51179" w14:textId="0FBEC7D9" w:rsidR="00B50FB2" w:rsidRPr="00B50FB2" w:rsidRDefault="00B50FB2" w:rsidP="00B50FB2">
            <w:r w:rsidRPr="0015022A">
              <w:t>0.94 : 1</w:t>
            </w:r>
          </w:p>
        </w:tc>
        <w:tc>
          <w:tcPr>
            <w:tcW w:w="0" w:type="auto"/>
            <w:vAlign w:val="center"/>
            <w:hideMark/>
          </w:tcPr>
          <w:p w14:paraId="403C2D97" w14:textId="6342B490" w:rsidR="00B50FB2" w:rsidRPr="00DA649A" w:rsidRDefault="00B50FB2" w:rsidP="00B50FB2">
            <w:r w:rsidRPr="0015022A">
              <w:t>(1,073.1 − 17.1) ÷ 1,319.0</w:t>
            </w:r>
          </w:p>
        </w:tc>
        <w:tc>
          <w:tcPr>
            <w:tcW w:w="0" w:type="auto"/>
            <w:vAlign w:val="center"/>
            <w:hideMark/>
          </w:tcPr>
          <w:p w14:paraId="5FADE381" w14:textId="0FA73743" w:rsidR="00B50FB2" w:rsidRPr="00B50FB2" w:rsidRDefault="00B50FB2" w:rsidP="00B50FB2">
            <w:r w:rsidRPr="0015022A">
              <w:t>0.80 : 1</w:t>
            </w:r>
          </w:p>
        </w:tc>
      </w:tr>
    </w:tbl>
    <w:p w14:paraId="1A717490" w14:textId="2E550E76" w:rsidR="00DA649A" w:rsidRPr="00DA649A" w:rsidRDefault="00DA649A" w:rsidP="00DA649A">
      <w:r w:rsidRPr="00DA649A">
        <w:rPr>
          <w:b/>
          <w:bCs/>
        </w:rPr>
        <w:t>Table 3: Gearing Ratios</w:t>
      </w:r>
    </w:p>
    <w:tbl>
      <w:tblPr>
        <w:tblStyle w:val="TableGrid"/>
        <w:tblW w:w="0" w:type="auto"/>
        <w:tblLook w:val="04A0" w:firstRow="1" w:lastRow="0" w:firstColumn="1" w:lastColumn="0" w:noHBand="0" w:noVBand="1"/>
      </w:tblPr>
      <w:tblGrid>
        <w:gridCol w:w="1415"/>
        <w:gridCol w:w="2009"/>
        <w:gridCol w:w="1615"/>
        <w:gridCol w:w="1181"/>
        <w:gridCol w:w="1615"/>
        <w:gridCol w:w="1181"/>
      </w:tblGrid>
      <w:tr w:rsidR="00DA649A" w:rsidRPr="00DA649A" w14:paraId="29FFEAE7" w14:textId="77777777" w:rsidTr="00AA7634">
        <w:tc>
          <w:tcPr>
            <w:tcW w:w="0" w:type="auto"/>
            <w:hideMark/>
          </w:tcPr>
          <w:p w14:paraId="0D9188DD" w14:textId="77777777" w:rsidR="00DA649A" w:rsidRPr="00DA649A" w:rsidRDefault="00DA649A" w:rsidP="00DA649A">
            <w:pPr>
              <w:rPr>
                <w:b/>
                <w:bCs/>
              </w:rPr>
            </w:pPr>
            <w:r w:rsidRPr="00DA649A">
              <w:rPr>
                <w:b/>
                <w:bCs/>
              </w:rPr>
              <w:t>Ratio</w:t>
            </w:r>
          </w:p>
        </w:tc>
        <w:tc>
          <w:tcPr>
            <w:tcW w:w="0" w:type="auto"/>
            <w:hideMark/>
          </w:tcPr>
          <w:p w14:paraId="233C43E1" w14:textId="77777777" w:rsidR="00DA649A" w:rsidRPr="00DA649A" w:rsidRDefault="00DA649A" w:rsidP="00DA649A">
            <w:pPr>
              <w:rPr>
                <w:b/>
                <w:bCs/>
              </w:rPr>
            </w:pPr>
            <w:r w:rsidRPr="00DA649A">
              <w:rPr>
                <w:b/>
                <w:bCs/>
              </w:rPr>
              <w:t>Formula</w:t>
            </w:r>
          </w:p>
        </w:tc>
        <w:tc>
          <w:tcPr>
            <w:tcW w:w="0" w:type="auto"/>
            <w:hideMark/>
          </w:tcPr>
          <w:p w14:paraId="5A04CE0D" w14:textId="77777777" w:rsidR="00DA649A" w:rsidRPr="00DA649A" w:rsidRDefault="00DA649A" w:rsidP="00DA649A">
            <w:pPr>
              <w:rPr>
                <w:b/>
                <w:bCs/>
              </w:rPr>
            </w:pPr>
            <w:r w:rsidRPr="00DA649A">
              <w:rPr>
                <w:b/>
                <w:bCs/>
              </w:rPr>
              <w:t>2023/24 Calculation</w:t>
            </w:r>
          </w:p>
        </w:tc>
        <w:tc>
          <w:tcPr>
            <w:tcW w:w="0" w:type="auto"/>
            <w:hideMark/>
          </w:tcPr>
          <w:p w14:paraId="0561B539" w14:textId="77777777" w:rsidR="00DA649A" w:rsidRPr="00DA649A" w:rsidRDefault="00DA649A" w:rsidP="00DA649A">
            <w:pPr>
              <w:rPr>
                <w:b/>
                <w:bCs/>
              </w:rPr>
            </w:pPr>
            <w:r w:rsidRPr="00DA649A">
              <w:rPr>
                <w:b/>
                <w:bCs/>
              </w:rPr>
              <w:t>2023/24 Result</w:t>
            </w:r>
          </w:p>
        </w:tc>
        <w:tc>
          <w:tcPr>
            <w:tcW w:w="0" w:type="auto"/>
            <w:hideMark/>
          </w:tcPr>
          <w:p w14:paraId="1071FFC9" w14:textId="77777777" w:rsidR="00DA649A" w:rsidRPr="00DA649A" w:rsidRDefault="00DA649A" w:rsidP="00DA649A">
            <w:pPr>
              <w:rPr>
                <w:b/>
                <w:bCs/>
              </w:rPr>
            </w:pPr>
            <w:r w:rsidRPr="00DA649A">
              <w:rPr>
                <w:b/>
                <w:bCs/>
              </w:rPr>
              <w:t>2024/25 Calculation</w:t>
            </w:r>
          </w:p>
        </w:tc>
        <w:tc>
          <w:tcPr>
            <w:tcW w:w="0" w:type="auto"/>
            <w:hideMark/>
          </w:tcPr>
          <w:p w14:paraId="006E7EB7" w14:textId="77777777" w:rsidR="00DA649A" w:rsidRPr="00DA649A" w:rsidRDefault="00DA649A" w:rsidP="00DA649A">
            <w:pPr>
              <w:rPr>
                <w:b/>
                <w:bCs/>
              </w:rPr>
            </w:pPr>
            <w:r w:rsidRPr="00DA649A">
              <w:rPr>
                <w:b/>
                <w:bCs/>
              </w:rPr>
              <w:t>2024/25 Result</w:t>
            </w:r>
          </w:p>
        </w:tc>
      </w:tr>
      <w:tr w:rsidR="00B50FB2" w:rsidRPr="00DA649A" w14:paraId="30572E25" w14:textId="77777777" w:rsidTr="00B50FB2">
        <w:tc>
          <w:tcPr>
            <w:tcW w:w="0" w:type="auto"/>
            <w:hideMark/>
          </w:tcPr>
          <w:p w14:paraId="59E37124" w14:textId="77777777" w:rsidR="00B50FB2" w:rsidRPr="00DA649A" w:rsidRDefault="00B50FB2" w:rsidP="00B50FB2">
            <w:r w:rsidRPr="00DA649A">
              <w:t>Debt-to-Equity Ratio</w:t>
            </w:r>
          </w:p>
        </w:tc>
        <w:tc>
          <w:tcPr>
            <w:tcW w:w="0" w:type="auto"/>
            <w:hideMark/>
          </w:tcPr>
          <w:p w14:paraId="05785387" w14:textId="77777777" w:rsidR="00B50FB2" w:rsidRPr="00DA649A" w:rsidRDefault="00B50FB2" w:rsidP="00B50FB2">
            <w:r w:rsidRPr="00DA649A">
              <w:t>Total Debt ÷ Shareholders' Equity</w:t>
            </w:r>
          </w:p>
        </w:tc>
        <w:tc>
          <w:tcPr>
            <w:tcW w:w="0" w:type="auto"/>
            <w:vAlign w:val="center"/>
          </w:tcPr>
          <w:p w14:paraId="74290AF3" w14:textId="73D671BD" w:rsidR="00B50FB2" w:rsidRPr="00DA649A" w:rsidRDefault="00B50FB2" w:rsidP="00B50FB2">
            <w:r w:rsidRPr="0015022A">
              <w:t>6,001.9 ÷ 3,519.4</w:t>
            </w:r>
          </w:p>
        </w:tc>
        <w:tc>
          <w:tcPr>
            <w:tcW w:w="0" w:type="auto"/>
            <w:vAlign w:val="center"/>
          </w:tcPr>
          <w:p w14:paraId="65961339" w14:textId="04D6433E" w:rsidR="00B50FB2" w:rsidRPr="00B50FB2" w:rsidRDefault="00B50FB2" w:rsidP="00B50FB2">
            <w:r w:rsidRPr="0015022A">
              <w:t>1.71</w:t>
            </w:r>
          </w:p>
        </w:tc>
        <w:tc>
          <w:tcPr>
            <w:tcW w:w="0" w:type="auto"/>
            <w:vAlign w:val="center"/>
          </w:tcPr>
          <w:p w14:paraId="496C50CA" w14:textId="2ADE6470" w:rsidR="00B50FB2" w:rsidRPr="00DA649A" w:rsidRDefault="00B50FB2" w:rsidP="00B50FB2">
            <w:r w:rsidRPr="0015022A">
              <w:t>6,570.2 ÷ 3,334.5</w:t>
            </w:r>
          </w:p>
        </w:tc>
        <w:tc>
          <w:tcPr>
            <w:tcW w:w="0" w:type="auto"/>
            <w:vAlign w:val="center"/>
          </w:tcPr>
          <w:p w14:paraId="5B64427A" w14:textId="30BFD808" w:rsidR="00B50FB2" w:rsidRPr="00B50FB2" w:rsidRDefault="00B50FB2" w:rsidP="00B50FB2">
            <w:r w:rsidRPr="0015022A">
              <w:t>1.97</w:t>
            </w:r>
          </w:p>
        </w:tc>
      </w:tr>
      <w:tr w:rsidR="00B50FB2" w:rsidRPr="00DA649A" w14:paraId="36F84151" w14:textId="77777777" w:rsidTr="00B50FB2">
        <w:tc>
          <w:tcPr>
            <w:tcW w:w="0" w:type="auto"/>
            <w:hideMark/>
          </w:tcPr>
          <w:p w14:paraId="1B920388" w14:textId="77777777" w:rsidR="00B50FB2" w:rsidRPr="00DA649A" w:rsidRDefault="00B50FB2" w:rsidP="00B50FB2">
            <w:r w:rsidRPr="00DA649A">
              <w:t>Debt Ratio</w:t>
            </w:r>
          </w:p>
        </w:tc>
        <w:tc>
          <w:tcPr>
            <w:tcW w:w="0" w:type="auto"/>
            <w:hideMark/>
          </w:tcPr>
          <w:p w14:paraId="4B9E33D3" w14:textId="77777777" w:rsidR="00B50FB2" w:rsidRPr="00DA649A" w:rsidRDefault="00B50FB2" w:rsidP="00B50FB2">
            <w:r w:rsidRPr="00DA649A">
              <w:t>Total Liabilities ÷ Total Assets</w:t>
            </w:r>
          </w:p>
        </w:tc>
        <w:tc>
          <w:tcPr>
            <w:tcW w:w="0" w:type="auto"/>
            <w:vAlign w:val="center"/>
          </w:tcPr>
          <w:p w14:paraId="0F370111" w14:textId="4ACF7F5A" w:rsidR="00B50FB2" w:rsidRPr="00DA649A" w:rsidRDefault="00B50FB2" w:rsidP="00B50FB2">
            <w:r w:rsidRPr="0015022A">
              <w:t>6,001.9 ÷ 9,521.3</w:t>
            </w:r>
          </w:p>
        </w:tc>
        <w:tc>
          <w:tcPr>
            <w:tcW w:w="0" w:type="auto"/>
            <w:vAlign w:val="center"/>
          </w:tcPr>
          <w:p w14:paraId="4C30B3BB" w14:textId="15556E5F" w:rsidR="00B50FB2" w:rsidRPr="00B50FB2" w:rsidRDefault="00B50FB2" w:rsidP="00B50FB2">
            <w:r w:rsidRPr="0015022A">
              <w:t>0.63</w:t>
            </w:r>
          </w:p>
        </w:tc>
        <w:tc>
          <w:tcPr>
            <w:tcW w:w="0" w:type="auto"/>
            <w:vAlign w:val="center"/>
          </w:tcPr>
          <w:p w14:paraId="036BDC83" w14:textId="097801B7" w:rsidR="00B50FB2" w:rsidRPr="00DA649A" w:rsidRDefault="00B50FB2" w:rsidP="00B50FB2">
            <w:r w:rsidRPr="0015022A">
              <w:t>6,570.2 ÷ 9,904.7</w:t>
            </w:r>
          </w:p>
        </w:tc>
        <w:tc>
          <w:tcPr>
            <w:tcW w:w="0" w:type="auto"/>
            <w:vAlign w:val="center"/>
          </w:tcPr>
          <w:p w14:paraId="5BF73D51" w14:textId="5BE67CBB" w:rsidR="00B50FB2" w:rsidRPr="00B50FB2" w:rsidRDefault="00B50FB2" w:rsidP="00B50FB2">
            <w:r w:rsidRPr="0015022A">
              <w:t>0.66</w:t>
            </w:r>
          </w:p>
        </w:tc>
      </w:tr>
      <w:tr w:rsidR="00B50FB2" w:rsidRPr="00DA649A" w14:paraId="5C79B4D5" w14:textId="77777777" w:rsidTr="00B50FB2">
        <w:tc>
          <w:tcPr>
            <w:tcW w:w="0" w:type="auto"/>
            <w:hideMark/>
          </w:tcPr>
          <w:p w14:paraId="6CEE81B0" w14:textId="77777777" w:rsidR="00B50FB2" w:rsidRPr="00DA649A" w:rsidRDefault="00B50FB2" w:rsidP="00B50FB2">
            <w:r w:rsidRPr="00DA649A">
              <w:t>Interest Coverage</w:t>
            </w:r>
          </w:p>
        </w:tc>
        <w:tc>
          <w:tcPr>
            <w:tcW w:w="0" w:type="auto"/>
            <w:hideMark/>
          </w:tcPr>
          <w:p w14:paraId="14F21ECC" w14:textId="77777777" w:rsidR="00B50FB2" w:rsidRPr="00DA649A" w:rsidRDefault="00B50FB2" w:rsidP="00B50FB2">
            <w:r w:rsidRPr="00DA649A">
              <w:t>EBIT ÷ Interest Expense</w:t>
            </w:r>
          </w:p>
        </w:tc>
        <w:tc>
          <w:tcPr>
            <w:tcW w:w="0" w:type="auto"/>
            <w:vAlign w:val="center"/>
          </w:tcPr>
          <w:p w14:paraId="27943447" w14:textId="344BF511" w:rsidR="00B50FB2" w:rsidRPr="00DA649A" w:rsidRDefault="00B50FB2" w:rsidP="00B50FB2">
            <w:r w:rsidRPr="0015022A">
              <w:t>564.8 ÷ 179.3</w:t>
            </w:r>
          </w:p>
        </w:tc>
        <w:tc>
          <w:tcPr>
            <w:tcW w:w="0" w:type="auto"/>
            <w:vAlign w:val="center"/>
          </w:tcPr>
          <w:p w14:paraId="7BA65C29" w14:textId="61054C90" w:rsidR="00B50FB2" w:rsidRPr="00B50FB2" w:rsidRDefault="00B50FB2" w:rsidP="00B50FB2">
            <w:r w:rsidRPr="0015022A">
              <w:t>3.15×</w:t>
            </w:r>
          </w:p>
        </w:tc>
        <w:tc>
          <w:tcPr>
            <w:tcW w:w="0" w:type="auto"/>
            <w:vAlign w:val="center"/>
          </w:tcPr>
          <w:p w14:paraId="382A7EF7" w14:textId="235723C7" w:rsidR="00B50FB2" w:rsidRPr="00DA649A" w:rsidRDefault="00B50FB2" w:rsidP="00B50FB2">
            <w:r w:rsidRPr="0015022A">
              <w:t>514.0 ÷ 188.5</w:t>
            </w:r>
          </w:p>
        </w:tc>
        <w:tc>
          <w:tcPr>
            <w:tcW w:w="0" w:type="auto"/>
            <w:vAlign w:val="center"/>
          </w:tcPr>
          <w:p w14:paraId="51559D20" w14:textId="61045F9C" w:rsidR="00B50FB2" w:rsidRPr="00B50FB2" w:rsidRDefault="00B50FB2" w:rsidP="00B50FB2">
            <w:r w:rsidRPr="0015022A">
              <w:t>2.73×</w:t>
            </w:r>
          </w:p>
        </w:tc>
      </w:tr>
    </w:tbl>
    <w:p w14:paraId="441B31E9" w14:textId="101899EA" w:rsidR="00DA649A" w:rsidRPr="00DA649A" w:rsidRDefault="00DA649A" w:rsidP="00DA649A">
      <w:r w:rsidRPr="00DA649A">
        <w:rPr>
          <w:b/>
          <w:bCs/>
        </w:rPr>
        <w:t>Table 4: Efficiency Ratios</w:t>
      </w:r>
    </w:p>
    <w:tbl>
      <w:tblPr>
        <w:tblStyle w:val="TableGrid"/>
        <w:tblW w:w="0" w:type="auto"/>
        <w:tblLook w:val="04A0" w:firstRow="1" w:lastRow="0" w:firstColumn="1" w:lastColumn="0" w:noHBand="0" w:noVBand="1"/>
      </w:tblPr>
      <w:tblGrid>
        <w:gridCol w:w="1614"/>
        <w:gridCol w:w="1806"/>
        <w:gridCol w:w="1616"/>
        <w:gridCol w:w="1182"/>
        <w:gridCol w:w="1616"/>
        <w:gridCol w:w="1182"/>
      </w:tblGrid>
      <w:tr w:rsidR="00DA649A" w:rsidRPr="00DA649A" w14:paraId="57439BF8" w14:textId="77777777" w:rsidTr="00AA7634">
        <w:tc>
          <w:tcPr>
            <w:tcW w:w="0" w:type="auto"/>
            <w:hideMark/>
          </w:tcPr>
          <w:p w14:paraId="62568C03" w14:textId="77777777" w:rsidR="00DA649A" w:rsidRPr="00DA649A" w:rsidRDefault="00DA649A" w:rsidP="00DA649A">
            <w:pPr>
              <w:rPr>
                <w:b/>
                <w:bCs/>
              </w:rPr>
            </w:pPr>
            <w:r w:rsidRPr="00DA649A">
              <w:rPr>
                <w:b/>
                <w:bCs/>
              </w:rPr>
              <w:t>Ratio</w:t>
            </w:r>
          </w:p>
        </w:tc>
        <w:tc>
          <w:tcPr>
            <w:tcW w:w="0" w:type="auto"/>
            <w:hideMark/>
          </w:tcPr>
          <w:p w14:paraId="2D463D29" w14:textId="77777777" w:rsidR="00DA649A" w:rsidRPr="00DA649A" w:rsidRDefault="00DA649A" w:rsidP="00DA649A">
            <w:pPr>
              <w:rPr>
                <w:b/>
                <w:bCs/>
              </w:rPr>
            </w:pPr>
            <w:r w:rsidRPr="00DA649A">
              <w:rPr>
                <w:b/>
                <w:bCs/>
              </w:rPr>
              <w:t>Formula</w:t>
            </w:r>
          </w:p>
        </w:tc>
        <w:tc>
          <w:tcPr>
            <w:tcW w:w="0" w:type="auto"/>
            <w:hideMark/>
          </w:tcPr>
          <w:p w14:paraId="7AA52136" w14:textId="77777777" w:rsidR="00DA649A" w:rsidRPr="00DA649A" w:rsidRDefault="00DA649A" w:rsidP="00DA649A">
            <w:pPr>
              <w:rPr>
                <w:b/>
                <w:bCs/>
              </w:rPr>
            </w:pPr>
            <w:r w:rsidRPr="00DA649A">
              <w:rPr>
                <w:b/>
                <w:bCs/>
              </w:rPr>
              <w:t>2023/24 Calculation</w:t>
            </w:r>
          </w:p>
        </w:tc>
        <w:tc>
          <w:tcPr>
            <w:tcW w:w="0" w:type="auto"/>
            <w:hideMark/>
          </w:tcPr>
          <w:p w14:paraId="2BF81439" w14:textId="77777777" w:rsidR="00DA649A" w:rsidRPr="00DA649A" w:rsidRDefault="00DA649A" w:rsidP="00DA649A">
            <w:pPr>
              <w:rPr>
                <w:b/>
                <w:bCs/>
              </w:rPr>
            </w:pPr>
            <w:r w:rsidRPr="00DA649A">
              <w:rPr>
                <w:b/>
                <w:bCs/>
              </w:rPr>
              <w:t>2023/24 Result</w:t>
            </w:r>
          </w:p>
        </w:tc>
        <w:tc>
          <w:tcPr>
            <w:tcW w:w="0" w:type="auto"/>
            <w:hideMark/>
          </w:tcPr>
          <w:p w14:paraId="672C8F12" w14:textId="77777777" w:rsidR="00DA649A" w:rsidRPr="00DA649A" w:rsidRDefault="00DA649A" w:rsidP="00DA649A">
            <w:pPr>
              <w:rPr>
                <w:b/>
                <w:bCs/>
              </w:rPr>
            </w:pPr>
            <w:r w:rsidRPr="00DA649A">
              <w:rPr>
                <w:b/>
                <w:bCs/>
              </w:rPr>
              <w:t>2024/25 Calculation</w:t>
            </w:r>
          </w:p>
        </w:tc>
        <w:tc>
          <w:tcPr>
            <w:tcW w:w="0" w:type="auto"/>
            <w:hideMark/>
          </w:tcPr>
          <w:p w14:paraId="33798081" w14:textId="77777777" w:rsidR="00DA649A" w:rsidRPr="00DA649A" w:rsidRDefault="00DA649A" w:rsidP="00DA649A">
            <w:pPr>
              <w:rPr>
                <w:b/>
                <w:bCs/>
              </w:rPr>
            </w:pPr>
            <w:r w:rsidRPr="00DA649A">
              <w:rPr>
                <w:b/>
                <w:bCs/>
              </w:rPr>
              <w:t>2024/25 Result</w:t>
            </w:r>
          </w:p>
        </w:tc>
      </w:tr>
      <w:tr w:rsidR="00B50FB2" w:rsidRPr="00DA649A" w14:paraId="4CB0CFCD" w14:textId="77777777" w:rsidTr="001668C5">
        <w:tc>
          <w:tcPr>
            <w:tcW w:w="0" w:type="auto"/>
            <w:hideMark/>
          </w:tcPr>
          <w:p w14:paraId="57C36165" w14:textId="77777777" w:rsidR="00B50FB2" w:rsidRPr="00DA649A" w:rsidRDefault="00B50FB2" w:rsidP="00B50FB2">
            <w:r w:rsidRPr="00DA649A">
              <w:t>Asset Turnover</w:t>
            </w:r>
          </w:p>
        </w:tc>
        <w:tc>
          <w:tcPr>
            <w:tcW w:w="0" w:type="auto"/>
            <w:hideMark/>
          </w:tcPr>
          <w:p w14:paraId="7D7C3388" w14:textId="77777777" w:rsidR="00B50FB2" w:rsidRPr="00DA649A" w:rsidRDefault="00B50FB2" w:rsidP="00B50FB2">
            <w:r w:rsidRPr="00DA649A">
              <w:t>Revenue ÷ Total Assets</w:t>
            </w:r>
          </w:p>
        </w:tc>
        <w:tc>
          <w:tcPr>
            <w:tcW w:w="0" w:type="auto"/>
            <w:vAlign w:val="center"/>
            <w:hideMark/>
          </w:tcPr>
          <w:p w14:paraId="20D1F26D" w14:textId="6209DEBE" w:rsidR="00B50FB2" w:rsidRPr="00B50FB2" w:rsidRDefault="00B50FB2" w:rsidP="00B50FB2">
            <w:r w:rsidRPr="0015022A">
              <w:t>2,959.9 ÷ 9,521.3</w:t>
            </w:r>
          </w:p>
        </w:tc>
        <w:tc>
          <w:tcPr>
            <w:tcW w:w="0" w:type="auto"/>
            <w:vAlign w:val="center"/>
            <w:hideMark/>
          </w:tcPr>
          <w:p w14:paraId="314E098E" w14:textId="7FEDE8DC" w:rsidR="00B50FB2" w:rsidRPr="00B50FB2" w:rsidRDefault="00B50FB2" w:rsidP="00B50FB2">
            <w:r w:rsidRPr="0015022A">
              <w:t>0.31</w:t>
            </w:r>
          </w:p>
        </w:tc>
        <w:tc>
          <w:tcPr>
            <w:tcW w:w="0" w:type="auto"/>
            <w:vAlign w:val="center"/>
            <w:hideMark/>
          </w:tcPr>
          <w:p w14:paraId="19D14AC7" w14:textId="7A298EA5" w:rsidR="00B50FB2" w:rsidRPr="00B50FB2" w:rsidRDefault="00B50FB2" w:rsidP="00B50FB2">
            <w:r w:rsidRPr="0015022A">
              <w:t>2,921.9 ÷ 9,904.7</w:t>
            </w:r>
          </w:p>
        </w:tc>
        <w:tc>
          <w:tcPr>
            <w:tcW w:w="0" w:type="auto"/>
            <w:vAlign w:val="center"/>
            <w:hideMark/>
          </w:tcPr>
          <w:p w14:paraId="0D2E84FF" w14:textId="19C5A531" w:rsidR="00B50FB2" w:rsidRPr="00B50FB2" w:rsidRDefault="00B50FB2" w:rsidP="00B50FB2">
            <w:r w:rsidRPr="0015022A">
              <w:t>0.30</w:t>
            </w:r>
          </w:p>
        </w:tc>
      </w:tr>
      <w:tr w:rsidR="00B50FB2" w:rsidRPr="00DA649A" w14:paraId="6BCE3457" w14:textId="77777777" w:rsidTr="001668C5">
        <w:tc>
          <w:tcPr>
            <w:tcW w:w="0" w:type="auto"/>
            <w:hideMark/>
          </w:tcPr>
          <w:p w14:paraId="3620C8E9" w14:textId="77777777" w:rsidR="00B50FB2" w:rsidRPr="00DA649A" w:rsidRDefault="00B50FB2" w:rsidP="00B50FB2">
            <w:r w:rsidRPr="00DA649A">
              <w:lastRenderedPageBreak/>
              <w:t>Receivables Turnover</w:t>
            </w:r>
          </w:p>
        </w:tc>
        <w:tc>
          <w:tcPr>
            <w:tcW w:w="0" w:type="auto"/>
            <w:hideMark/>
          </w:tcPr>
          <w:p w14:paraId="22C85987" w14:textId="77777777" w:rsidR="00B50FB2" w:rsidRPr="00DA649A" w:rsidRDefault="00B50FB2" w:rsidP="00B50FB2">
            <w:r w:rsidRPr="00DA649A">
              <w:t>Revenue ÷ Trade Receivables</w:t>
            </w:r>
          </w:p>
        </w:tc>
        <w:tc>
          <w:tcPr>
            <w:tcW w:w="0" w:type="auto"/>
            <w:vAlign w:val="center"/>
            <w:hideMark/>
          </w:tcPr>
          <w:p w14:paraId="7B1F636F" w14:textId="2E4B9298" w:rsidR="00B50FB2" w:rsidRPr="00B50FB2" w:rsidRDefault="00B50FB2" w:rsidP="00B50FB2">
            <w:r w:rsidRPr="0015022A">
              <w:t>2,959.9 ÷ 119.3</w:t>
            </w:r>
          </w:p>
        </w:tc>
        <w:tc>
          <w:tcPr>
            <w:tcW w:w="0" w:type="auto"/>
            <w:vAlign w:val="center"/>
            <w:hideMark/>
          </w:tcPr>
          <w:p w14:paraId="7E369FE4" w14:textId="50ECA84E" w:rsidR="00B50FB2" w:rsidRPr="00B50FB2" w:rsidRDefault="00B50FB2" w:rsidP="00B50FB2">
            <w:r w:rsidRPr="0015022A">
              <w:t>24.8×</w:t>
            </w:r>
          </w:p>
        </w:tc>
        <w:tc>
          <w:tcPr>
            <w:tcW w:w="0" w:type="auto"/>
            <w:vAlign w:val="center"/>
            <w:hideMark/>
          </w:tcPr>
          <w:p w14:paraId="10A0F6BA" w14:textId="31C1B4FA" w:rsidR="00B50FB2" w:rsidRPr="00B50FB2" w:rsidRDefault="00B50FB2" w:rsidP="00B50FB2">
            <w:r w:rsidRPr="0015022A">
              <w:t>2,921.9 ÷ 127.1</w:t>
            </w:r>
          </w:p>
        </w:tc>
        <w:tc>
          <w:tcPr>
            <w:tcW w:w="0" w:type="auto"/>
            <w:vAlign w:val="center"/>
            <w:hideMark/>
          </w:tcPr>
          <w:p w14:paraId="0A25EBA8" w14:textId="521F7663" w:rsidR="00B50FB2" w:rsidRPr="00B50FB2" w:rsidRDefault="00B50FB2" w:rsidP="00B50FB2">
            <w:r w:rsidRPr="0015022A">
              <w:t>23.0×</w:t>
            </w:r>
          </w:p>
        </w:tc>
      </w:tr>
    </w:tbl>
    <w:p w14:paraId="60BAE32B" w14:textId="1AD55FB5" w:rsidR="00DA649A" w:rsidRPr="00DA649A" w:rsidRDefault="00DA649A" w:rsidP="00DA649A">
      <w:r w:rsidRPr="00DA649A">
        <w:rPr>
          <w:b/>
          <w:bCs/>
        </w:rPr>
        <w:t>Table 5: Investor Ratios</w:t>
      </w:r>
    </w:p>
    <w:tbl>
      <w:tblPr>
        <w:tblStyle w:val="TableGrid"/>
        <w:tblW w:w="0" w:type="auto"/>
        <w:tblLook w:val="04A0" w:firstRow="1" w:lastRow="0" w:firstColumn="1" w:lastColumn="0" w:noHBand="0" w:noVBand="1"/>
      </w:tblPr>
      <w:tblGrid>
        <w:gridCol w:w="1463"/>
        <w:gridCol w:w="1971"/>
        <w:gridCol w:w="1612"/>
        <w:gridCol w:w="1179"/>
        <w:gridCol w:w="1612"/>
        <w:gridCol w:w="1179"/>
      </w:tblGrid>
      <w:tr w:rsidR="00DA649A" w:rsidRPr="00DA649A" w14:paraId="5F8B6575" w14:textId="77777777" w:rsidTr="00AA7634">
        <w:tc>
          <w:tcPr>
            <w:tcW w:w="0" w:type="auto"/>
            <w:hideMark/>
          </w:tcPr>
          <w:p w14:paraId="7CA9C24F" w14:textId="77777777" w:rsidR="00DA649A" w:rsidRPr="00DA649A" w:rsidRDefault="00DA649A" w:rsidP="00DA649A">
            <w:pPr>
              <w:rPr>
                <w:b/>
                <w:bCs/>
              </w:rPr>
            </w:pPr>
            <w:r w:rsidRPr="00DA649A">
              <w:rPr>
                <w:b/>
                <w:bCs/>
              </w:rPr>
              <w:t>Ratio</w:t>
            </w:r>
          </w:p>
        </w:tc>
        <w:tc>
          <w:tcPr>
            <w:tcW w:w="0" w:type="auto"/>
            <w:hideMark/>
          </w:tcPr>
          <w:p w14:paraId="17903ACD" w14:textId="77777777" w:rsidR="00DA649A" w:rsidRPr="00DA649A" w:rsidRDefault="00DA649A" w:rsidP="00DA649A">
            <w:pPr>
              <w:rPr>
                <w:b/>
                <w:bCs/>
              </w:rPr>
            </w:pPr>
            <w:r w:rsidRPr="00DA649A">
              <w:rPr>
                <w:b/>
                <w:bCs/>
              </w:rPr>
              <w:t>Formula</w:t>
            </w:r>
          </w:p>
        </w:tc>
        <w:tc>
          <w:tcPr>
            <w:tcW w:w="0" w:type="auto"/>
            <w:hideMark/>
          </w:tcPr>
          <w:p w14:paraId="132C85BE" w14:textId="77777777" w:rsidR="00DA649A" w:rsidRPr="00DA649A" w:rsidRDefault="00DA649A" w:rsidP="00DA649A">
            <w:pPr>
              <w:rPr>
                <w:b/>
                <w:bCs/>
              </w:rPr>
            </w:pPr>
            <w:r w:rsidRPr="00DA649A">
              <w:rPr>
                <w:b/>
                <w:bCs/>
              </w:rPr>
              <w:t>2023/24 Calculation</w:t>
            </w:r>
          </w:p>
        </w:tc>
        <w:tc>
          <w:tcPr>
            <w:tcW w:w="0" w:type="auto"/>
            <w:hideMark/>
          </w:tcPr>
          <w:p w14:paraId="2E139780" w14:textId="77777777" w:rsidR="00DA649A" w:rsidRPr="00DA649A" w:rsidRDefault="00DA649A" w:rsidP="00DA649A">
            <w:pPr>
              <w:rPr>
                <w:b/>
                <w:bCs/>
              </w:rPr>
            </w:pPr>
            <w:r w:rsidRPr="00DA649A">
              <w:rPr>
                <w:b/>
                <w:bCs/>
              </w:rPr>
              <w:t>2023/24 Result</w:t>
            </w:r>
          </w:p>
        </w:tc>
        <w:tc>
          <w:tcPr>
            <w:tcW w:w="0" w:type="auto"/>
            <w:hideMark/>
          </w:tcPr>
          <w:p w14:paraId="40A7DC4C" w14:textId="77777777" w:rsidR="00DA649A" w:rsidRPr="00DA649A" w:rsidRDefault="00DA649A" w:rsidP="00DA649A">
            <w:pPr>
              <w:rPr>
                <w:b/>
                <w:bCs/>
              </w:rPr>
            </w:pPr>
            <w:r w:rsidRPr="00DA649A">
              <w:rPr>
                <w:b/>
                <w:bCs/>
              </w:rPr>
              <w:t>2024/25 Calculation</w:t>
            </w:r>
          </w:p>
        </w:tc>
        <w:tc>
          <w:tcPr>
            <w:tcW w:w="0" w:type="auto"/>
            <w:hideMark/>
          </w:tcPr>
          <w:p w14:paraId="02BB1E70" w14:textId="77777777" w:rsidR="00DA649A" w:rsidRPr="00DA649A" w:rsidRDefault="00DA649A" w:rsidP="00DA649A">
            <w:pPr>
              <w:rPr>
                <w:b/>
                <w:bCs/>
              </w:rPr>
            </w:pPr>
            <w:r w:rsidRPr="00DA649A">
              <w:rPr>
                <w:b/>
                <w:bCs/>
              </w:rPr>
              <w:t>2024/25 Result</w:t>
            </w:r>
          </w:p>
        </w:tc>
      </w:tr>
      <w:tr w:rsidR="00B50FB2" w:rsidRPr="00DA649A" w14:paraId="30825412" w14:textId="77777777" w:rsidTr="00853AAD">
        <w:tc>
          <w:tcPr>
            <w:tcW w:w="0" w:type="auto"/>
            <w:hideMark/>
          </w:tcPr>
          <w:p w14:paraId="01C0313F" w14:textId="13901789" w:rsidR="00B50FB2" w:rsidRPr="00DA649A" w:rsidRDefault="00B50FB2" w:rsidP="00B50FB2">
            <w:r w:rsidRPr="00DA649A">
              <w:t>Earnings Per Share (E</w:t>
            </w:r>
            <w:r>
              <w:t>£</w:t>
            </w:r>
            <w:r w:rsidRPr="00DA649A">
              <w:t>)</w:t>
            </w:r>
          </w:p>
        </w:tc>
        <w:tc>
          <w:tcPr>
            <w:tcW w:w="0" w:type="auto"/>
            <w:hideMark/>
          </w:tcPr>
          <w:p w14:paraId="452DEC0B" w14:textId="77777777" w:rsidR="00B50FB2" w:rsidRPr="00DA649A" w:rsidRDefault="00B50FB2" w:rsidP="00B50FB2">
            <w:r w:rsidRPr="00DA649A">
              <w:t>Net Profit ÷ No. of Shares (millions)</w:t>
            </w:r>
          </w:p>
        </w:tc>
        <w:tc>
          <w:tcPr>
            <w:tcW w:w="0" w:type="auto"/>
            <w:vAlign w:val="center"/>
            <w:hideMark/>
          </w:tcPr>
          <w:p w14:paraId="0DC537A5" w14:textId="1650F708" w:rsidR="00B50FB2" w:rsidRPr="00B50FB2" w:rsidRDefault="00B50FB2" w:rsidP="00B50FB2">
            <w:r w:rsidRPr="0015022A">
              <w:t>Given: 161.0p</w:t>
            </w:r>
          </w:p>
        </w:tc>
        <w:tc>
          <w:tcPr>
            <w:tcW w:w="0" w:type="auto"/>
            <w:vAlign w:val="center"/>
            <w:hideMark/>
          </w:tcPr>
          <w:p w14:paraId="61F470A8" w14:textId="143EBE05" w:rsidR="00B50FB2" w:rsidRPr="00B50FB2" w:rsidRDefault="00B50FB2" w:rsidP="00B50FB2">
            <w:r w:rsidRPr="0015022A">
              <w:t>£1.61</w:t>
            </w:r>
          </w:p>
        </w:tc>
        <w:tc>
          <w:tcPr>
            <w:tcW w:w="0" w:type="auto"/>
            <w:vAlign w:val="center"/>
            <w:hideMark/>
          </w:tcPr>
          <w:p w14:paraId="7992D450" w14:textId="664892EB" w:rsidR="00B50FB2" w:rsidRPr="00B50FB2" w:rsidRDefault="00B50FB2" w:rsidP="00B50FB2">
            <w:r w:rsidRPr="0015022A">
              <w:t>Given: 141.5p</w:t>
            </w:r>
          </w:p>
        </w:tc>
        <w:tc>
          <w:tcPr>
            <w:tcW w:w="0" w:type="auto"/>
            <w:vAlign w:val="center"/>
            <w:hideMark/>
          </w:tcPr>
          <w:p w14:paraId="10E807DD" w14:textId="716ADA8B" w:rsidR="00B50FB2" w:rsidRPr="00B50FB2" w:rsidRDefault="00B50FB2" w:rsidP="00B50FB2">
            <w:r w:rsidRPr="0015022A">
              <w:t>£1.42</w:t>
            </w:r>
          </w:p>
        </w:tc>
      </w:tr>
      <w:tr w:rsidR="00B50FB2" w:rsidRPr="00DA649A" w14:paraId="28AD5B11" w14:textId="77777777" w:rsidTr="00AA7634">
        <w:tc>
          <w:tcPr>
            <w:tcW w:w="0" w:type="auto"/>
            <w:hideMark/>
          </w:tcPr>
          <w:p w14:paraId="12E00584" w14:textId="77777777" w:rsidR="00B50FB2" w:rsidRPr="00DA649A" w:rsidRDefault="00B50FB2" w:rsidP="00B50FB2">
            <w:r w:rsidRPr="00DA649A">
              <w:t>Price-Earnings Ratio</w:t>
            </w:r>
          </w:p>
        </w:tc>
        <w:tc>
          <w:tcPr>
            <w:tcW w:w="0" w:type="auto"/>
            <w:hideMark/>
          </w:tcPr>
          <w:p w14:paraId="37405DAA" w14:textId="4C3B52B8" w:rsidR="00B50FB2" w:rsidRPr="00DA649A" w:rsidRDefault="00B50FB2" w:rsidP="00B50FB2">
            <w:r w:rsidRPr="00DA649A">
              <w:t>Market Price per Share ÷ E</w:t>
            </w:r>
            <w:r>
              <w:t>£</w:t>
            </w:r>
          </w:p>
        </w:tc>
        <w:tc>
          <w:tcPr>
            <w:tcW w:w="0" w:type="auto"/>
            <w:hideMark/>
          </w:tcPr>
          <w:p w14:paraId="3B560BE3" w14:textId="1E1DE933" w:rsidR="00B50FB2" w:rsidRPr="00B50FB2" w:rsidRDefault="00B50FB2" w:rsidP="00B50FB2">
            <w:r w:rsidRPr="00B50FB2">
              <w:rPr>
                <w:szCs w:val="24"/>
              </w:rPr>
              <w:t>32.00 ÷ 1.61</w:t>
            </w:r>
          </w:p>
        </w:tc>
        <w:tc>
          <w:tcPr>
            <w:tcW w:w="0" w:type="auto"/>
            <w:hideMark/>
          </w:tcPr>
          <w:p w14:paraId="6F12E817" w14:textId="0B6E9998" w:rsidR="00B50FB2" w:rsidRPr="00B50FB2" w:rsidRDefault="00B50FB2" w:rsidP="00B50FB2">
            <w:r w:rsidRPr="00B50FB2">
              <w:rPr>
                <w:szCs w:val="24"/>
              </w:rPr>
              <w:t>19.88×</w:t>
            </w:r>
          </w:p>
        </w:tc>
        <w:tc>
          <w:tcPr>
            <w:tcW w:w="0" w:type="auto"/>
            <w:hideMark/>
          </w:tcPr>
          <w:p w14:paraId="435EB863" w14:textId="043F6257" w:rsidR="00B50FB2" w:rsidRPr="00B50FB2" w:rsidRDefault="00B50FB2" w:rsidP="00B50FB2">
            <w:r w:rsidRPr="00B50FB2">
              <w:rPr>
                <w:szCs w:val="24"/>
              </w:rPr>
              <w:t>30.00 ÷ 1.42</w:t>
            </w:r>
          </w:p>
        </w:tc>
        <w:tc>
          <w:tcPr>
            <w:tcW w:w="0" w:type="auto"/>
            <w:hideMark/>
          </w:tcPr>
          <w:p w14:paraId="23D47586" w14:textId="01DDF19A" w:rsidR="00B50FB2" w:rsidRPr="00B50FB2" w:rsidRDefault="00B50FB2" w:rsidP="00B50FB2">
            <w:r w:rsidRPr="00B50FB2">
              <w:rPr>
                <w:szCs w:val="24"/>
              </w:rPr>
              <w:t>21.13×</w:t>
            </w:r>
          </w:p>
        </w:tc>
      </w:tr>
      <w:tr w:rsidR="00B50FB2" w:rsidRPr="00DA649A" w14:paraId="395CF64F" w14:textId="77777777" w:rsidTr="00AA7634">
        <w:tc>
          <w:tcPr>
            <w:tcW w:w="0" w:type="auto"/>
            <w:hideMark/>
          </w:tcPr>
          <w:p w14:paraId="1D8B564C" w14:textId="77777777" w:rsidR="00B50FB2" w:rsidRPr="00DA649A" w:rsidRDefault="00B50FB2" w:rsidP="00B50FB2">
            <w:r w:rsidRPr="00DA649A">
              <w:t>Dividend Yield</w:t>
            </w:r>
          </w:p>
        </w:tc>
        <w:tc>
          <w:tcPr>
            <w:tcW w:w="0" w:type="auto"/>
            <w:hideMark/>
          </w:tcPr>
          <w:p w14:paraId="057A6127" w14:textId="77777777" w:rsidR="00B50FB2" w:rsidRPr="00DA649A" w:rsidRDefault="00B50FB2" w:rsidP="00B50FB2">
            <w:r w:rsidRPr="00DA649A">
              <w:t>(Dividend per Share ÷ Market Price) × 100</w:t>
            </w:r>
          </w:p>
        </w:tc>
        <w:tc>
          <w:tcPr>
            <w:tcW w:w="0" w:type="auto"/>
            <w:hideMark/>
          </w:tcPr>
          <w:p w14:paraId="42EDC9D8" w14:textId="67BE85F1" w:rsidR="00B50FB2" w:rsidRPr="00B50FB2" w:rsidRDefault="00B50FB2" w:rsidP="00B50FB2">
            <w:r w:rsidRPr="00B50FB2">
              <w:rPr>
                <w:szCs w:val="24"/>
              </w:rPr>
              <w:t>(0.97 ÷ 32.00) × 100</w:t>
            </w:r>
          </w:p>
        </w:tc>
        <w:tc>
          <w:tcPr>
            <w:tcW w:w="0" w:type="auto"/>
            <w:hideMark/>
          </w:tcPr>
          <w:p w14:paraId="3765318B" w14:textId="1AE93863" w:rsidR="00B50FB2" w:rsidRPr="00B50FB2" w:rsidRDefault="00B50FB2" w:rsidP="00B50FB2">
            <w:r w:rsidRPr="00B50FB2">
              <w:rPr>
                <w:szCs w:val="24"/>
              </w:rPr>
              <w:t>3.03%</w:t>
            </w:r>
          </w:p>
        </w:tc>
        <w:tc>
          <w:tcPr>
            <w:tcW w:w="0" w:type="auto"/>
            <w:hideMark/>
          </w:tcPr>
          <w:p w14:paraId="402A85AD" w14:textId="242583FD" w:rsidR="00B50FB2" w:rsidRPr="00B50FB2" w:rsidRDefault="00B50FB2" w:rsidP="00B50FB2">
            <w:r w:rsidRPr="00B50FB2">
              <w:rPr>
                <w:szCs w:val="24"/>
              </w:rPr>
              <w:t>(0.97 ÷ 30.00) × 100</w:t>
            </w:r>
          </w:p>
        </w:tc>
        <w:tc>
          <w:tcPr>
            <w:tcW w:w="0" w:type="auto"/>
            <w:hideMark/>
          </w:tcPr>
          <w:p w14:paraId="3A571211" w14:textId="537B518B" w:rsidR="00B50FB2" w:rsidRPr="00B50FB2" w:rsidRDefault="00B50FB2" w:rsidP="00B50FB2">
            <w:r w:rsidRPr="00B50FB2">
              <w:rPr>
                <w:szCs w:val="24"/>
              </w:rPr>
              <w:t>3.23%</w:t>
            </w:r>
          </w:p>
        </w:tc>
      </w:tr>
    </w:tbl>
    <w:p w14:paraId="704B862C" w14:textId="7E8E906D" w:rsidR="00A02001" w:rsidRDefault="00A02001" w:rsidP="007E209F"/>
    <w:p w14:paraId="17324505" w14:textId="2478FA21" w:rsidR="00221A44" w:rsidRDefault="00221A44" w:rsidP="007E209F"/>
    <w:sectPr w:rsidR="00221A44" w:rsidSect="00710F7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23E03F" w14:textId="77777777" w:rsidR="004E341B" w:rsidRDefault="004E341B" w:rsidP="003133DE">
      <w:pPr>
        <w:spacing w:before="0" w:after="0" w:line="240" w:lineRule="auto"/>
      </w:pPr>
      <w:r>
        <w:separator/>
      </w:r>
    </w:p>
  </w:endnote>
  <w:endnote w:type="continuationSeparator" w:id="0">
    <w:p w14:paraId="6E5B8F2D" w14:textId="77777777" w:rsidR="004E341B" w:rsidRDefault="004E341B" w:rsidP="003133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DC7462" w14:textId="77777777" w:rsidR="004E341B" w:rsidRDefault="004E341B" w:rsidP="003133DE">
      <w:pPr>
        <w:spacing w:before="0" w:after="0" w:line="240" w:lineRule="auto"/>
      </w:pPr>
      <w:r>
        <w:separator/>
      </w:r>
    </w:p>
  </w:footnote>
  <w:footnote w:type="continuationSeparator" w:id="0">
    <w:p w14:paraId="684746BA" w14:textId="77777777" w:rsidR="004E341B" w:rsidRDefault="004E341B" w:rsidP="003133D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0601523"/>
      <w:docPartObj>
        <w:docPartGallery w:val="Page Numbers (Top of Page)"/>
        <w:docPartUnique/>
      </w:docPartObj>
    </w:sdtPr>
    <w:sdtEndPr>
      <w:rPr>
        <w:noProof/>
      </w:rPr>
    </w:sdtEndPr>
    <w:sdtContent>
      <w:p w14:paraId="1BE2D236" w14:textId="7CB3EC86" w:rsidR="00710F79" w:rsidRDefault="00710F79">
        <w:pPr>
          <w:pStyle w:val="Header"/>
          <w:jc w:val="right"/>
        </w:pPr>
        <w:r>
          <w:fldChar w:fldCharType="begin"/>
        </w:r>
        <w:r>
          <w:instrText xml:space="preserve"> PAGE   \* MERGEFORMAT </w:instrText>
        </w:r>
        <w:r>
          <w:fldChar w:fldCharType="separate"/>
        </w:r>
        <w:r w:rsidR="00802B7C">
          <w:rPr>
            <w:noProof/>
          </w:rPr>
          <w:t>11</w:t>
        </w:r>
        <w:r>
          <w:rPr>
            <w:noProof/>
          </w:rPr>
          <w:fldChar w:fldCharType="end"/>
        </w:r>
      </w:p>
    </w:sdtContent>
  </w:sdt>
  <w:p w14:paraId="0B7D303F" w14:textId="77777777" w:rsidR="00710F79" w:rsidRDefault="00710F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0C7A6C"/>
    <w:multiLevelType w:val="multilevel"/>
    <w:tmpl w:val="944E2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093703"/>
    <w:multiLevelType w:val="multilevel"/>
    <w:tmpl w:val="7B12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E46E22"/>
    <w:multiLevelType w:val="multilevel"/>
    <w:tmpl w:val="BF6E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C4A61"/>
    <w:multiLevelType w:val="multilevel"/>
    <w:tmpl w:val="663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267A0"/>
    <w:multiLevelType w:val="multilevel"/>
    <w:tmpl w:val="7642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4190C"/>
    <w:multiLevelType w:val="multilevel"/>
    <w:tmpl w:val="32CA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E2A27"/>
    <w:multiLevelType w:val="hybridMultilevel"/>
    <w:tmpl w:val="C1F0C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F0F"/>
    <w:rsid w:val="00007E7B"/>
    <w:rsid w:val="000143D6"/>
    <w:rsid w:val="0001489A"/>
    <w:rsid w:val="00025A04"/>
    <w:rsid w:val="000307F2"/>
    <w:rsid w:val="00061E69"/>
    <w:rsid w:val="00122546"/>
    <w:rsid w:val="0015696E"/>
    <w:rsid w:val="001840D6"/>
    <w:rsid w:val="001D002A"/>
    <w:rsid w:val="001D5FDA"/>
    <w:rsid w:val="001E0887"/>
    <w:rsid w:val="00221A44"/>
    <w:rsid w:val="00234B39"/>
    <w:rsid w:val="0029043A"/>
    <w:rsid w:val="002D14A5"/>
    <w:rsid w:val="002E68F0"/>
    <w:rsid w:val="002F227D"/>
    <w:rsid w:val="00312C8D"/>
    <w:rsid w:val="003133DE"/>
    <w:rsid w:val="00370EF5"/>
    <w:rsid w:val="0038013B"/>
    <w:rsid w:val="003B7366"/>
    <w:rsid w:val="003D47E8"/>
    <w:rsid w:val="003E25EA"/>
    <w:rsid w:val="00420DFA"/>
    <w:rsid w:val="00422EF7"/>
    <w:rsid w:val="00447D62"/>
    <w:rsid w:val="00472498"/>
    <w:rsid w:val="004C2EDD"/>
    <w:rsid w:val="004E341B"/>
    <w:rsid w:val="0052588D"/>
    <w:rsid w:val="00566F0B"/>
    <w:rsid w:val="00613246"/>
    <w:rsid w:val="006D2D1B"/>
    <w:rsid w:val="00710025"/>
    <w:rsid w:val="00710F79"/>
    <w:rsid w:val="007372AF"/>
    <w:rsid w:val="0076379C"/>
    <w:rsid w:val="007B672D"/>
    <w:rsid w:val="007E209F"/>
    <w:rsid w:val="00802B7C"/>
    <w:rsid w:val="00834CF9"/>
    <w:rsid w:val="008739B5"/>
    <w:rsid w:val="008F77C9"/>
    <w:rsid w:val="00991D5E"/>
    <w:rsid w:val="009E0ED3"/>
    <w:rsid w:val="00A02001"/>
    <w:rsid w:val="00A020D2"/>
    <w:rsid w:val="00A62DBA"/>
    <w:rsid w:val="00A63984"/>
    <w:rsid w:val="00A92F0F"/>
    <w:rsid w:val="00A96CE5"/>
    <w:rsid w:val="00AA7634"/>
    <w:rsid w:val="00AE2FF5"/>
    <w:rsid w:val="00B30AC2"/>
    <w:rsid w:val="00B50FB2"/>
    <w:rsid w:val="00B55A29"/>
    <w:rsid w:val="00B81A9A"/>
    <w:rsid w:val="00B956C8"/>
    <w:rsid w:val="00BA2958"/>
    <w:rsid w:val="00BB0AC7"/>
    <w:rsid w:val="00BE023A"/>
    <w:rsid w:val="00C44B09"/>
    <w:rsid w:val="00C95DCF"/>
    <w:rsid w:val="00CA10DB"/>
    <w:rsid w:val="00CD48A7"/>
    <w:rsid w:val="00CE282D"/>
    <w:rsid w:val="00CF04B2"/>
    <w:rsid w:val="00D012E6"/>
    <w:rsid w:val="00D4226C"/>
    <w:rsid w:val="00D54E4F"/>
    <w:rsid w:val="00D7488C"/>
    <w:rsid w:val="00D8055B"/>
    <w:rsid w:val="00D850A9"/>
    <w:rsid w:val="00D95FB8"/>
    <w:rsid w:val="00DA4E74"/>
    <w:rsid w:val="00DA649A"/>
    <w:rsid w:val="00DB6F35"/>
    <w:rsid w:val="00DC538F"/>
    <w:rsid w:val="00DD3D66"/>
    <w:rsid w:val="00E33E2C"/>
    <w:rsid w:val="00E830DD"/>
    <w:rsid w:val="00EB0DA4"/>
    <w:rsid w:val="00EE2E57"/>
    <w:rsid w:val="00F02D06"/>
    <w:rsid w:val="00F27D22"/>
    <w:rsid w:val="00F30FF8"/>
    <w:rsid w:val="00F7557A"/>
    <w:rsid w:val="00F87FEC"/>
    <w:rsid w:val="00F94EA4"/>
    <w:rsid w:val="00FA18A1"/>
    <w:rsid w:val="00FF57C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FA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heme="minorBidi"/>
        <w:kern w:val="2"/>
        <w:sz w:val="24"/>
        <w:szCs w:val="22"/>
        <w:lang w:val="en-US" w:eastAsia="en-US" w:bidi="ar-SA"/>
        <w14:ligatures w14:val="standardContextual"/>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DBA"/>
    <w:rPr>
      <w:rFonts w:cs="Times New Roman"/>
      <w:kern w:val="0"/>
      <w14:ligatures w14:val="none"/>
    </w:rPr>
  </w:style>
  <w:style w:type="paragraph" w:styleId="Heading1">
    <w:name w:val="heading 1"/>
    <w:basedOn w:val="Normal"/>
    <w:next w:val="Normal"/>
    <w:link w:val="Heading1Char"/>
    <w:uiPriority w:val="9"/>
    <w:qFormat/>
    <w:rsid w:val="00C44B09"/>
    <w:pPr>
      <w:keepNext/>
      <w:keepLines/>
      <w:spacing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6379C"/>
    <w:pPr>
      <w:keepNext/>
      <w:keepLines/>
      <w:spacing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A92F0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2F0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2F0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92F0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92F0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92F0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92F0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379C"/>
    <w:rPr>
      <w:rFonts w:ascii="Times New Roman" w:eastAsiaTheme="majorEastAsia" w:hAnsi="Times New Roman" w:cstheme="majorBidi"/>
      <w:b/>
      <w:sz w:val="28"/>
      <w:szCs w:val="32"/>
    </w:rPr>
  </w:style>
  <w:style w:type="character" w:customStyle="1" w:styleId="Heading1Char">
    <w:name w:val="Heading 1 Char"/>
    <w:basedOn w:val="DefaultParagraphFont"/>
    <w:link w:val="Heading1"/>
    <w:uiPriority w:val="9"/>
    <w:rsid w:val="00C44B09"/>
    <w:rPr>
      <w:rFonts w:eastAsiaTheme="majorEastAsia" w:cstheme="majorBidi"/>
      <w:b/>
      <w:sz w:val="32"/>
      <w:szCs w:val="32"/>
    </w:rPr>
  </w:style>
  <w:style w:type="character" w:customStyle="1" w:styleId="Heading3Char">
    <w:name w:val="Heading 3 Char"/>
    <w:basedOn w:val="DefaultParagraphFont"/>
    <w:link w:val="Heading3"/>
    <w:uiPriority w:val="9"/>
    <w:semiHidden/>
    <w:rsid w:val="00A92F0F"/>
    <w:rPr>
      <w:rFonts w:asciiTheme="minorHAnsi" w:eastAsiaTheme="majorEastAsia" w:hAnsiTheme="minorHAnsi"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A92F0F"/>
    <w:rPr>
      <w:rFonts w:asciiTheme="minorHAnsi" w:eastAsiaTheme="majorEastAsia" w:hAnsiTheme="min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A92F0F"/>
    <w:rPr>
      <w:rFonts w:asciiTheme="minorHAnsi" w:eastAsiaTheme="majorEastAsia" w:hAnsiTheme="min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A92F0F"/>
    <w:rPr>
      <w:rFonts w:asciiTheme="minorHAnsi" w:eastAsiaTheme="majorEastAsia" w:hAnsiTheme="minorHAnsi"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A92F0F"/>
    <w:rPr>
      <w:rFonts w:asciiTheme="minorHAnsi" w:eastAsiaTheme="majorEastAsia" w:hAnsiTheme="minorHAnsi"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A92F0F"/>
    <w:rPr>
      <w:rFonts w:asciiTheme="minorHAnsi" w:eastAsiaTheme="majorEastAsia" w:hAnsiTheme="minorHAnsi"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A92F0F"/>
    <w:rPr>
      <w:rFonts w:asciiTheme="minorHAnsi" w:eastAsiaTheme="majorEastAsia" w:hAnsiTheme="minorHAnsi" w:cstheme="majorBidi"/>
      <w:color w:val="272727" w:themeColor="text1" w:themeTint="D8"/>
      <w:kern w:val="0"/>
      <w14:ligatures w14:val="none"/>
    </w:rPr>
  </w:style>
  <w:style w:type="paragraph" w:styleId="Title">
    <w:name w:val="Title"/>
    <w:basedOn w:val="Normal"/>
    <w:next w:val="Normal"/>
    <w:link w:val="TitleChar"/>
    <w:uiPriority w:val="10"/>
    <w:qFormat/>
    <w:rsid w:val="00A92F0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F0F"/>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A92F0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F0F"/>
    <w:rPr>
      <w:rFonts w:asciiTheme="minorHAnsi" w:eastAsiaTheme="majorEastAsia" w:hAnsiTheme="minorHAnsi"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A92F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2F0F"/>
    <w:rPr>
      <w:rFonts w:cs="Times New Roman"/>
      <w:i/>
      <w:iCs/>
      <w:color w:val="404040" w:themeColor="text1" w:themeTint="BF"/>
      <w:kern w:val="0"/>
      <w14:ligatures w14:val="none"/>
    </w:rPr>
  </w:style>
  <w:style w:type="paragraph" w:styleId="ListParagraph">
    <w:name w:val="List Paragraph"/>
    <w:basedOn w:val="Normal"/>
    <w:uiPriority w:val="34"/>
    <w:qFormat/>
    <w:rsid w:val="00A92F0F"/>
    <w:pPr>
      <w:ind w:left="720"/>
      <w:contextualSpacing/>
    </w:pPr>
  </w:style>
  <w:style w:type="character" w:styleId="IntenseEmphasis">
    <w:name w:val="Intense Emphasis"/>
    <w:basedOn w:val="DefaultParagraphFont"/>
    <w:uiPriority w:val="21"/>
    <w:qFormat/>
    <w:rsid w:val="00A92F0F"/>
    <w:rPr>
      <w:i/>
      <w:iCs/>
      <w:color w:val="2F5496" w:themeColor="accent1" w:themeShade="BF"/>
    </w:rPr>
  </w:style>
  <w:style w:type="paragraph" w:styleId="IntenseQuote">
    <w:name w:val="Intense Quote"/>
    <w:basedOn w:val="Normal"/>
    <w:next w:val="Normal"/>
    <w:link w:val="IntenseQuoteChar"/>
    <w:uiPriority w:val="30"/>
    <w:qFormat/>
    <w:rsid w:val="00A92F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2F0F"/>
    <w:rPr>
      <w:rFonts w:cs="Times New Roman"/>
      <w:i/>
      <w:iCs/>
      <w:color w:val="2F5496" w:themeColor="accent1" w:themeShade="BF"/>
      <w:kern w:val="0"/>
      <w14:ligatures w14:val="none"/>
    </w:rPr>
  </w:style>
  <w:style w:type="character" w:styleId="IntenseReference">
    <w:name w:val="Intense Reference"/>
    <w:basedOn w:val="DefaultParagraphFont"/>
    <w:uiPriority w:val="32"/>
    <w:qFormat/>
    <w:rsid w:val="00A92F0F"/>
    <w:rPr>
      <w:b/>
      <w:bCs/>
      <w:smallCaps/>
      <w:color w:val="2F5496" w:themeColor="accent1" w:themeShade="BF"/>
      <w:spacing w:val="5"/>
    </w:rPr>
  </w:style>
  <w:style w:type="character" w:styleId="Hyperlink">
    <w:name w:val="Hyperlink"/>
    <w:basedOn w:val="DefaultParagraphFont"/>
    <w:uiPriority w:val="99"/>
    <w:unhideWhenUsed/>
    <w:rsid w:val="00DA649A"/>
    <w:rPr>
      <w:color w:val="0563C1" w:themeColor="hyperlink"/>
      <w:u w:val="single"/>
    </w:rPr>
  </w:style>
  <w:style w:type="character" w:customStyle="1" w:styleId="UnresolvedMention">
    <w:name w:val="Unresolved Mention"/>
    <w:basedOn w:val="DefaultParagraphFont"/>
    <w:uiPriority w:val="99"/>
    <w:semiHidden/>
    <w:unhideWhenUsed/>
    <w:rsid w:val="00DA649A"/>
    <w:rPr>
      <w:color w:val="605E5C"/>
      <w:shd w:val="clear" w:color="auto" w:fill="E1DFDD"/>
    </w:rPr>
  </w:style>
  <w:style w:type="table" w:styleId="TableGrid">
    <w:name w:val="Table Grid"/>
    <w:basedOn w:val="TableNormal"/>
    <w:uiPriority w:val="39"/>
    <w:rsid w:val="00AA763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33D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133DE"/>
    <w:rPr>
      <w:rFonts w:cs="Times New Roman"/>
      <w:kern w:val="0"/>
      <w14:ligatures w14:val="none"/>
    </w:rPr>
  </w:style>
  <w:style w:type="paragraph" w:styleId="Footer">
    <w:name w:val="footer"/>
    <w:basedOn w:val="Normal"/>
    <w:link w:val="FooterChar"/>
    <w:uiPriority w:val="99"/>
    <w:unhideWhenUsed/>
    <w:rsid w:val="003133D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133DE"/>
    <w:rPr>
      <w:rFonts w:cs="Times New Roman"/>
      <w:kern w:val="0"/>
      <w14:ligatures w14:val="none"/>
    </w:rPr>
  </w:style>
  <w:style w:type="paragraph" w:styleId="TOCHeading">
    <w:name w:val="TOC Heading"/>
    <w:basedOn w:val="Heading1"/>
    <w:next w:val="Normal"/>
    <w:uiPriority w:val="39"/>
    <w:unhideWhenUsed/>
    <w:qFormat/>
    <w:rsid w:val="003133D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710F79"/>
    <w:pPr>
      <w:tabs>
        <w:tab w:val="right" w:leader="dot" w:pos="9016"/>
      </w:tabs>
      <w:spacing w:after="100"/>
    </w:pPr>
    <w:rPr>
      <w:b/>
      <w:bCs/>
      <w:noProof/>
    </w:rPr>
  </w:style>
  <w:style w:type="paragraph" w:styleId="TOC2">
    <w:name w:val="toc 2"/>
    <w:basedOn w:val="Normal"/>
    <w:next w:val="Normal"/>
    <w:autoRedefine/>
    <w:uiPriority w:val="39"/>
    <w:unhideWhenUsed/>
    <w:rsid w:val="003133DE"/>
    <w:pPr>
      <w:spacing w:after="100"/>
      <w:ind w:left="240"/>
    </w:pPr>
  </w:style>
  <w:style w:type="character" w:styleId="Strong">
    <w:name w:val="Strong"/>
    <w:basedOn w:val="DefaultParagraphFont"/>
    <w:uiPriority w:val="22"/>
    <w:qFormat/>
    <w:rsid w:val="00B50F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tourman.2018.05.008" TargetMode="External"/><Relationship Id="rId18" Type="http://schemas.openxmlformats.org/officeDocument/2006/relationships/hyperlink" Target="https://doi.org/10.1016/j.jbef.2015.11.003" TargetMode="External"/><Relationship Id="rId26" Type="http://schemas.openxmlformats.org/officeDocument/2006/relationships/hyperlink" Target="https://cdn.whitbread.co.uk/media/2025/05/Whitbread-PLC-Annual-Report-and-Accounts-2024-25.pdf" TargetMode="External"/><Relationship Id="rId3" Type="http://schemas.openxmlformats.org/officeDocument/2006/relationships/styles" Target="styles.xml"/><Relationship Id="rId21" Type="http://schemas.openxmlformats.org/officeDocument/2006/relationships/hyperlink" Target="https://doi.org/10.1111/jacf.12181" TargetMode="External"/><Relationship Id="rId7" Type="http://schemas.openxmlformats.org/officeDocument/2006/relationships/endnotes" Target="endnotes.xml"/><Relationship Id="rId12" Type="http://schemas.openxmlformats.org/officeDocument/2006/relationships/hyperlink" Target="https://doi.org/10.1080/23322039.2025.2571401" TargetMode="External"/><Relationship Id="rId17" Type="http://schemas.openxmlformats.org/officeDocument/2006/relationships/hyperlink" Target="https://www.ukhospitality.org.uk" TargetMode="External"/><Relationship Id="rId25" Type="http://schemas.openxmlformats.org/officeDocument/2006/relationships/hyperlink" Target="https://cdn.whitbread.co.uk/media/2024/05/Whitbread-PLC-Annual-Report-and-Accounts-2023_Single_pages-1.pdf" TargetMode="External"/><Relationship Id="rId2" Type="http://schemas.openxmlformats.org/officeDocument/2006/relationships/numbering" Target="numbering.xml"/><Relationship Id="rId16" Type="http://schemas.openxmlformats.org/officeDocument/2006/relationships/hyperlink" Target="https://doi.org/10.1017/S002210902100079X" TargetMode="External"/><Relationship Id="rId20" Type="http://schemas.openxmlformats.org/officeDocument/2006/relationships/hyperlink" Target="https://doi.org/10.20525/ijfbs.v9i4.93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hm.2021.103012" TargetMode="External"/><Relationship Id="rId24" Type="http://schemas.openxmlformats.org/officeDocument/2006/relationships/hyperlink" Target="https://doi.org/10.1016/j.annals.2021.103180" TargetMode="External"/><Relationship Id="rId5" Type="http://schemas.openxmlformats.org/officeDocument/2006/relationships/webSettings" Target="webSettings.xml"/><Relationship Id="rId15" Type="http://schemas.openxmlformats.org/officeDocument/2006/relationships/hyperlink" Target="https://doi.org/10.2991/aebmr.k.220307.028" TargetMode="External"/><Relationship Id="rId23" Type="http://schemas.openxmlformats.org/officeDocument/2006/relationships/hyperlink" Target="https://doi.org/10.37899/journallabisecoman.v6i2.1970" TargetMode="External"/><Relationship Id="rId28" Type="http://schemas.openxmlformats.org/officeDocument/2006/relationships/image" Target="media/image3.png"/><Relationship Id="rId10" Type="http://schemas.openxmlformats.org/officeDocument/2006/relationships/hyperlink" Target="https://doi.org/10.1016/j.ijhm.2021.103012" TargetMode="External"/><Relationship Id="rId19" Type="http://schemas.openxmlformats.org/officeDocument/2006/relationships/hyperlink" Target="https://doi.org/10.1177/2158244025133653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16/j.lrp.2014.07.005" TargetMode="External"/><Relationship Id="rId22" Type="http://schemas.openxmlformats.org/officeDocument/2006/relationships/hyperlink" Target="http://thuvienso.thanglong.edu.vn//handle/TLU/12433" TargetMode="External"/><Relationship Id="rId27" Type="http://schemas.openxmlformats.org/officeDocument/2006/relationships/image" Target="media/image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E6D73-C681-48F1-B0B2-7F5948C35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7054</Words>
  <Characters>40211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47171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2026-01-09T18:02:00Z</dcterms:created>
  <dcterms:modified xsi:type="dcterms:W3CDTF">2026-01-12T00:36:00Z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47cec6bf-f72a-43b3-8a11-741f3f210240</vt:lpwstr>
  </property>
</Properties>
</file>