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2809"/>
        <w:tblW w:w="9629" w:type="dxa"/>
        <w:tblCellMar>
          <w:top w:w="15" w:type="dxa"/>
          <w:left w:w="15" w:type="dxa"/>
          <w:bottom w:w="15" w:type="dxa"/>
          <w:right w:w="15" w:type="dxa"/>
        </w:tblCellMar>
        <w:tblLook w:val="04A0" w:firstRow="1" w:lastRow="0" w:firstColumn="1" w:lastColumn="0" w:noHBand="0" w:noVBand="1"/>
      </w:tblPr>
      <w:tblGrid>
        <w:gridCol w:w="2542"/>
        <w:gridCol w:w="7087"/>
      </w:tblGrid>
      <w:tr w:rsidR="007552DF" w:rsidRPr="007552DF" w14:paraId="24815BE3" w14:textId="77777777" w:rsidTr="00575032">
        <w:trPr>
          <w:trHeight w:val="388"/>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3A74D" w14:textId="77777777" w:rsidR="007552DF" w:rsidRPr="007552DF" w:rsidRDefault="007552DF" w:rsidP="00575032">
            <w:pPr>
              <w:spacing w:line="360" w:lineRule="auto"/>
              <w:ind w:left="129"/>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Programme: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62EE1" w14:textId="77777777" w:rsidR="007552DF" w:rsidRPr="007552DF" w:rsidRDefault="007552DF" w:rsidP="00575032">
            <w:pPr>
              <w:spacing w:line="360" w:lineRule="auto"/>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MSc Public Health and Social Care in Practice</w:t>
            </w:r>
          </w:p>
        </w:tc>
      </w:tr>
      <w:tr w:rsidR="007552DF" w:rsidRPr="007552DF" w14:paraId="79642870"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EC765" w14:textId="77777777" w:rsidR="007552DF" w:rsidRPr="007552DF" w:rsidRDefault="007552DF" w:rsidP="00575032">
            <w:pPr>
              <w:spacing w:line="360" w:lineRule="auto"/>
              <w:ind w:left="128"/>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Module: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241C72" w14:textId="77777777" w:rsidR="007552DF" w:rsidRPr="007552DF" w:rsidRDefault="007552DF" w:rsidP="00575032">
            <w:pPr>
              <w:spacing w:line="360" w:lineRule="auto"/>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Population Health and Digital Health Promotion</w:t>
            </w:r>
          </w:p>
        </w:tc>
      </w:tr>
      <w:tr w:rsidR="007552DF" w:rsidRPr="007552DF" w14:paraId="1FBFF952"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70479A" w14:textId="77777777" w:rsidR="007552DF" w:rsidRPr="007552DF" w:rsidRDefault="007552DF" w:rsidP="00575032">
            <w:pPr>
              <w:spacing w:line="360" w:lineRule="auto"/>
              <w:ind w:left="128"/>
              <w:rPr>
                <w:rFonts w:ascii="Times New Roman" w:eastAsia="Times New Roman" w:hAnsi="Times New Roman" w:cs="Times New Roman"/>
                <w:b/>
                <w:bCs/>
                <w:color w:val="000000"/>
                <w:sz w:val="24"/>
                <w:szCs w:val="24"/>
              </w:rPr>
            </w:pPr>
            <w:r w:rsidRPr="007552DF">
              <w:rPr>
                <w:rFonts w:ascii="Times New Roman" w:eastAsia="Times New Roman" w:hAnsi="Times New Roman" w:cs="Times New Roman"/>
                <w:b/>
                <w:bCs/>
                <w:color w:val="000000"/>
                <w:sz w:val="24"/>
                <w:szCs w:val="24"/>
              </w:rPr>
              <w:t>Module code: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779C9C" w14:textId="77777777" w:rsidR="007552DF" w:rsidRPr="007552DF" w:rsidRDefault="007552DF" w:rsidP="00575032">
            <w:pPr>
              <w:spacing w:line="360" w:lineRule="auto"/>
              <w:rPr>
                <w:rFonts w:ascii="Times New Roman" w:eastAsia="Times New Roman" w:hAnsi="Times New Roman" w:cs="Times New Roman"/>
                <w:b/>
                <w:bCs/>
                <w:color w:val="000000"/>
                <w:sz w:val="24"/>
                <w:szCs w:val="24"/>
              </w:rPr>
            </w:pPr>
            <w:r w:rsidRPr="007552DF">
              <w:rPr>
                <w:rFonts w:ascii="Times New Roman" w:eastAsia="Times New Roman" w:hAnsi="Times New Roman" w:cs="Times New Roman"/>
                <w:b/>
                <w:bCs/>
                <w:color w:val="000000"/>
                <w:sz w:val="24"/>
                <w:szCs w:val="24"/>
              </w:rPr>
              <w:t>LCHS7009</w:t>
            </w:r>
          </w:p>
        </w:tc>
      </w:tr>
      <w:tr w:rsidR="007552DF" w:rsidRPr="007552DF" w14:paraId="1B5B8AD6"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CC80F4" w14:textId="77777777" w:rsidR="007552DF" w:rsidRPr="007552DF" w:rsidRDefault="007552DF" w:rsidP="00575032">
            <w:pPr>
              <w:spacing w:line="360" w:lineRule="auto"/>
              <w:ind w:left="128"/>
              <w:rPr>
                <w:rFonts w:ascii="Times New Roman" w:eastAsia="Times New Roman" w:hAnsi="Times New Roman" w:cs="Times New Roman"/>
                <w:b/>
                <w:bCs/>
                <w:color w:val="000000"/>
                <w:sz w:val="24"/>
                <w:szCs w:val="24"/>
              </w:rPr>
            </w:pPr>
            <w:r w:rsidRPr="007552DF">
              <w:rPr>
                <w:rFonts w:ascii="Times New Roman" w:eastAsia="Times New Roman" w:hAnsi="Times New Roman" w:cs="Times New Roman"/>
                <w:b/>
                <w:bCs/>
                <w:color w:val="000000"/>
                <w:sz w:val="24"/>
                <w:szCs w:val="24"/>
              </w:rPr>
              <w:t>Lecturer</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BD308" w14:textId="055A0A60" w:rsidR="007552DF" w:rsidRPr="007552DF" w:rsidRDefault="007552DF" w:rsidP="00575032">
            <w:pPr>
              <w:spacing w:line="360" w:lineRule="auto"/>
              <w:rPr>
                <w:rFonts w:ascii="Times New Roman" w:eastAsia="Times New Roman" w:hAnsi="Times New Roman" w:cs="Times New Roman"/>
                <w:b/>
                <w:bCs/>
                <w:color w:val="000000"/>
                <w:sz w:val="24"/>
                <w:szCs w:val="24"/>
              </w:rPr>
            </w:pPr>
            <w:r w:rsidRPr="007552DF">
              <w:rPr>
                <w:rFonts w:ascii="Times New Roman" w:hAnsi="Times New Roman" w:cs="Times New Roman"/>
                <w:b/>
                <w:sz w:val="24"/>
                <w:szCs w:val="24"/>
              </w:rPr>
              <w:t xml:space="preserve">Diola Bijlhout` </w:t>
            </w:r>
          </w:p>
        </w:tc>
      </w:tr>
      <w:tr w:rsidR="007552DF" w:rsidRPr="007552DF" w14:paraId="150EE7A0"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E9FEAC" w14:textId="77777777" w:rsidR="007552DF" w:rsidRPr="007552DF" w:rsidRDefault="007552DF" w:rsidP="00575032">
            <w:pPr>
              <w:spacing w:line="360" w:lineRule="auto"/>
              <w:ind w:left="128"/>
              <w:rPr>
                <w:rFonts w:ascii="Times New Roman" w:eastAsia="Times New Roman" w:hAnsi="Times New Roman" w:cs="Times New Roman"/>
                <w:b/>
                <w:bCs/>
                <w:color w:val="000000"/>
                <w:sz w:val="24"/>
                <w:szCs w:val="24"/>
              </w:rPr>
            </w:pPr>
            <w:r w:rsidRPr="007552DF">
              <w:rPr>
                <w:rFonts w:ascii="Times New Roman" w:eastAsia="Times New Roman" w:hAnsi="Times New Roman" w:cs="Times New Roman"/>
                <w:b/>
                <w:bCs/>
                <w:color w:val="000000"/>
                <w:sz w:val="24"/>
                <w:szCs w:val="24"/>
              </w:rPr>
              <w:t>Assignment Title: </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DBD88A" w14:textId="77777777" w:rsidR="007552DF" w:rsidRPr="007552DF" w:rsidRDefault="007552DF" w:rsidP="00575032">
            <w:pPr>
              <w:spacing w:line="360" w:lineRule="auto"/>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Component 1, 2 Blogs</w:t>
            </w:r>
          </w:p>
        </w:tc>
      </w:tr>
      <w:tr w:rsidR="007552DF" w:rsidRPr="007552DF" w14:paraId="6DCBF190"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88F28" w14:textId="77777777" w:rsidR="007552DF" w:rsidRPr="007552DF" w:rsidRDefault="007552DF" w:rsidP="00575032">
            <w:pPr>
              <w:spacing w:line="360" w:lineRule="auto"/>
              <w:ind w:left="128"/>
              <w:rPr>
                <w:rFonts w:ascii="Times New Roman" w:eastAsia="Times New Roman" w:hAnsi="Times New Roman" w:cs="Times New Roman"/>
                <w:b/>
                <w:bCs/>
                <w:color w:val="000000"/>
                <w:sz w:val="24"/>
                <w:szCs w:val="24"/>
              </w:rPr>
            </w:pPr>
            <w:r w:rsidRPr="007552DF">
              <w:rPr>
                <w:rFonts w:ascii="Times New Roman" w:eastAsia="Times New Roman" w:hAnsi="Times New Roman" w:cs="Times New Roman"/>
                <w:b/>
                <w:sz w:val="24"/>
                <w:szCs w:val="24"/>
              </w:rPr>
              <w:t>Student Name</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F8EDE9" w14:textId="0300C9BF" w:rsidR="007552DF" w:rsidRPr="007552DF" w:rsidRDefault="00C84825" w:rsidP="00575032">
            <w:pPr>
              <w:spacing w:line="360" w:lineRule="auto"/>
              <w:ind w:left="121"/>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Parth manishkumar patel</w:t>
            </w:r>
          </w:p>
        </w:tc>
      </w:tr>
      <w:tr w:rsidR="007552DF" w:rsidRPr="007552DF" w14:paraId="114F251C" w14:textId="77777777" w:rsidTr="00575032">
        <w:trPr>
          <w:trHeight w:val="406"/>
        </w:trPr>
        <w:tc>
          <w:tcPr>
            <w:tcW w:w="25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F0D0F" w14:textId="77777777" w:rsidR="007552DF" w:rsidRPr="007552DF" w:rsidRDefault="007552DF" w:rsidP="00575032">
            <w:pPr>
              <w:spacing w:before="110" w:line="360" w:lineRule="auto"/>
              <w:ind w:left="128"/>
              <w:rPr>
                <w:rFonts w:ascii="Times New Roman" w:eastAsia="Times New Roman" w:hAnsi="Times New Roman" w:cs="Times New Roman"/>
                <w:b/>
                <w:sz w:val="24"/>
                <w:szCs w:val="24"/>
              </w:rPr>
            </w:pPr>
            <w:r w:rsidRPr="007552DF">
              <w:rPr>
                <w:rFonts w:ascii="Times New Roman" w:eastAsia="Times New Roman" w:hAnsi="Times New Roman" w:cs="Times New Roman"/>
                <w:b/>
                <w:bCs/>
                <w:color w:val="000000"/>
                <w:sz w:val="24"/>
                <w:szCs w:val="24"/>
              </w:rPr>
              <w:t>Student ID:</w:t>
            </w:r>
          </w:p>
        </w:tc>
        <w:tc>
          <w:tcPr>
            <w:tcW w:w="7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A4DA15" w14:textId="444A18A9" w:rsidR="007552DF" w:rsidRPr="007552DF" w:rsidRDefault="00C84825" w:rsidP="00575032">
            <w:pPr>
              <w:spacing w:line="360" w:lineRule="auto"/>
              <w:ind w:left="123" w:right="42" w:firstLine="6"/>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2519370</w:t>
            </w:r>
          </w:p>
        </w:tc>
      </w:tr>
    </w:tbl>
    <w:p w14:paraId="244F4F9B" w14:textId="77777777" w:rsidR="00EB02BA" w:rsidRPr="007552DF" w:rsidRDefault="007552DF">
      <w:pPr>
        <w:rPr>
          <w:rFonts w:ascii="Times New Roman" w:eastAsia="Times New Roman" w:hAnsi="Times New Roman" w:cs="Times New Roman"/>
          <w:sz w:val="24"/>
          <w:szCs w:val="24"/>
        </w:rPr>
      </w:pPr>
      <w:r w:rsidRPr="007552DF">
        <w:rPr>
          <w:rFonts w:ascii="Times New Roman" w:eastAsia="Times New Roman" w:hAnsi="Times New Roman" w:cs="Times New Roman"/>
          <w:b/>
          <w:noProof/>
          <w:sz w:val="24"/>
          <w:szCs w:val="24"/>
        </w:rPr>
        <w:drawing>
          <wp:anchor distT="0" distB="0" distL="114300" distR="114300" simplePos="0" relativeHeight="251659264" behindDoc="0" locked="0" layoutInCell="1" allowOverlap="1" wp14:anchorId="50F56E7B" wp14:editId="729C5081">
            <wp:simplePos x="0" y="0"/>
            <wp:positionH relativeFrom="column">
              <wp:posOffset>3924300</wp:posOffset>
            </wp:positionH>
            <wp:positionV relativeFrom="paragraph">
              <wp:posOffset>0</wp:posOffset>
            </wp:positionV>
            <wp:extent cx="1943100" cy="74676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943100" cy="746760"/>
                    </a:xfrm>
                    <a:prstGeom prst="rect">
                      <a:avLst/>
                    </a:prstGeom>
                  </pic:spPr>
                </pic:pic>
              </a:graphicData>
            </a:graphic>
            <wp14:sizeRelH relativeFrom="margin">
              <wp14:pctWidth>0</wp14:pctWidth>
            </wp14:sizeRelH>
            <wp14:sizeRelV relativeFrom="margin">
              <wp14:pctHeight>0</wp14:pctHeight>
            </wp14:sizeRelV>
          </wp:anchor>
        </w:drawing>
      </w:r>
      <w:r w:rsidR="00EB02BA" w:rsidRPr="007552DF">
        <w:rPr>
          <w:rFonts w:ascii="Times New Roman" w:eastAsia="Times New Roman" w:hAnsi="Times New Roman" w:cs="Times New Roman"/>
          <w:sz w:val="24"/>
          <w:szCs w:val="24"/>
        </w:rPr>
        <w:br w:type="page"/>
      </w:r>
    </w:p>
    <w:p w14:paraId="11ADBC23" w14:textId="77777777" w:rsidR="00D96195" w:rsidRPr="007552DF" w:rsidRDefault="007552DF" w:rsidP="00EB02BA">
      <w:pPr>
        <w:pStyle w:val="Heading1"/>
      </w:pPr>
      <w:r w:rsidRPr="007552DF">
        <w:lastRenderedPageBreak/>
        <w:t>Blog 1:</w:t>
      </w:r>
    </w:p>
    <w:p w14:paraId="5117417D" w14:textId="77777777" w:rsidR="00EB02BA" w:rsidRPr="007552DF" w:rsidRDefault="007552DF" w:rsidP="00EB02BA">
      <w:pPr>
        <w:pStyle w:val="Heading2"/>
        <w:rPr>
          <w:b w:val="0"/>
        </w:rPr>
      </w:pPr>
      <w:r w:rsidRPr="007552DF">
        <w:t xml:space="preserve">Title: </w:t>
      </w:r>
    </w:p>
    <w:p w14:paraId="043829C9" w14:textId="77777777" w:rsidR="00D96195" w:rsidRPr="007552DF" w:rsidRDefault="007552DF">
      <w:pPr>
        <w:spacing w:line="360" w:lineRule="auto"/>
        <w:jc w:val="both"/>
        <w:rPr>
          <w:rFonts w:ascii="Times New Roman" w:eastAsia="Times New Roman" w:hAnsi="Times New Roman" w:cs="Times New Roman"/>
          <w:b/>
          <w:bCs/>
          <w:sz w:val="24"/>
          <w:szCs w:val="24"/>
        </w:rPr>
      </w:pPr>
      <w:r w:rsidRPr="007552DF">
        <w:rPr>
          <w:rFonts w:ascii="Times New Roman" w:eastAsia="Times New Roman" w:hAnsi="Times New Roman" w:cs="Times New Roman"/>
          <w:b/>
          <w:bCs/>
          <w:sz w:val="24"/>
          <w:szCs w:val="24"/>
        </w:rPr>
        <w:t>Promoting Cognitive Wellbeing in Dementia: A Critical Review of MindMate as a Digital Health Technology</w:t>
      </w:r>
    </w:p>
    <w:p w14:paraId="79A7C188" w14:textId="77777777" w:rsidR="00D96195" w:rsidRPr="007552DF" w:rsidRDefault="007552DF" w:rsidP="00EB02BA">
      <w:pPr>
        <w:pStyle w:val="Heading2"/>
      </w:pPr>
      <w:r w:rsidRPr="007552DF">
        <w:t>Introduction:</w:t>
      </w:r>
    </w:p>
    <w:p w14:paraId="33B8837B"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A fastest growing public health challenge is dementia in recent times across the world which affects </w:t>
      </w:r>
      <w:r w:rsidR="00EB02BA" w:rsidRPr="007552DF">
        <w:rPr>
          <w:rFonts w:ascii="Times New Roman" w:eastAsia="Times New Roman" w:hAnsi="Times New Roman" w:cs="Times New Roman"/>
          <w:sz w:val="24"/>
          <w:szCs w:val="24"/>
        </w:rPr>
        <w:t>person’s</w:t>
      </w:r>
      <w:r w:rsidRPr="007552DF">
        <w:rPr>
          <w:rFonts w:ascii="Times New Roman" w:eastAsia="Times New Roman" w:hAnsi="Times New Roman" w:cs="Times New Roman"/>
          <w:sz w:val="24"/>
          <w:szCs w:val="24"/>
        </w:rPr>
        <w:t xml:space="preserve"> memory, thinking and ability that directly impacts their daily activities (Kallmyer et al., 2023; WHO, 2026). Globally, almost 57 million people suffered from dementia in 2021 and nearly 10 million new cases registered every year (WHO, 2026). Therefore, early intervention and digital health promotion supports are necessary which improves quality of life.  </w:t>
      </w:r>
    </w:p>
    <w:p w14:paraId="4898CFF0" w14:textId="77777777" w:rsidR="00D96195" w:rsidRPr="007552DF" w:rsidRDefault="007552DF" w:rsidP="00EB02BA">
      <w:pPr>
        <w:pStyle w:val="Heading2"/>
      </w:pPr>
      <w:r w:rsidRPr="007552DF">
        <w:t>Public Health Problem:</w:t>
      </w:r>
    </w:p>
    <w:p w14:paraId="296E0441"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Dementia is a progressive neurological syndrome which mainly affects older people over the age of 65 and it declines the brain functioning of an individual (NHS, 2026a). In England, over half a million people suffer from this disease and this figure is gradually increasing (NHS, 2026b). Similarly, NHS research indicates that 1 in 11 people in the UK over the age of 65 have dementia and over time they may lose their ability to speak and communicate to others (NHS, 2026a).</w:t>
      </w:r>
    </w:p>
    <w:p w14:paraId="7CA5F1D3" w14:textId="77777777" w:rsidR="00D96195" w:rsidRPr="007552DF" w:rsidRDefault="007552DF">
      <w:pPr>
        <w:spacing w:line="360" w:lineRule="auto"/>
        <w:jc w:val="both"/>
        <w:rPr>
          <w:rFonts w:ascii="Times New Roman" w:eastAsia="Times New Roman" w:hAnsi="Times New Roman" w:cs="Times New Roman"/>
          <w:b/>
          <w:bCs/>
          <w:i/>
          <w:iCs/>
          <w:sz w:val="24"/>
          <w:szCs w:val="24"/>
        </w:rPr>
      </w:pPr>
      <w:r w:rsidRPr="007552DF">
        <w:rPr>
          <w:rFonts w:ascii="Times New Roman" w:eastAsia="Times New Roman" w:hAnsi="Times New Roman" w:cs="Times New Roman"/>
          <w:b/>
          <w:bCs/>
          <w:i/>
          <w:iCs/>
          <w:sz w:val="24"/>
          <w:szCs w:val="24"/>
        </w:rPr>
        <w:t>Symptoms</w:t>
      </w:r>
    </w:p>
    <w:p w14:paraId="053B1F0C" w14:textId="77777777" w:rsidR="00D96195" w:rsidRPr="007552DF" w:rsidRDefault="007552DF">
      <w:pPr>
        <w:widowControl w:val="0"/>
        <w:numPr>
          <w:ilvl w:val="0"/>
          <w:numId w:val="6"/>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Memory loss</w:t>
      </w:r>
    </w:p>
    <w:p w14:paraId="4822B858" w14:textId="77777777" w:rsidR="00D96195" w:rsidRPr="007552DF" w:rsidRDefault="007552DF">
      <w:pPr>
        <w:widowControl w:val="0"/>
        <w:numPr>
          <w:ilvl w:val="0"/>
          <w:numId w:val="6"/>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Judgement to anything</w:t>
      </w:r>
    </w:p>
    <w:p w14:paraId="7706EF84" w14:textId="77777777" w:rsidR="00D96195" w:rsidRPr="007552DF" w:rsidRDefault="007552DF">
      <w:pPr>
        <w:widowControl w:val="0"/>
        <w:numPr>
          <w:ilvl w:val="0"/>
          <w:numId w:val="6"/>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Decline the capability to understanding </w:t>
      </w:r>
    </w:p>
    <w:p w14:paraId="601F9C34" w14:textId="77777777" w:rsidR="00D96195" w:rsidRPr="007552DF" w:rsidRDefault="007552DF">
      <w:pPr>
        <w:widowControl w:val="0"/>
        <w:numPr>
          <w:ilvl w:val="0"/>
          <w:numId w:val="6"/>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Losing speaking ability</w:t>
      </w:r>
    </w:p>
    <w:p w14:paraId="37B85D78" w14:textId="77777777" w:rsidR="00D96195" w:rsidRPr="007552DF" w:rsidRDefault="007552DF">
      <w:pPr>
        <w:widowControl w:val="0"/>
        <w:numPr>
          <w:ilvl w:val="0"/>
          <w:numId w:val="6"/>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Facing difficulties in daily activities (NHS, 2026a).</w:t>
      </w:r>
    </w:p>
    <w:p w14:paraId="36E6919F" w14:textId="77777777" w:rsidR="00D96195" w:rsidRPr="007552DF" w:rsidRDefault="00D96195">
      <w:pPr>
        <w:spacing w:line="360" w:lineRule="auto"/>
        <w:jc w:val="both"/>
        <w:rPr>
          <w:rFonts w:ascii="Times New Roman" w:eastAsia="Times New Roman" w:hAnsi="Times New Roman" w:cs="Times New Roman"/>
          <w:sz w:val="24"/>
          <w:szCs w:val="24"/>
        </w:rPr>
      </w:pPr>
    </w:p>
    <w:p w14:paraId="466D501C" w14:textId="77777777" w:rsidR="00D96195" w:rsidRPr="007552DF" w:rsidRDefault="007552DF">
      <w:pPr>
        <w:spacing w:line="360" w:lineRule="auto"/>
        <w:jc w:val="both"/>
        <w:rPr>
          <w:rFonts w:ascii="Times New Roman" w:eastAsia="Times New Roman" w:hAnsi="Times New Roman" w:cs="Times New Roman"/>
          <w:b/>
          <w:bCs/>
          <w:i/>
          <w:iCs/>
          <w:sz w:val="24"/>
          <w:szCs w:val="24"/>
        </w:rPr>
      </w:pPr>
      <w:r w:rsidRPr="007552DF">
        <w:rPr>
          <w:rFonts w:ascii="Times New Roman" w:eastAsia="Times New Roman" w:hAnsi="Times New Roman" w:cs="Times New Roman"/>
          <w:b/>
          <w:bCs/>
          <w:i/>
          <w:iCs/>
          <w:sz w:val="24"/>
          <w:szCs w:val="24"/>
        </w:rPr>
        <w:t>Different types of dementia:</w:t>
      </w:r>
    </w:p>
    <w:p w14:paraId="6AA729B8" w14:textId="77777777" w:rsidR="00D96195" w:rsidRPr="007552DF" w:rsidRDefault="007552DF">
      <w:pPr>
        <w:widowControl w:val="0"/>
        <w:numPr>
          <w:ilvl w:val="0"/>
          <w:numId w:val="2"/>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Alzheimer's Disease</w:t>
      </w:r>
    </w:p>
    <w:p w14:paraId="29F87919" w14:textId="77777777" w:rsidR="00D96195" w:rsidRPr="007552DF" w:rsidRDefault="007552DF">
      <w:pPr>
        <w:widowControl w:val="0"/>
        <w:numPr>
          <w:ilvl w:val="0"/>
          <w:numId w:val="2"/>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Frontotemporal Dementia</w:t>
      </w:r>
    </w:p>
    <w:p w14:paraId="3C4A7439" w14:textId="77777777" w:rsidR="00D96195" w:rsidRPr="007552DF" w:rsidRDefault="007552DF">
      <w:pPr>
        <w:widowControl w:val="0"/>
        <w:numPr>
          <w:ilvl w:val="0"/>
          <w:numId w:val="2"/>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Lewy Body Dementia</w:t>
      </w:r>
    </w:p>
    <w:p w14:paraId="0F5974C5" w14:textId="77777777" w:rsidR="00D96195" w:rsidRPr="007552DF" w:rsidRDefault="007552DF">
      <w:pPr>
        <w:widowControl w:val="0"/>
        <w:numPr>
          <w:ilvl w:val="0"/>
          <w:numId w:val="2"/>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Vascular Dementia (NIH, 2025). </w:t>
      </w:r>
    </w:p>
    <w:p w14:paraId="75E156AC" w14:textId="77777777" w:rsidR="00D96195" w:rsidRPr="007552DF" w:rsidRDefault="007552DF" w:rsidP="00EB02BA">
      <w:pPr>
        <w:widowControl w:val="0"/>
        <w:pBdr>
          <w:top w:val="nil"/>
          <w:left w:val="nil"/>
          <w:bottom w:val="nil"/>
          <w:right w:val="nil"/>
          <w:between w:val="nil"/>
        </w:pBdr>
        <w:jc w:val="center"/>
        <w:rPr>
          <w:rFonts w:ascii="Times New Roman" w:eastAsia="Times New Roman" w:hAnsi="Times New Roman" w:cs="Times New Roman"/>
          <w:sz w:val="24"/>
          <w:szCs w:val="24"/>
        </w:rPr>
      </w:pPr>
      <w:r w:rsidRPr="007552DF">
        <w:rPr>
          <w:rFonts w:ascii="Times New Roman" w:eastAsia="Times New Roman" w:hAnsi="Times New Roman" w:cs="Times New Roman"/>
          <w:noProof/>
          <w:sz w:val="24"/>
          <w:szCs w:val="24"/>
        </w:rPr>
        <w:lastRenderedPageBreak/>
        <w:drawing>
          <wp:inline distT="114300" distB="114300" distL="114300" distR="114300" wp14:anchorId="18C93A70" wp14:editId="7AD38DDC">
            <wp:extent cx="5943600" cy="21082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2108200"/>
                    </a:xfrm>
                    <a:prstGeom prst="rect">
                      <a:avLst/>
                    </a:prstGeom>
                    <a:ln/>
                  </pic:spPr>
                </pic:pic>
              </a:graphicData>
            </a:graphic>
          </wp:inline>
        </w:drawing>
      </w:r>
    </w:p>
    <w:p w14:paraId="60C6EBA9" w14:textId="77777777" w:rsidR="00D96195" w:rsidRPr="007552DF" w:rsidRDefault="007552DF" w:rsidP="00EB02BA">
      <w:pPr>
        <w:widowControl w:val="0"/>
        <w:pBdr>
          <w:top w:val="nil"/>
          <w:left w:val="nil"/>
          <w:bottom w:val="nil"/>
          <w:right w:val="nil"/>
          <w:between w:val="nil"/>
        </w:pBdr>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Figure. 1: Types of Dementia</w:t>
      </w:r>
    </w:p>
    <w:p w14:paraId="4A4B90E1" w14:textId="77777777" w:rsidR="00D96195" w:rsidRPr="007552DF" w:rsidRDefault="007552DF" w:rsidP="00EB02BA">
      <w:pPr>
        <w:widowControl w:val="0"/>
        <w:pBdr>
          <w:top w:val="nil"/>
          <w:left w:val="nil"/>
          <w:bottom w:val="nil"/>
          <w:right w:val="nil"/>
          <w:between w:val="nil"/>
        </w:pBdr>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(Source: NIH, 2025)</w:t>
      </w:r>
    </w:p>
    <w:p w14:paraId="5001E373" w14:textId="77777777" w:rsidR="00D96195" w:rsidRPr="007552DF" w:rsidRDefault="007552DF" w:rsidP="00EB02BA">
      <w:pPr>
        <w:pStyle w:val="Heading2"/>
      </w:pPr>
      <w:r w:rsidRPr="007552DF">
        <w:t>Existing Digital Technology</w:t>
      </w:r>
    </w:p>
    <w:p w14:paraId="737F9934"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A mobile health application MindMate is specially designed to support dementia patients which is crucial for their daily activities. It offers personalised cognitive training, remainders, interactive games within a single platform (Mindmate, 2021; BBC, 2016). The main purpose of this application is to improve the overall quality of life of dementia patients. From a health promotion perspective, it empowers individuals to properly manage their health which provides a greater degree of self-sufficiency (Chavan et al., 2025). However, sometimes its potential reliance on incomplete training data causes insensitive responses which impacts negatively on the health of older people (Neshaei et al., 2025). </w:t>
      </w:r>
    </w:p>
    <w:p w14:paraId="01254559" w14:textId="77777777" w:rsidR="00D96195" w:rsidRPr="007552DF" w:rsidRDefault="007552DF" w:rsidP="00EB02BA">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noProof/>
          <w:sz w:val="24"/>
          <w:szCs w:val="24"/>
        </w:rPr>
        <w:lastRenderedPageBreak/>
        <w:drawing>
          <wp:inline distT="114300" distB="114300" distL="114300" distR="114300" wp14:anchorId="20F63373" wp14:editId="20208671">
            <wp:extent cx="2638425" cy="52673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638425" cy="5267325"/>
                    </a:xfrm>
                    <a:prstGeom prst="rect">
                      <a:avLst/>
                    </a:prstGeom>
                    <a:ln/>
                  </pic:spPr>
                </pic:pic>
              </a:graphicData>
            </a:graphic>
          </wp:inline>
        </w:drawing>
      </w:r>
    </w:p>
    <w:p w14:paraId="0DE218B7" w14:textId="77777777" w:rsidR="00D96195" w:rsidRPr="007552DF" w:rsidRDefault="007552DF" w:rsidP="00EB02BA">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Figure. 2: MindMate</w:t>
      </w:r>
    </w:p>
    <w:p w14:paraId="35DACC7F" w14:textId="77777777" w:rsidR="00D96195" w:rsidRPr="007552DF" w:rsidRDefault="007552DF" w:rsidP="00EB02BA">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(Source: MindMate, 2021)</w:t>
      </w:r>
    </w:p>
    <w:p w14:paraId="25E3E2F7" w14:textId="77777777" w:rsidR="00D96195" w:rsidRPr="007552DF" w:rsidRDefault="007552DF" w:rsidP="00EB02BA">
      <w:pPr>
        <w:pStyle w:val="Heading2"/>
      </w:pPr>
      <w:r w:rsidRPr="007552DF">
        <w:t>Health promotion:</w:t>
      </w:r>
    </w:p>
    <w:p w14:paraId="3286F027"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Mindmate is a popular digital health application across the world that can positively influence health outcomes for people who are suffering from dementia. Over 1 million people use Mindmate for their mental exercise, workouts which keeps their mind and body healthy (Mindmate, 2021).</w:t>
      </w:r>
    </w:p>
    <w:p w14:paraId="7DB7DA83"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noProof/>
          <w:sz w:val="24"/>
          <w:szCs w:val="24"/>
        </w:rPr>
        <w:lastRenderedPageBreak/>
        <w:drawing>
          <wp:inline distT="114300" distB="114300" distL="114300" distR="114300" wp14:anchorId="1AD2515A" wp14:editId="1187BB4C">
            <wp:extent cx="2886075" cy="53340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886075" cy="5334000"/>
                    </a:xfrm>
                    <a:prstGeom prst="rect">
                      <a:avLst/>
                    </a:prstGeom>
                    <a:ln/>
                  </pic:spPr>
                </pic:pic>
              </a:graphicData>
            </a:graphic>
          </wp:inline>
        </w:drawing>
      </w:r>
    </w:p>
    <w:p w14:paraId="1146C556"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Figure. 3: MindMate</w:t>
      </w:r>
    </w:p>
    <w:p w14:paraId="630D1D87"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(Source: MindMate, 2021)</w:t>
      </w:r>
    </w:p>
    <w:p w14:paraId="0932A11C"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Digital health technologies are also considered as valuable tools for improving access to individual health information and it also promotes </w:t>
      </w:r>
      <w:r w:rsidR="00EB02BA" w:rsidRPr="007552DF">
        <w:rPr>
          <w:rFonts w:ascii="Times New Roman" w:eastAsia="Times New Roman" w:hAnsi="Times New Roman" w:cs="Times New Roman"/>
          <w:sz w:val="24"/>
          <w:szCs w:val="24"/>
        </w:rPr>
        <w:t>self-care</w:t>
      </w:r>
      <w:r w:rsidRPr="007552DF">
        <w:rPr>
          <w:rFonts w:ascii="Times New Roman" w:eastAsia="Times New Roman" w:hAnsi="Times New Roman" w:cs="Times New Roman"/>
          <w:sz w:val="24"/>
          <w:szCs w:val="24"/>
        </w:rPr>
        <w:t xml:space="preserve"> and enabling person-centred care (WHO, 2021). MindMate supports the COM-B model and its users' psychological capability to manage memory related challenges which create opportunities and strengthen </w:t>
      </w:r>
      <w:r w:rsidR="00EB02BA" w:rsidRPr="007552DF">
        <w:rPr>
          <w:rFonts w:ascii="Times New Roman" w:eastAsia="Times New Roman" w:hAnsi="Times New Roman" w:cs="Times New Roman"/>
          <w:sz w:val="24"/>
          <w:szCs w:val="24"/>
        </w:rPr>
        <w:t>user’s</w:t>
      </w:r>
      <w:r w:rsidRPr="007552DF">
        <w:rPr>
          <w:rFonts w:ascii="Times New Roman" w:eastAsia="Times New Roman" w:hAnsi="Times New Roman" w:cs="Times New Roman"/>
          <w:sz w:val="24"/>
          <w:szCs w:val="24"/>
        </w:rPr>
        <w:t xml:space="preserve"> motivation. </w:t>
      </w:r>
    </w:p>
    <w:p w14:paraId="765B5336" w14:textId="77777777" w:rsidR="00D96195" w:rsidRPr="007552DF" w:rsidRDefault="007552DF" w:rsidP="00EB02BA">
      <w:pPr>
        <w:pStyle w:val="Heading2"/>
      </w:pPr>
      <w:r w:rsidRPr="007552DF">
        <w:t>Critical Evaluation:</w:t>
      </w:r>
    </w:p>
    <w:p w14:paraId="2894269F" w14:textId="77777777" w:rsidR="00D96195" w:rsidRPr="007552DF" w:rsidRDefault="007552DF">
      <w:pPr>
        <w:spacing w:line="360" w:lineRule="auto"/>
        <w:jc w:val="both"/>
        <w:rPr>
          <w:rFonts w:ascii="Times New Roman" w:eastAsia="Times New Roman" w:hAnsi="Times New Roman" w:cs="Times New Roman"/>
          <w:b/>
          <w:bCs/>
          <w:i/>
          <w:iCs/>
          <w:sz w:val="24"/>
          <w:szCs w:val="24"/>
        </w:rPr>
      </w:pPr>
      <w:r w:rsidRPr="007552DF">
        <w:rPr>
          <w:rFonts w:ascii="Times New Roman" w:eastAsia="Times New Roman" w:hAnsi="Times New Roman" w:cs="Times New Roman"/>
          <w:b/>
          <w:bCs/>
          <w:i/>
          <w:iCs/>
          <w:sz w:val="24"/>
          <w:szCs w:val="24"/>
        </w:rPr>
        <w:t>Strengths:</w:t>
      </w:r>
    </w:p>
    <w:p w14:paraId="569A59BB"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Offers personalised cognitive training</w:t>
      </w:r>
    </w:p>
    <w:p w14:paraId="7A714F12"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lastRenderedPageBreak/>
        <w:t>Improves self-management</w:t>
      </w:r>
    </w:p>
    <w:p w14:paraId="67F35435"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Interactive game boost memory power</w:t>
      </w:r>
    </w:p>
    <w:p w14:paraId="7CF25A07"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Personalised remainders </w:t>
      </w:r>
    </w:p>
    <w:p w14:paraId="7874CA82"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Mental exercise, workouts</w:t>
      </w:r>
    </w:p>
    <w:p w14:paraId="3389C2C1" w14:textId="77777777" w:rsidR="00D96195" w:rsidRPr="007552DF" w:rsidRDefault="007552DF">
      <w:pPr>
        <w:numPr>
          <w:ilvl w:val="0"/>
          <w:numId w:val="1"/>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Quality of life (WHO, 2026)</w:t>
      </w:r>
    </w:p>
    <w:p w14:paraId="470144BF" w14:textId="77777777" w:rsidR="00D96195" w:rsidRPr="007552DF" w:rsidRDefault="007552DF">
      <w:pPr>
        <w:spacing w:line="360" w:lineRule="auto"/>
        <w:jc w:val="both"/>
        <w:rPr>
          <w:rFonts w:ascii="Times New Roman" w:eastAsia="Times New Roman" w:hAnsi="Times New Roman" w:cs="Times New Roman"/>
          <w:b/>
          <w:bCs/>
          <w:i/>
          <w:iCs/>
          <w:sz w:val="24"/>
          <w:szCs w:val="24"/>
        </w:rPr>
      </w:pPr>
      <w:r w:rsidRPr="007552DF">
        <w:rPr>
          <w:rFonts w:ascii="Times New Roman" w:eastAsia="Times New Roman" w:hAnsi="Times New Roman" w:cs="Times New Roman"/>
          <w:b/>
          <w:bCs/>
          <w:i/>
          <w:iCs/>
          <w:sz w:val="24"/>
          <w:szCs w:val="24"/>
        </w:rPr>
        <w:t>Weakness:</w:t>
      </w:r>
    </w:p>
    <w:p w14:paraId="16B73D0A" w14:textId="77777777" w:rsidR="00D96195" w:rsidRPr="007552DF" w:rsidRDefault="007552DF">
      <w:pPr>
        <w:widowControl w:val="0"/>
        <w:numPr>
          <w:ilvl w:val="0"/>
          <w:numId w:val="5"/>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A lack of human empathy</w:t>
      </w:r>
    </w:p>
    <w:p w14:paraId="0EAD6075" w14:textId="77777777" w:rsidR="00D96195" w:rsidRPr="007552DF" w:rsidRDefault="007552DF">
      <w:pPr>
        <w:widowControl w:val="0"/>
        <w:numPr>
          <w:ilvl w:val="0"/>
          <w:numId w:val="5"/>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Loud remainders</w:t>
      </w:r>
    </w:p>
    <w:p w14:paraId="2C5A2858" w14:textId="77777777" w:rsidR="00D96195" w:rsidRPr="007552DF" w:rsidRDefault="007552DF">
      <w:pPr>
        <w:widowControl w:val="0"/>
        <w:numPr>
          <w:ilvl w:val="0"/>
          <w:numId w:val="5"/>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Poor crisis detection</w:t>
      </w:r>
    </w:p>
    <w:p w14:paraId="19CA8885" w14:textId="77777777" w:rsidR="00D96195" w:rsidRPr="007552DF" w:rsidRDefault="007552DF">
      <w:pPr>
        <w:widowControl w:val="0"/>
        <w:numPr>
          <w:ilvl w:val="0"/>
          <w:numId w:val="5"/>
        </w:numPr>
        <w:pBdr>
          <w:top w:val="nil"/>
          <w:left w:val="nil"/>
          <w:bottom w:val="nil"/>
          <w:right w:val="nil"/>
          <w:between w:val="nil"/>
        </w:pBd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Privacy issue (Neshaei et al., 2025)</w:t>
      </w:r>
    </w:p>
    <w:p w14:paraId="09E413E9" w14:textId="77777777" w:rsidR="00D96195" w:rsidRPr="007552DF" w:rsidRDefault="00D96195">
      <w:pPr>
        <w:widowControl w:val="0"/>
        <w:pBdr>
          <w:top w:val="nil"/>
          <w:left w:val="nil"/>
          <w:bottom w:val="nil"/>
          <w:right w:val="nil"/>
          <w:between w:val="nil"/>
        </w:pBdr>
        <w:rPr>
          <w:rFonts w:ascii="Times New Roman" w:eastAsia="Times New Roman" w:hAnsi="Times New Roman" w:cs="Times New Roman"/>
          <w:sz w:val="24"/>
          <w:szCs w:val="24"/>
        </w:rPr>
      </w:pPr>
    </w:p>
    <w:p w14:paraId="0DDC90F6" w14:textId="77777777" w:rsidR="00D96195" w:rsidRPr="007552DF" w:rsidRDefault="007552DF" w:rsidP="00EB02BA">
      <w:pPr>
        <w:pStyle w:val="Heading2"/>
      </w:pPr>
      <w:r w:rsidRPr="007552DF">
        <w:t>Addressing the Shortfalls:</w:t>
      </w:r>
    </w:p>
    <w:p w14:paraId="61B1F380" w14:textId="77777777" w:rsidR="00D96195" w:rsidRPr="007552DF" w:rsidRDefault="007552DF" w:rsidP="00EB02B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The improvement should be needed for strengthening health promotion outcomes. It can integrate AI-based personalised support and voice controlled interfaces which properly guide for dementia patients and improves their health outcomes. </w:t>
      </w:r>
    </w:p>
    <w:p w14:paraId="02D74FF1" w14:textId="77777777" w:rsidR="00D96195" w:rsidRPr="007552DF" w:rsidRDefault="007552DF" w:rsidP="00EB02BA">
      <w:pPr>
        <w:pStyle w:val="Heading2"/>
      </w:pPr>
      <w:r w:rsidRPr="007552DF">
        <w:t>Conclusion:</w:t>
      </w:r>
    </w:p>
    <w:p w14:paraId="19228D3F" w14:textId="77777777" w:rsidR="00D96195" w:rsidRPr="007552DF" w:rsidRDefault="007552DF" w:rsidP="00EB02B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Overall, MindMate demonstrates significant potential to promote cognitive wellbeing and independence, although addressing accessibility and privacy challenges remains essential.</w:t>
      </w:r>
    </w:p>
    <w:p w14:paraId="5D91624F" w14:textId="77777777" w:rsidR="00D96195" w:rsidRPr="007552DF" w:rsidRDefault="00D96195">
      <w:pPr>
        <w:widowControl w:val="0"/>
        <w:pBdr>
          <w:top w:val="nil"/>
          <w:left w:val="nil"/>
          <w:bottom w:val="nil"/>
          <w:right w:val="nil"/>
          <w:between w:val="nil"/>
        </w:pBdr>
        <w:rPr>
          <w:rFonts w:ascii="Times New Roman" w:eastAsia="Times New Roman" w:hAnsi="Times New Roman" w:cs="Times New Roman"/>
          <w:sz w:val="24"/>
          <w:szCs w:val="24"/>
        </w:rPr>
      </w:pPr>
    </w:p>
    <w:p w14:paraId="2D7558ED" w14:textId="77777777" w:rsidR="00D96195" w:rsidRPr="007552DF" w:rsidRDefault="007552DF">
      <w:pPr>
        <w:spacing w:line="360" w:lineRule="auto"/>
        <w:jc w:val="both"/>
        <w:rPr>
          <w:rFonts w:ascii="Times New Roman" w:eastAsia="Times New Roman" w:hAnsi="Times New Roman" w:cs="Times New Roman"/>
          <w:sz w:val="24"/>
          <w:szCs w:val="24"/>
        </w:rPr>
      </w:pPr>
      <w:r w:rsidRPr="007552DF">
        <w:br w:type="page"/>
      </w:r>
    </w:p>
    <w:p w14:paraId="09E148FA" w14:textId="77777777" w:rsidR="00D96195" w:rsidRPr="007552DF" w:rsidRDefault="007552DF" w:rsidP="00EB02BA">
      <w:pPr>
        <w:pStyle w:val="Heading1"/>
      </w:pPr>
      <w:r w:rsidRPr="007552DF">
        <w:lastRenderedPageBreak/>
        <w:t>References:</w:t>
      </w:r>
    </w:p>
    <w:p w14:paraId="22B9603C"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BBC, (2016), US boost for dementia app developer MindMate, Available at: </w:t>
      </w:r>
      <w:hyperlink r:id="rId9">
        <w:r w:rsidRPr="007552DF">
          <w:rPr>
            <w:rFonts w:ascii="Times New Roman" w:eastAsia="Times New Roman" w:hAnsi="Times New Roman" w:cs="Times New Roman"/>
            <w:color w:val="1155CC"/>
            <w:sz w:val="24"/>
            <w:szCs w:val="24"/>
            <w:u w:val="single"/>
          </w:rPr>
          <w:t>https://www.bbc.com/news/uk-scotland-scotland-business-36783739</w:t>
        </w:r>
      </w:hyperlink>
      <w:r w:rsidRPr="007552DF">
        <w:rPr>
          <w:rFonts w:ascii="Times New Roman" w:eastAsia="Times New Roman" w:hAnsi="Times New Roman" w:cs="Times New Roman"/>
          <w:sz w:val="24"/>
          <w:szCs w:val="24"/>
        </w:rPr>
        <w:t xml:space="preserve"> </w:t>
      </w:r>
    </w:p>
    <w:p w14:paraId="3CADA73A"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Chavan, N., Khadye, A., Khode S., Ranveer, S., (2025), MindMate : A platform for Dementia patients and their caregivers, Available at: </w:t>
      </w:r>
      <w:hyperlink r:id="rId10">
        <w:r w:rsidRPr="007552DF">
          <w:rPr>
            <w:rFonts w:ascii="Times New Roman" w:eastAsia="Times New Roman" w:hAnsi="Times New Roman" w:cs="Times New Roman"/>
            <w:color w:val="1155CC"/>
            <w:sz w:val="24"/>
            <w:szCs w:val="24"/>
            <w:u w:val="single"/>
          </w:rPr>
          <w:t>https://ijsdr.org/papers/IJSDR2505239.pdf</w:t>
        </w:r>
      </w:hyperlink>
      <w:r w:rsidRPr="007552DF">
        <w:rPr>
          <w:rFonts w:ascii="Times New Roman" w:eastAsia="Times New Roman" w:hAnsi="Times New Roman" w:cs="Times New Roman"/>
          <w:sz w:val="24"/>
          <w:szCs w:val="24"/>
        </w:rPr>
        <w:t xml:space="preserve"> </w:t>
      </w:r>
    </w:p>
    <w:p w14:paraId="6CF53635"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Kallmyer, B.A., Bass, D., Baumgart, M., Callahan, C.M., Dulaney, S., Evertson, L.C., Fazio, S., Judge, K.S. and Samus, Q., (2023). Dementia care navigation: Building toward a common definition, key principles, and outcomes. Alzheimer's &amp; Dementia: Translational Research &amp; Clinical Interventions, 9(3), p.e12408. </w:t>
      </w:r>
      <w:hyperlink r:id="rId11">
        <w:r w:rsidRPr="007552DF">
          <w:rPr>
            <w:rFonts w:ascii="Times New Roman" w:eastAsia="Times New Roman" w:hAnsi="Times New Roman" w:cs="Times New Roman"/>
            <w:color w:val="1155CC"/>
            <w:sz w:val="24"/>
            <w:szCs w:val="24"/>
            <w:u w:val="single"/>
          </w:rPr>
          <w:t>https://alz-journals.onlinelibrary.wiley.com/doi/pdf/10.1002/trc2.12408</w:t>
        </w:r>
      </w:hyperlink>
      <w:r w:rsidRPr="007552DF">
        <w:rPr>
          <w:rFonts w:ascii="Times New Roman" w:eastAsia="Times New Roman" w:hAnsi="Times New Roman" w:cs="Times New Roman"/>
          <w:sz w:val="24"/>
          <w:szCs w:val="24"/>
        </w:rPr>
        <w:t xml:space="preserve"> </w:t>
      </w:r>
    </w:p>
    <w:p w14:paraId="162D7CCD"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Mindmate, (2021), Your all-in-one app to keep your mind &amp; body healthy., Available at: </w:t>
      </w:r>
      <w:hyperlink r:id="rId12">
        <w:r w:rsidRPr="007552DF">
          <w:rPr>
            <w:rFonts w:ascii="Times New Roman" w:eastAsia="Times New Roman" w:hAnsi="Times New Roman" w:cs="Times New Roman"/>
            <w:color w:val="1155CC"/>
            <w:sz w:val="24"/>
            <w:szCs w:val="24"/>
            <w:u w:val="single"/>
          </w:rPr>
          <w:t>https://www.mindmate-app.com/</w:t>
        </w:r>
      </w:hyperlink>
      <w:r w:rsidRPr="007552DF">
        <w:rPr>
          <w:rFonts w:ascii="Times New Roman" w:eastAsia="Times New Roman" w:hAnsi="Times New Roman" w:cs="Times New Roman"/>
          <w:sz w:val="24"/>
          <w:szCs w:val="24"/>
        </w:rPr>
        <w:t xml:space="preserve"> </w:t>
      </w:r>
    </w:p>
    <w:p w14:paraId="6A198D87"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Neshaei, S.P., Wambsganss, T., El Bouchrifi, H. and Käser, T., 2025, April. MindMate: Exploring the effect of conversational agents on reflective writing. In Proceedings of the extended abstracts of the CHI conference on human factors in computing systems (pp. 1-9). </w:t>
      </w:r>
      <w:hyperlink r:id="rId13">
        <w:r w:rsidRPr="007552DF">
          <w:rPr>
            <w:rFonts w:ascii="Times New Roman" w:eastAsia="Times New Roman" w:hAnsi="Times New Roman" w:cs="Times New Roman"/>
            <w:color w:val="1155CC"/>
            <w:sz w:val="24"/>
            <w:szCs w:val="24"/>
            <w:u w:val="single"/>
          </w:rPr>
          <w:t>https://dl.acm.org/doi/pdf/10.1145/3706599.3720029</w:t>
        </w:r>
      </w:hyperlink>
      <w:r w:rsidRPr="007552DF">
        <w:rPr>
          <w:rFonts w:ascii="Times New Roman" w:eastAsia="Times New Roman" w:hAnsi="Times New Roman" w:cs="Times New Roman"/>
          <w:sz w:val="24"/>
          <w:szCs w:val="24"/>
        </w:rPr>
        <w:t xml:space="preserve"> </w:t>
      </w:r>
    </w:p>
    <w:p w14:paraId="715751B3"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NHS, (2026a), What is dementia, Available at: </w:t>
      </w:r>
      <w:hyperlink r:id="rId14">
        <w:r w:rsidRPr="007552DF">
          <w:rPr>
            <w:rFonts w:ascii="Times New Roman" w:eastAsia="Times New Roman" w:hAnsi="Times New Roman" w:cs="Times New Roman"/>
            <w:color w:val="1155CC"/>
            <w:sz w:val="24"/>
            <w:szCs w:val="24"/>
            <w:u w:val="single"/>
          </w:rPr>
          <w:t>https://www.nhs.uk/conditions/dementia/about-dementia/what-is-dementia/</w:t>
        </w:r>
      </w:hyperlink>
      <w:r w:rsidRPr="007552DF">
        <w:rPr>
          <w:rFonts w:ascii="Times New Roman" w:eastAsia="Times New Roman" w:hAnsi="Times New Roman" w:cs="Times New Roman"/>
          <w:sz w:val="24"/>
          <w:szCs w:val="24"/>
        </w:rPr>
        <w:t xml:space="preserve"> </w:t>
      </w:r>
    </w:p>
    <w:p w14:paraId="3DE6422E"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NHS, (2026b), Dementia, Available at: </w:t>
      </w:r>
      <w:hyperlink r:id="rId15">
        <w:r w:rsidRPr="007552DF">
          <w:rPr>
            <w:rFonts w:ascii="Times New Roman" w:eastAsia="Times New Roman" w:hAnsi="Times New Roman" w:cs="Times New Roman"/>
            <w:color w:val="1155CC"/>
            <w:sz w:val="24"/>
            <w:szCs w:val="24"/>
            <w:u w:val="single"/>
          </w:rPr>
          <w:t>https://www.england.nhs.uk/mental-health/dementia/</w:t>
        </w:r>
      </w:hyperlink>
      <w:r w:rsidRPr="007552DF">
        <w:rPr>
          <w:rFonts w:ascii="Times New Roman" w:eastAsia="Times New Roman" w:hAnsi="Times New Roman" w:cs="Times New Roman"/>
          <w:sz w:val="24"/>
          <w:szCs w:val="24"/>
        </w:rPr>
        <w:t xml:space="preserve"> </w:t>
      </w:r>
    </w:p>
    <w:p w14:paraId="4585A5D1"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NIH, (2025), Infographic: Understanding Different Types of Dementia, Available at: </w:t>
      </w:r>
      <w:hyperlink r:id="rId16">
        <w:r w:rsidRPr="007552DF">
          <w:rPr>
            <w:rFonts w:ascii="Times New Roman" w:eastAsia="Times New Roman" w:hAnsi="Times New Roman" w:cs="Times New Roman"/>
            <w:color w:val="1155CC"/>
            <w:sz w:val="24"/>
            <w:szCs w:val="24"/>
            <w:u w:val="single"/>
          </w:rPr>
          <w:t>https://www.nia.nih.gov/health/alzheimers-and-dementia/understanding-different-types-dementia</w:t>
        </w:r>
      </w:hyperlink>
      <w:r w:rsidRPr="007552DF">
        <w:rPr>
          <w:rFonts w:ascii="Times New Roman" w:eastAsia="Times New Roman" w:hAnsi="Times New Roman" w:cs="Times New Roman"/>
          <w:sz w:val="24"/>
          <w:szCs w:val="24"/>
        </w:rPr>
        <w:t xml:space="preserve"> </w:t>
      </w:r>
    </w:p>
    <w:p w14:paraId="33372B3A" w14:textId="77777777" w:rsidR="00EB02BA" w:rsidRPr="007552DF" w:rsidRDefault="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WHO, (2021), Global status report on the public health response to dementia, Available at: </w:t>
      </w:r>
      <w:hyperlink r:id="rId17">
        <w:r w:rsidRPr="007552DF">
          <w:rPr>
            <w:rFonts w:ascii="Times New Roman" w:eastAsia="Times New Roman" w:hAnsi="Times New Roman" w:cs="Times New Roman"/>
            <w:color w:val="1155CC"/>
            <w:sz w:val="24"/>
            <w:szCs w:val="24"/>
            <w:u w:val="single"/>
          </w:rPr>
          <w:t>https://iris.who.int/server/api/core/bitstreams/9e8aab50-ca34-45e0-9fb0-26e675746f65/content</w:t>
        </w:r>
      </w:hyperlink>
      <w:r w:rsidRPr="007552DF">
        <w:rPr>
          <w:rFonts w:ascii="Times New Roman" w:eastAsia="Times New Roman" w:hAnsi="Times New Roman" w:cs="Times New Roman"/>
          <w:sz w:val="24"/>
          <w:szCs w:val="24"/>
        </w:rPr>
        <w:t xml:space="preserve"> WHO, (2026), Dementia, Available at: </w:t>
      </w:r>
      <w:hyperlink r:id="rId18">
        <w:r w:rsidRPr="007552DF">
          <w:rPr>
            <w:rFonts w:ascii="Times New Roman" w:eastAsia="Times New Roman" w:hAnsi="Times New Roman" w:cs="Times New Roman"/>
            <w:color w:val="1155CC"/>
            <w:sz w:val="24"/>
            <w:szCs w:val="24"/>
            <w:u w:val="single"/>
          </w:rPr>
          <w:t>https://www.who.int/news-room/fact-sheets/detail/dementia</w:t>
        </w:r>
      </w:hyperlink>
      <w:r w:rsidRPr="007552DF">
        <w:rPr>
          <w:rFonts w:ascii="Times New Roman" w:eastAsia="Times New Roman" w:hAnsi="Times New Roman" w:cs="Times New Roman"/>
          <w:sz w:val="24"/>
          <w:szCs w:val="24"/>
        </w:rPr>
        <w:t xml:space="preserve"> </w:t>
      </w:r>
    </w:p>
    <w:p w14:paraId="668223EA" w14:textId="77777777" w:rsidR="00EB02BA" w:rsidRPr="007552DF" w:rsidRDefault="00EB02BA">
      <w:pP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br w:type="page"/>
      </w:r>
    </w:p>
    <w:p w14:paraId="29A8ABAA" w14:textId="77777777" w:rsidR="00D96195" w:rsidRPr="007552DF" w:rsidRDefault="007552DF" w:rsidP="00EB02BA">
      <w:pPr>
        <w:pStyle w:val="Heading1"/>
      </w:pPr>
      <w:r w:rsidRPr="007552DF">
        <w:lastRenderedPageBreak/>
        <w:t>Blog 2:</w:t>
      </w:r>
    </w:p>
    <w:p w14:paraId="46CE6290" w14:textId="77777777" w:rsidR="00EB02BA" w:rsidRPr="007552DF" w:rsidRDefault="007552DF" w:rsidP="00EB02BA">
      <w:pPr>
        <w:pStyle w:val="Heading2"/>
      </w:pPr>
      <w:r w:rsidRPr="007552DF">
        <w:t>Title:</w:t>
      </w:r>
    </w:p>
    <w:p w14:paraId="76A804ED"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 Designing DementiaCare+ AI: An Innovative Digital Health Promotion Solution for People Living with Dementia </w:t>
      </w:r>
    </w:p>
    <w:p w14:paraId="26D1F767" w14:textId="77777777" w:rsidR="00D96195" w:rsidRPr="007552DF" w:rsidRDefault="00EB02BA" w:rsidP="00EB02BA">
      <w:pPr>
        <w:pStyle w:val="Heading2"/>
      </w:pPr>
      <w:r w:rsidRPr="007552DF">
        <w:t>Introduction:</w:t>
      </w:r>
    </w:p>
    <w:p w14:paraId="600CF545"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Dementia continuously affects millions of people across the globe; therefore urgency for digital health promotion intervention is necessary at this time (Aranda et al., 2021). Although existing digital technologies Mindmate have difficulties which hampers quality of life for dementia patients (Neshaei et al., 2025). </w:t>
      </w:r>
    </w:p>
    <w:p w14:paraId="6C2A4383"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Designed Technology:</w:t>
      </w:r>
    </w:p>
    <w:p w14:paraId="2C6CE490"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DementiaCare+ AI is an innovative digital health promotion ecosystem which is mainly designed to support people living with dementia through personalised, proactive, and person-centred care. It is an AI-powered mobile application with a voice activated virtual assistant and telehealth connectivity into a single platform. It delivers cognitive training and keeps the data of users which may solve the problems of MindMate (Luo et al., 2022). </w:t>
      </w:r>
    </w:p>
    <w:p w14:paraId="68893869" w14:textId="77777777" w:rsidR="00D96195" w:rsidRPr="007552DF" w:rsidRDefault="007552DF" w:rsidP="00EB02BA">
      <w:pPr>
        <w:pStyle w:val="Heading2"/>
      </w:pPr>
      <w:r w:rsidRPr="007552DF">
        <w:t>Health promotion and behaviour change:</w:t>
      </w:r>
    </w:p>
    <w:p w14:paraId="7345F4A6"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The new proposed digital technology DementiaCare+ AI maintains healthier behaviours of Dementia patients which will improve their daily activities and quality of life. It is perfectly aligned to the health belief model which indicates that users who are more conscious about their health are likely to engage in new health promotion behaviours (Alyafei and Easton-Carr, 2024). Its AI-generated feedback progress tracking will increase users' confidence to engage with physical activity and social interaction. </w:t>
      </w:r>
    </w:p>
    <w:p w14:paraId="5DC782B5"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noProof/>
          <w:sz w:val="24"/>
          <w:szCs w:val="24"/>
        </w:rPr>
        <w:lastRenderedPageBreak/>
        <w:drawing>
          <wp:inline distT="114300" distB="114300" distL="114300" distR="114300" wp14:anchorId="1F28FEAB" wp14:editId="02BEB879">
            <wp:extent cx="5943600" cy="34036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3403600"/>
                    </a:xfrm>
                    <a:prstGeom prst="rect">
                      <a:avLst/>
                    </a:prstGeom>
                    <a:ln/>
                  </pic:spPr>
                </pic:pic>
              </a:graphicData>
            </a:graphic>
          </wp:inline>
        </w:drawing>
      </w:r>
    </w:p>
    <w:p w14:paraId="49EE4414"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Figure. 4: AI-driven Automation</w:t>
      </w:r>
    </w:p>
    <w:p w14:paraId="54B68370" w14:textId="77777777" w:rsidR="00D96195" w:rsidRPr="007552DF" w:rsidRDefault="007552DF">
      <w:pPr>
        <w:spacing w:line="360" w:lineRule="auto"/>
        <w:jc w:val="center"/>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(Source: Express Computer, 2024)</w:t>
      </w:r>
    </w:p>
    <w:p w14:paraId="78DD4729" w14:textId="77777777" w:rsidR="00D96195" w:rsidRPr="007552DF" w:rsidRDefault="007552DF" w:rsidP="00EB02BA">
      <w:pPr>
        <w:pStyle w:val="Heading2"/>
      </w:pPr>
      <w:r w:rsidRPr="007552DF">
        <w:t>Critical evaluation:</w:t>
      </w:r>
    </w:p>
    <w:p w14:paraId="5BFFEA2D" w14:textId="77777777" w:rsidR="00D96195" w:rsidRPr="007552DF" w:rsidRDefault="007552DF">
      <w:pPr>
        <w:spacing w:line="360" w:lineRule="auto"/>
        <w:jc w:val="both"/>
        <w:rPr>
          <w:rFonts w:ascii="Times New Roman" w:eastAsia="Times New Roman" w:hAnsi="Times New Roman" w:cs="Times New Roman"/>
          <w:b/>
          <w:i/>
          <w:sz w:val="24"/>
          <w:szCs w:val="24"/>
        </w:rPr>
      </w:pPr>
      <w:r w:rsidRPr="007552DF">
        <w:rPr>
          <w:rFonts w:ascii="Times New Roman" w:eastAsia="Times New Roman" w:hAnsi="Times New Roman" w:cs="Times New Roman"/>
          <w:b/>
          <w:i/>
          <w:sz w:val="24"/>
          <w:szCs w:val="24"/>
        </w:rPr>
        <w:t>Strengths</w:t>
      </w:r>
    </w:p>
    <w:p w14:paraId="03C7AAFA" w14:textId="77777777" w:rsidR="00D96195" w:rsidRPr="007552DF" w:rsidRDefault="007552DF">
      <w:pPr>
        <w:numPr>
          <w:ilvl w:val="0"/>
          <w:numId w:val="4"/>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Offer personalised caring services</w:t>
      </w:r>
    </w:p>
    <w:p w14:paraId="1DF6D825" w14:textId="77777777" w:rsidR="00D96195" w:rsidRPr="007552DF" w:rsidRDefault="007552DF">
      <w:pPr>
        <w:numPr>
          <w:ilvl w:val="0"/>
          <w:numId w:val="4"/>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Provide wearable sensors and telehealth to enable real time monitoring (Lee et al., 2024). </w:t>
      </w:r>
    </w:p>
    <w:p w14:paraId="21CEB412" w14:textId="77777777" w:rsidR="00D96195" w:rsidRPr="007552DF" w:rsidRDefault="007552DF">
      <w:pPr>
        <w:numPr>
          <w:ilvl w:val="0"/>
          <w:numId w:val="4"/>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Accurately identifying health deterioration early.</w:t>
      </w:r>
    </w:p>
    <w:p w14:paraId="11DEEBF6" w14:textId="77777777" w:rsidR="00D96195" w:rsidRPr="007552DF" w:rsidRDefault="007552DF">
      <w:pPr>
        <w:numPr>
          <w:ilvl w:val="0"/>
          <w:numId w:val="4"/>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Improve cognitive impairment (Park and Ha, 2024).</w:t>
      </w:r>
    </w:p>
    <w:p w14:paraId="300EF28B" w14:textId="77777777" w:rsidR="00D96195" w:rsidRPr="007552DF" w:rsidRDefault="007552DF">
      <w:pPr>
        <w:spacing w:line="360" w:lineRule="auto"/>
        <w:ind w:left="720"/>
        <w:jc w:val="center"/>
        <w:rPr>
          <w:rFonts w:ascii="Times New Roman" w:eastAsia="Times New Roman" w:hAnsi="Times New Roman" w:cs="Times New Roman"/>
          <w:sz w:val="24"/>
          <w:szCs w:val="24"/>
        </w:rPr>
      </w:pPr>
      <w:r w:rsidRPr="007552DF">
        <w:rPr>
          <w:rFonts w:ascii="Times New Roman" w:eastAsia="Times New Roman" w:hAnsi="Times New Roman" w:cs="Times New Roman"/>
          <w:noProof/>
          <w:sz w:val="24"/>
          <w:szCs w:val="24"/>
        </w:rPr>
        <w:lastRenderedPageBreak/>
        <w:drawing>
          <wp:inline distT="114300" distB="114300" distL="114300" distR="114300" wp14:anchorId="69B79EF8" wp14:editId="445A85F5">
            <wp:extent cx="4938713" cy="290465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938713" cy="2904659"/>
                    </a:xfrm>
                    <a:prstGeom prst="rect">
                      <a:avLst/>
                    </a:prstGeom>
                    <a:ln/>
                  </pic:spPr>
                </pic:pic>
              </a:graphicData>
            </a:graphic>
          </wp:inline>
        </w:drawing>
      </w:r>
    </w:p>
    <w:p w14:paraId="487B7E7C" w14:textId="77777777" w:rsidR="00D96195" w:rsidRPr="007552DF" w:rsidRDefault="007552DF">
      <w:pPr>
        <w:spacing w:line="360" w:lineRule="auto"/>
        <w:ind w:left="720"/>
        <w:jc w:val="center"/>
        <w:rPr>
          <w:rFonts w:ascii="Times New Roman" w:eastAsia="Times New Roman" w:hAnsi="Times New Roman" w:cs="Times New Roman"/>
          <w:b/>
          <w:bCs/>
          <w:sz w:val="24"/>
          <w:szCs w:val="24"/>
        </w:rPr>
      </w:pPr>
      <w:r w:rsidRPr="007552DF">
        <w:rPr>
          <w:rFonts w:ascii="Times New Roman" w:eastAsia="Times New Roman" w:hAnsi="Times New Roman" w:cs="Times New Roman"/>
          <w:b/>
          <w:bCs/>
          <w:sz w:val="24"/>
          <w:szCs w:val="24"/>
        </w:rPr>
        <w:t>Figure. 5: Wearable sensor</w:t>
      </w:r>
    </w:p>
    <w:p w14:paraId="44B03988" w14:textId="77777777" w:rsidR="00D96195" w:rsidRPr="007552DF" w:rsidRDefault="007552DF">
      <w:pPr>
        <w:spacing w:line="360" w:lineRule="auto"/>
        <w:ind w:left="720"/>
        <w:jc w:val="center"/>
        <w:rPr>
          <w:rFonts w:ascii="Times New Roman" w:eastAsia="Times New Roman" w:hAnsi="Times New Roman" w:cs="Times New Roman"/>
          <w:b/>
          <w:bCs/>
          <w:sz w:val="24"/>
          <w:szCs w:val="24"/>
        </w:rPr>
      </w:pPr>
      <w:r w:rsidRPr="007552DF">
        <w:rPr>
          <w:rFonts w:ascii="Times New Roman" w:eastAsia="Times New Roman" w:hAnsi="Times New Roman" w:cs="Times New Roman"/>
          <w:b/>
          <w:bCs/>
          <w:sz w:val="24"/>
          <w:szCs w:val="24"/>
        </w:rPr>
        <w:t>(Source: Yancheva, 2018)</w:t>
      </w:r>
    </w:p>
    <w:p w14:paraId="379BF21F" w14:textId="77777777" w:rsidR="00D96195" w:rsidRPr="007552DF" w:rsidRDefault="007552DF">
      <w:pPr>
        <w:spacing w:line="360" w:lineRule="auto"/>
        <w:jc w:val="both"/>
        <w:rPr>
          <w:rFonts w:ascii="Times New Roman" w:eastAsia="Times New Roman" w:hAnsi="Times New Roman" w:cs="Times New Roman"/>
          <w:b/>
          <w:i/>
          <w:sz w:val="24"/>
          <w:szCs w:val="24"/>
        </w:rPr>
      </w:pPr>
      <w:r w:rsidRPr="007552DF">
        <w:rPr>
          <w:rFonts w:ascii="Times New Roman" w:eastAsia="Times New Roman" w:hAnsi="Times New Roman" w:cs="Times New Roman"/>
          <w:b/>
          <w:i/>
          <w:sz w:val="24"/>
          <w:szCs w:val="24"/>
        </w:rPr>
        <w:t>Weakness</w:t>
      </w:r>
    </w:p>
    <w:p w14:paraId="74A44F53" w14:textId="77777777" w:rsidR="00D96195" w:rsidRPr="007552DF" w:rsidRDefault="007552DF">
      <w:pPr>
        <w:numPr>
          <w:ilvl w:val="0"/>
          <w:numId w:val="3"/>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High cost of AI-enabled devices may create a barrier to adopt this technology.</w:t>
      </w:r>
    </w:p>
    <w:p w14:paraId="5E84089B" w14:textId="77777777" w:rsidR="00D96195" w:rsidRPr="007552DF" w:rsidRDefault="007552DF">
      <w:pPr>
        <w:numPr>
          <w:ilvl w:val="0"/>
          <w:numId w:val="3"/>
        </w:num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May impact clinical judgement.</w:t>
      </w:r>
    </w:p>
    <w:p w14:paraId="0A4AFA0E" w14:textId="77777777" w:rsidR="00D96195" w:rsidRPr="007552DF" w:rsidRDefault="007552DF" w:rsidP="00EB02BA">
      <w:pPr>
        <w:pStyle w:val="Heading2"/>
      </w:pPr>
      <w:r w:rsidRPr="007552DF">
        <w:t>Addressing limitations and future improvements:</w:t>
      </w:r>
    </w:p>
    <w:p w14:paraId="79679318"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New proposed technology DementiaCare+ AI may impact clinical judgement and its high cost may create barriers. Also digital inequalities are a major concern of this technology (Peng et al., 2025). To minimise digital inequalities it should include multiple features in their future version which can provide better outcomes. In addition, Digital literacy training for older adults must include its future version (Moyle et al., 2026). </w:t>
      </w:r>
    </w:p>
    <w:p w14:paraId="1582FFC6" w14:textId="77777777" w:rsidR="00D96195" w:rsidRPr="007552DF" w:rsidRDefault="007552DF" w:rsidP="00EB02BA">
      <w:pPr>
        <w:pStyle w:val="Heading2"/>
      </w:pPr>
      <w:r w:rsidRPr="007552DF">
        <w:t>Conclusion:</w:t>
      </w:r>
    </w:p>
    <w:p w14:paraId="5D9B12BD" w14:textId="77777777" w:rsidR="00D96195" w:rsidRPr="007552DF" w:rsidRDefault="007552DF">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DementiaCare+ AI demonstrates significant potential to transform dementia health promotion by offering personalised services, AI-driven support, and equitable implementation remain essential for sustainable adoption.</w:t>
      </w:r>
      <w:r w:rsidRPr="007552DF">
        <w:br w:type="page"/>
      </w:r>
    </w:p>
    <w:p w14:paraId="212AC543" w14:textId="77777777" w:rsidR="00D96195" w:rsidRPr="007552DF" w:rsidRDefault="007552DF" w:rsidP="00EB02BA">
      <w:pPr>
        <w:pStyle w:val="Heading1"/>
      </w:pPr>
      <w:r w:rsidRPr="007552DF">
        <w:lastRenderedPageBreak/>
        <w:t>References:</w:t>
      </w:r>
    </w:p>
    <w:p w14:paraId="00DE64B3" w14:textId="77777777" w:rsidR="00EB02BA" w:rsidRPr="007552DF" w:rsidRDefault="00EB02BA" w:rsidP="00EB02BA">
      <w:pPr>
        <w:spacing w:line="360" w:lineRule="auto"/>
        <w:jc w:val="both"/>
        <w:rPr>
          <w:rFonts w:ascii="Times New Roman" w:eastAsia="Times New Roman" w:hAnsi="Times New Roman" w:cs="Times New Roman"/>
        </w:rPr>
      </w:pPr>
      <w:r w:rsidRPr="007552DF">
        <w:rPr>
          <w:rFonts w:ascii="Times New Roman" w:eastAsia="Times New Roman" w:hAnsi="Times New Roman" w:cs="Times New Roman"/>
        </w:rPr>
        <w:t xml:space="preserve">Alyafei, A. and Easton-Carr, R., (2024). The health belief model of behavior change. StatPearls. </w:t>
      </w:r>
      <w:hyperlink r:id="rId21">
        <w:r w:rsidRPr="007552DF">
          <w:rPr>
            <w:rFonts w:ascii="Times New Roman" w:eastAsia="Times New Roman" w:hAnsi="Times New Roman" w:cs="Times New Roman"/>
            <w:color w:val="1155CC"/>
            <w:u w:val="single"/>
          </w:rPr>
          <w:t>https://www.statpearls.com/point-of-care/161679</w:t>
        </w:r>
      </w:hyperlink>
      <w:r w:rsidRPr="007552DF">
        <w:rPr>
          <w:rFonts w:ascii="Times New Roman" w:eastAsia="Times New Roman" w:hAnsi="Times New Roman" w:cs="Times New Roman"/>
        </w:rPr>
        <w:t xml:space="preserve"> </w:t>
      </w:r>
    </w:p>
    <w:p w14:paraId="6EC9D3D5" w14:textId="77777777" w:rsidR="00EB02BA" w:rsidRPr="007552DF" w:rsidRDefault="00EB02BA" w:rsidP="00EB02BA">
      <w:pPr>
        <w:spacing w:line="360" w:lineRule="auto"/>
        <w:jc w:val="both"/>
        <w:rPr>
          <w:rFonts w:ascii="Times New Roman" w:eastAsia="Times New Roman" w:hAnsi="Times New Roman" w:cs="Times New Roman"/>
        </w:rPr>
      </w:pPr>
      <w:r w:rsidRPr="007552DF">
        <w:rPr>
          <w:rFonts w:ascii="Times New Roman" w:eastAsia="Times New Roman" w:hAnsi="Times New Roman" w:cs="Times New Roman"/>
          <w:sz w:val="24"/>
          <w:szCs w:val="24"/>
        </w:rPr>
        <w:t>Aranda, M.P., Kremer, I.N., Hinton, L., Zissimopoulos, J., Whitmer, R.A., Hummel, C.H., Trejo, L. and Fabius, C., (2021). Impact of dementia: health disparities, population trends, care interventions, and economic costs. Journal of the American Geriatrics Society, 69(7), pp.1774-1783.</w:t>
      </w:r>
      <w:hyperlink r:id="rId22">
        <w:r w:rsidRPr="007552DF">
          <w:rPr>
            <w:rFonts w:ascii="Times New Roman" w:eastAsia="Times New Roman" w:hAnsi="Times New Roman" w:cs="Times New Roman"/>
            <w:color w:val="1155CC"/>
            <w:sz w:val="24"/>
            <w:szCs w:val="24"/>
            <w:u w:val="single"/>
          </w:rPr>
          <w:t>https://pmc.ncbi.nlm.nih.gov/articles/PMC8608182/pdf/nihms-1731141.pdf</w:t>
        </w:r>
      </w:hyperlink>
    </w:p>
    <w:p w14:paraId="4FD0840C" w14:textId="77777777" w:rsidR="00EB02BA" w:rsidRPr="007552DF" w:rsidRDefault="00EB02BA" w:rsidP="00EB02BA">
      <w:pPr>
        <w:spacing w:line="360" w:lineRule="auto"/>
        <w:jc w:val="both"/>
        <w:rPr>
          <w:rFonts w:ascii="Times New Roman" w:eastAsia="Times New Roman" w:hAnsi="Times New Roman" w:cs="Times New Roman"/>
        </w:rPr>
      </w:pPr>
      <w:r w:rsidRPr="007552DF">
        <w:rPr>
          <w:rFonts w:ascii="Times New Roman" w:eastAsia="Times New Roman" w:hAnsi="Times New Roman" w:cs="Times New Roman"/>
        </w:rPr>
        <w:t xml:space="preserve">Express Computer, (2024), AI-driven automation: Benefits and challenges in industry transformation, Available at: </w:t>
      </w:r>
      <w:hyperlink r:id="rId23">
        <w:r w:rsidRPr="007552DF">
          <w:rPr>
            <w:rFonts w:ascii="Times New Roman" w:eastAsia="Times New Roman" w:hAnsi="Times New Roman" w:cs="Times New Roman"/>
            <w:color w:val="1155CC"/>
            <w:u w:val="single"/>
          </w:rPr>
          <w:t>https://www.expresscomputer.in/guest-blogs/ai-driven-automation-benefits-and-challenges-in-industry-transformation/108543/</w:t>
        </w:r>
      </w:hyperlink>
      <w:r w:rsidRPr="007552DF">
        <w:rPr>
          <w:rFonts w:ascii="Times New Roman" w:eastAsia="Times New Roman" w:hAnsi="Times New Roman" w:cs="Times New Roman"/>
        </w:rPr>
        <w:t xml:space="preserve"> </w:t>
      </w:r>
    </w:p>
    <w:p w14:paraId="0D669482" w14:textId="77777777" w:rsidR="00EB02BA" w:rsidRPr="007552DF" w:rsidRDefault="00EB02BA" w:rsidP="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Lee, M., Park, J. and Lee, S., (2024). Effects of mobile health applications in older adults with dementia or mild cognitive impairment: a systematic review and meta-analysis. Korean Journal of Adult Nursing, 36(2), pp.112-125. </w:t>
      </w:r>
      <w:hyperlink r:id="rId24">
        <w:r w:rsidRPr="007552DF">
          <w:rPr>
            <w:rFonts w:ascii="Times New Roman" w:eastAsia="Times New Roman" w:hAnsi="Times New Roman" w:cs="Times New Roman"/>
            <w:color w:val="1155CC"/>
            <w:sz w:val="24"/>
            <w:szCs w:val="24"/>
            <w:u w:val="single"/>
          </w:rPr>
          <w:t>https://www.kjan.or.kr/upload/pdf/kjan.2024.36.2.112.pdf</w:t>
        </w:r>
      </w:hyperlink>
      <w:r w:rsidRPr="007552DF">
        <w:rPr>
          <w:rFonts w:ascii="Times New Roman" w:eastAsia="Times New Roman" w:hAnsi="Times New Roman" w:cs="Times New Roman"/>
          <w:sz w:val="24"/>
          <w:szCs w:val="24"/>
        </w:rPr>
        <w:t xml:space="preserve"> </w:t>
      </w:r>
    </w:p>
    <w:p w14:paraId="335BF207" w14:textId="77777777" w:rsidR="00EB02BA" w:rsidRPr="007552DF" w:rsidRDefault="00EB02BA" w:rsidP="00EB02BA">
      <w:pPr>
        <w:spacing w:line="360" w:lineRule="auto"/>
        <w:jc w:val="both"/>
        <w:rPr>
          <w:rFonts w:ascii="Times New Roman" w:eastAsia="Times New Roman" w:hAnsi="Times New Roman" w:cs="Times New Roman"/>
        </w:rPr>
      </w:pPr>
      <w:r w:rsidRPr="007552DF">
        <w:rPr>
          <w:rFonts w:ascii="Times New Roman" w:eastAsia="Times New Roman" w:hAnsi="Times New Roman" w:cs="Times New Roman"/>
        </w:rPr>
        <w:t>Luo, G., Yuan, Q., Li, J., Wang, S. and Yang, F., (2022). Artificial intelligence powered mobile networks: From cognition to decision. IEEE Network, 36(3), pp.136-144.</w:t>
      </w:r>
      <w:hyperlink r:id="rId25">
        <w:r w:rsidRPr="007552DF">
          <w:rPr>
            <w:rFonts w:ascii="Times New Roman" w:eastAsia="Times New Roman" w:hAnsi="Times New Roman" w:cs="Times New Roman"/>
            <w:color w:val="1155CC"/>
            <w:u w:val="single"/>
          </w:rPr>
          <w:t>https://arxiv.org/pdf/2112.04263</w:t>
        </w:r>
      </w:hyperlink>
      <w:r w:rsidRPr="007552DF">
        <w:rPr>
          <w:rFonts w:ascii="Times New Roman" w:eastAsia="Times New Roman" w:hAnsi="Times New Roman" w:cs="Times New Roman"/>
        </w:rPr>
        <w:t xml:space="preserve"> </w:t>
      </w:r>
    </w:p>
    <w:p w14:paraId="6960D639" w14:textId="77777777" w:rsidR="00EB02BA" w:rsidRPr="007552DF" w:rsidRDefault="00EB02BA" w:rsidP="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Moyle, W., Sriram, D., Murfield, J., Pu, L. and Lion, K., (2026). Co-designed technologies and people living with dementia: A qualitative systematic review. Contemporary Nurse, 62(2), pp.216-233. </w:t>
      </w:r>
      <w:hyperlink r:id="rId26">
        <w:r w:rsidRPr="007552DF">
          <w:rPr>
            <w:rFonts w:ascii="Times New Roman" w:eastAsia="Times New Roman" w:hAnsi="Times New Roman" w:cs="Times New Roman"/>
            <w:color w:val="1155CC"/>
            <w:sz w:val="24"/>
            <w:szCs w:val="24"/>
            <w:u w:val="single"/>
          </w:rPr>
          <w:t>https://www.tandfonline.com/doi/pdf/10.1080/10376178.2025.2500377</w:t>
        </w:r>
      </w:hyperlink>
      <w:r w:rsidRPr="007552DF">
        <w:rPr>
          <w:rFonts w:ascii="Times New Roman" w:eastAsia="Times New Roman" w:hAnsi="Times New Roman" w:cs="Times New Roman"/>
          <w:sz w:val="24"/>
          <w:szCs w:val="24"/>
        </w:rPr>
        <w:t xml:space="preserve"> </w:t>
      </w:r>
    </w:p>
    <w:p w14:paraId="43074730" w14:textId="77777777" w:rsidR="00EB02BA" w:rsidRPr="007552DF" w:rsidRDefault="00EB02BA" w:rsidP="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Neshaei, S.P., Wambsganss, T., El Bouchrifi, H. and Käser, T., (2025), April. MindMate: Exploring the effect of conversational agents on reflective writing. In Proceedings of the extended abstracts of the CHI conference on human factors in computing systems (pp. 1-9). </w:t>
      </w:r>
      <w:hyperlink r:id="rId27">
        <w:r w:rsidRPr="007552DF">
          <w:rPr>
            <w:rFonts w:ascii="Times New Roman" w:eastAsia="Times New Roman" w:hAnsi="Times New Roman" w:cs="Times New Roman"/>
            <w:color w:val="1155CC"/>
            <w:sz w:val="24"/>
            <w:szCs w:val="24"/>
            <w:u w:val="single"/>
          </w:rPr>
          <w:t>https://dl.acm.org/doi/pdf/10.1145/3706599.3720029</w:t>
        </w:r>
      </w:hyperlink>
      <w:r w:rsidRPr="007552DF">
        <w:rPr>
          <w:rFonts w:ascii="Times New Roman" w:eastAsia="Times New Roman" w:hAnsi="Times New Roman" w:cs="Times New Roman"/>
          <w:sz w:val="24"/>
          <w:szCs w:val="24"/>
        </w:rPr>
        <w:t xml:space="preserve"> </w:t>
      </w:r>
    </w:p>
    <w:p w14:paraId="0942C74B" w14:textId="77777777" w:rsidR="00EB02BA" w:rsidRPr="007552DF" w:rsidRDefault="00EB02BA" w:rsidP="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 xml:space="preserve">Park, H. and Ha, J., (2024). Effect of digital technology interventions for cognitive function improvement in mild cognitive impairment and dementia: A systematic review and meta‐analysis. Research in Nursing &amp; Health, 47(4), pp.409-422. </w:t>
      </w:r>
      <w:hyperlink r:id="rId28">
        <w:r w:rsidRPr="007552DF">
          <w:rPr>
            <w:rFonts w:ascii="Times New Roman" w:eastAsia="Times New Roman" w:hAnsi="Times New Roman" w:cs="Times New Roman"/>
            <w:color w:val="1155CC"/>
            <w:sz w:val="24"/>
            <w:szCs w:val="24"/>
            <w:u w:val="single"/>
          </w:rPr>
          <w:t>https://onlinelibrary.wiley.com/doi/pdf/10.1002/nur.22383</w:t>
        </w:r>
      </w:hyperlink>
      <w:r w:rsidRPr="007552DF">
        <w:rPr>
          <w:rFonts w:ascii="Times New Roman" w:eastAsia="Times New Roman" w:hAnsi="Times New Roman" w:cs="Times New Roman"/>
          <w:sz w:val="24"/>
          <w:szCs w:val="24"/>
        </w:rPr>
        <w:t xml:space="preserve"> </w:t>
      </w:r>
    </w:p>
    <w:p w14:paraId="61E44D54" w14:textId="77777777" w:rsidR="00EB02BA" w:rsidRPr="007552DF" w:rsidRDefault="00EB02BA" w:rsidP="00EB02BA">
      <w:pPr>
        <w:spacing w:line="360" w:lineRule="auto"/>
        <w:jc w:val="both"/>
        <w:rPr>
          <w:rFonts w:ascii="Times New Roman" w:eastAsia="Times New Roman" w:hAnsi="Times New Roman" w:cs="Times New Roman"/>
          <w:sz w:val="24"/>
          <w:szCs w:val="24"/>
        </w:rPr>
      </w:pPr>
      <w:r w:rsidRPr="007552DF">
        <w:rPr>
          <w:rFonts w:ascii="Times New Roman" w:eastAsia="Times New Roman" w:hAnsi="Times New Roman" w:cs="Times New Roman"/>
          <w:sz w:val="24"/>
          <w:szCs w:val="24"/>
        </w:rPr>
        <w:t>Peng, F., Little, K. and Liu, L., (2025). Human-Centred Design (HCD) in Enhancing Dementia Care Through Assistive Technologies: A Scoping Review. Digital, 5(4), p.51.</w:t>
      </w:r>
      <w:hyperlink r:id="rId29">
        <w:r w:rsidRPr="007552DF">
          <w:rPr>
            <w:rFonts w:ascii="Times New Roman" w:eastAsia="Times New Roman" w:hAnsi="Times New Roman" w:cs="Times New Roman"/>
            <w:color w:val="1155CC"/>
            <w:sz w:val="24"/>
            <w:szCs w:val="24"/>
            <w:u w:val="single"/>
          </w:rPr>
          <w:t>https://www.mdpi.com/2673-6470/5/4/51</w:t>
        </w:r>
      </w:hyperlink>
      <w:r w:rsidRPr="007552DF">
        <w:rPr>
          <w:rFonts w:ascii="Times New Roman" w:eastAsia="Times New Roman" w:hAnsi="Times New Roman" w:cs="Times New Roman"/>
          <w:sz w:val="24"/>
          <w:szCs w:val="24"/>
        </w:rPr>
        <w:t xml:space="preserve"> </w:t>
      </w:r>
    </w:p>
    <w:p w14:paraId="0E777B7E" w14:textId="77777777" w:rsidR="00EB02BA" w:rsidRPr="007552DF" w:rsidRDefault="00EB02BA" w:rsidP="00EB02BA">
      <w:pPr>
        <w:spacing w:line="360" w:lineRule="auto"/>
        <w:jc w:val="both"/>
        <w:rPr>
          <w:rFonts w:ascii="Times New Roman" w:eastAsia="Times New Roman" w:hAnsi="Times New Roman" w:cs="Times New Roman"/>
        </w:rPr>
      </w:pPr>
      <w:r w:rsidRPr="007552DF">
        <w:rPr>
          <w:rFonts w:ascii="Times New Roman" w:eastAsia="Times New Roman" w:hAnsi="Times New Roman" w:cs="Times New Roman"/>
        </w:rPr>
        <w:t xml:space="preserve">Yancheva, Y, (2018), Wearable Sensors – How Will They Improve Our Lives?, Available at: </w:t>
      </w:r>
      <w:hyperlink r:id="rId30">
        <w:r w:rsidRPr="007552DF">
          <w:rPr>
            <w:rFonts w:ascii="Times New Roman" w:eastAsia="Times New Roman" w:hAnsi="Times New Roman" w:cs="Times New Roman"/>
            <w:color w:val="1155CC"/>
            <w:u w:val="single"/>
          </w:rPr>
          <w:t>https://www.azosensors.com/article.aspx?ArticleID=1538</w:t>
        </w:r>
      </w:hyperlink>
      <w:r w:rsidRPr="007552DF">
        <w:rPr>
          <w:rFonts w:ascii="Times New Roman" w:eastAsia="Times New Roman" w:hAnsi="Times New Roman" w:cs="Times New Roman"/>
        </w:rPr>
        <w:t xml:space="preserve"> </w:t>
      </w:r>
    </w:p>
    <w:sectPr w:rsidR="00EB02BA" w:rsidRPr="007552D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C701E7E-F17E-4EF0-8BF7-08BDCBEB461D}"/>
  </w:font>
  <w:font w:name="Cambria">
    <w:panose1 w:val="02040503050406030204"/>
    <w:charset w:val="00"/>
    <w:family w:val="roman"/>
    <w:pitch w:val="variable"/>
    <w:sig w:usb0="E00006FF" w:usb1="420024FF" w:usb2="02000000" w:usb3="00000000" w:csb0="0000019F" w:csb1="00000000"/>
    <w:embedRegular r:id="rId2" w:fontKey="{836B6E62-5395-43E3-AAE9-E51A3BBB1AC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0B91"/>
    <w:multiLevelType w:val="multilevel"/>
    <w:tmpl w:val="E460D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16451E"/>
    <w:multiLevelType w:val="multilevel"/>
    <w:tmpl w:val="A24CCB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2AE358C"/>
    <w:multiLevelType w:val="hybridMultilevel"/>
    <w:tmpl w:val="0936C5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16C4871"/>
    <w:multiLevelType w:val="multilevel"/>
    <w:tmpl w:val="CB449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B05679"/>
    <w:multiLevelType w:val="multilevel"/>
    <w:tmpl w:val="37309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BE061A"/>
    <w:multiLevelType w:val="multilevel"/>
    <w:tmpl w:val="A99C3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F996576"/>
    <w:multiLevelType w:val="multilevel"/>
    <w:tmpl w:val="32D44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9266119">
    <w:abstractNumId w:val="0"/>
  </w:num>
  <w:num w:numId="2" w16cid:durableId="912547884">
    <w:abstractNumId w:val="4"/>
  </w:num>
  <w:num w:numId="3" w16cid:durableId="1087383270">
    <w:abstractNumId w:val="3"/>
  </w:num>
  <w:num w:numId="4" w16cid:durableId="533271739">
    <w:abstractNumId w:val="5"/>
  </w:num>
  <w:num w:numId="5" w16cid:durableId="1557740177">
    <w:abstractNumId w:val="6"/>
  </w:num>
  <w:num w:numId="6" w16cid:durableId="1947273504">
    <w:abstractNumId w:val="1"/>
  </w:num>
  <w:num w:numId="7" w16cid:durableId="8489832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195"/>
    <w:rsid w:val="007552DF"/>
    <w:rsid w:val="00C84825"/>
    <w:rsid w:val="00D1415C"/>
    <w:rsid w:val="00D96195"/>
    <w:rsid w:val="00EB02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2C613"/>
  <w15:docId w15:val="{33A17849-CB58-45BA-ABE4-0EE8A8BEE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EB02B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EB02BA"/>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EB02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l.acm.org/doi/pdf/10.1145/3706599.3720029" TargetMode="External"/><Relationship Id="rId18" Type="http://schemas.openxmlformats.org/officeDocument/2006/relationships/hyperlink" Target="https://www.who.int/news-room/fact-sheets/detail/dementia" TargetMode="External"/><Relationship Id="rId26" Type="http://schemas.openxmlformats.org/officeDocument/2006/relationships/hyperlink" Target="https://www.tandfonline.com/doi/pdf/10.1080/10376178.2025.2500377" TargetMode="External"/><Relationship Id="rId3" Type="http://schemas.openxmlformats.org/officeDocument/2006/relationships/settings" Target="settings.xml"/><Relationship Id="rId21" Type="http://schemas.openxmlformats.org/officeDocument/2006/relationships/hyperlink" Target="https://www.statpearls.com/point-of-care/161679" TargetMode="External"/><Relationship Id="rId7" Type="http://schemas.openxmlformats.org/officeDocument/2006/relationships/image" Target="media/image3.png"/><Relationship Id="rId12" Type="http://schemas.openxmlformats.org/officeDocument/2006/relationships/hyperlink" Target="https://www.mindmate-app.com/" TargetMode="External"/><Relationship Id="rId17" Type="http://schemas.openxmlformats.org/officeDocument/2006/relationships/hyperlink" Target="https://iris.who.int/server/api/core/bitstreams/9e8aab50-ca34-45e0-9fb0-26e675746f65/content" TargetMode="External"/><Relationship Id="rId25" Type="http://schemas.openxmlformats.org/officeDocument/2006/relationships/hyperlink" Target="https://arxiv.org/pdf/2112.04263" TargetMode="External"/><Relationship Id="rId2" Type="http://schemas.openxmlformats.org/officeDocument/2006/relationships/styles" Target="styles.xml"/><Relationship Id="rId16" Type="http://schemas.openxmlformats.org/officeDocument/2006/relationships/hyperlink" Target="https://www.nia.nih.gov/health/alzheimers-and-dementia/understanding-different-types-dementia" TargetMode="External"/><Relationship Id="rId20" Type="http://schemas.openxmlformats.org/officeDocument/2006/relationships/image" Target="media/image6.png"/><Relationship Id="rId29" Type="http://schemas.openxmlformats.org/officeDocument/2006/relationships/hyperlink" Target="https://www.mdpi.com/2673-6470/5/4/5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lz-journals.onlinelibrary.wiley.com/doi/pdf/10.1002/trc2.12408" TargetMode="External"/><Relationship Id="rId24" Type="http://schemas.openxmlformats.org/officeDocument/2006/relationships/hyperlink" Target="https://www.kjan.or.kr/upload/pdf/kjan.2024.36.2.112.pdf"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england.nhs.uk/mental-health/dementia/" TargetMode="External"/><Relationship Id="rId23" Type="http://schemas.openxmlformats.org/officeDocument/2006/relationships/hyperlink" Target="https://www.expresscomputer.in/guest-blogs/ai-driven-automation-benefits-and-challenges-in-industry-transformation/108543/" TargetMode="External"/><Relationship Id="rId28" Type="http://schemas.openxmlformats.org/officeDocument/2006/relationships/hyperlink" Target="https://onlinelibrary.wiley.com/doi/pdf/10.1002/nur.22383" TargetMode="External"/><Relationship Id="rId10" Type="http://schemas.openxmlformats.org/officeDocument/2006/relationships/hyperlink" Target="https://ijsdr.org/papers/IJSDR2505239.pdf"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news/uk-scotland-scotland-business-36783739" TargetMode="External"/><Relationship Id="rId14" Type="http://schemas.openxmlformats.org/officeDocument/2006/relationships/hyperlink" Target="https://www.nhs.uk/conditions/dementia/about-dementia/what-is-dementia/" TargetMode="External"/><Relationship Id="rId22" Type="http://schemas.openxmlformats.org/officeDocument/2006/relationships/hyperlink" Target="https://pmc.ncbi.nlm.nih.gov/articles/PMC8608182/pdf/nihms-1731141.pdf" TargetMode="External"/><Relationship Id="rId27" Type="http://schemas.openxmlformats.org/officeDocument/2006/relationships/hyperlink" Target="https://dl.acm.org/doi/pdf/10.1145/3706599.3720029" TargetMode="External"/><Relationship Id="rId30" Type="http://schemas.openxmlformats.org/officeDocument/2006/relationships/hyperlink" Target="https://www.azosensors.com/article.aspx?ArticleID=1538"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amipatel18082003@gmail.com</cp:lastModifiedBy>
  <cp:revision>2</cp:revision>
  <dcterms:created xsi:type="dcterms:W3CDTF">2026-07-23T15:58:00Z</dcterms:created>
  <dcterms:modified xsi:type="dcterms:W3CDTF">2026-07-27T08:27:00Z</dcterms:modified>
</cp:coreProperties>
</file>