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eastAsia="en-US"/>
          <w14:ligatures w14:val="standardContextual"/>
        </w:rPr>
        <w:id w:val="1206223223"/>
        <w:docPartObj>
          <w:docPartGallery w:val="Cover Pages"/>
          <w:docPartUnique/>
        </w:docPartObj>
      </w:sdtPr>
      <w:sdtEndPr>
        <w:rPr>
          <w:rFonts w:eastAsiaTheme="minorEastAsia"/>
        </w:rPr>
      </w:sdtEndPr>
      <w:sdtContent>
        <w:p w14:paraId="0277F9F5" w14:textId="37A73042" w:rsidR="00B626B8" w:rsidRPr="0091269B" w:rsidRDefault="00B626B8">
          <w:pPr>
            <w:pStyle w:val="NoSpacing"/>
            <w:rPr>
              <w:rFonts w:ascii="Arial" w:hAnsi="Arial" w:cs="Arial"/>
            </w:rPr>
          </w:pPr>
        </w:p>
        <w:p w14:paraId="4FBCD3CA" w14:textId="650C27B1" w:rsidR="00B626B8" w:rsidRPr="0091269B" w:rsidRDefault="00B626B8">
          <w:pPr>
            <w:rPr>
              <w:rFonts w:ascii="Arial" w:hAnsi="Arial" w:cs="Arial"/>
              <w:sz w:val="22"/>
              <w:szCs w:val="22"/>
            </w:rPr>
          </w:pPr>
          <w:r w:rsidRPr="0091269B">
            <w:rPr>
              <w:rFonts w:ascii="Arial" w:hAnsi="Arial" w:cs="Arial"/>
              <w:noProof/>
              <w:sz w:val="22"/>
              <w:szCs w:val="22"/>
            </w:rPr>
            <mc:AlternateContent>
              <mc:Choice Requires="wps">
                <w:drawing>
                  <wp:anchor distT="0" distB="0" distL="114300" distR="114300" simplePos="0" relativeHeight="251658241" behindDoc="0" locked="0" layoutInCell="1" allowOverlap="1" wp14:anchorId="1A15D789" wp14:editId="52FA6382">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21CF6" w14:textId="77777777" w:rsidR="00B626B8" w:rsidRPr="00B626B8" w:rsidRDefault="00B626B8" w:rsidP="00B626B8">
                                <w:pPr>
                                  <w:rPr>
                                    <w:rFonts w:ascii="Arial" w:hAnsi="Arial" w:cs="Arial"/>
                                    <w:sz w:val="44"/>
                                    <w:szCs w:val="44"/>
                                  </w:rPr>
                                </w:pPr>
                                <w:r w:rsidRPr="00B626B8">
                                  <w:rPr>
                                    <w:rFonts w:ascii="Arial" w:hAnsi="Arial" w:cs="Arial"/>
                                    <w:b/>
                                    <w:bCs/>
                                    <w:sz w:val="44"/>
                                    <w:szCs w:val="44"/>
                                  </w:rPr>
                                  <w:t>Module Code: LCHS4003</w:t>
                                </w:r>
                                <w:r w:rsidRPr="00B626B8">
                                  <w:rPr>
                                    <w:rFonts w:ascii="Arial" w:hAnsi="Arial" w:cs="Arial"/>
                                    <w:sz w:val="44"/>
                                    <w:szCs w:val="44"/>
                                  </w:rPr>
                                  <w:t> </w:t>
                                </w:r>
                              </w:p>
                              <w:p w14:paraId="3F3DE48E"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4475F799" w14:textId="77777777" w:rsidR="00B626B8" w:rsidRPr="00B626B8" w:rsidRDefault="00B626B8" w:rsidP="00B626B8">
                                <w:pPr>
                                  <w:rPr>
                                    <w:rFonts w:ascii="Arial" w:hAnsi="Arial" w:cs="Arial"/>
                                    <w:sz w:val="44"/>
                                    <w:szCs w:val="44"/>
                                  </w:rPr>
                                </w:pPr>
                                <w:r w:rsidRPr="00B626B8">
                                  <w:rPr>
                                    <w:rFonts w:ascii="Arial" w:hAnsi="Arial" w:cs="Arial"/>
                                    <w:b/>
                                    <w:bCs/>
                                    <w:sz w:val="44"/>
                                    <w:szCs w:val="44"/>
                                  </w:rPr>
                                  <w:t>Module: Introduction to Health and Social Care</w:t>
                                </w:r>
                                <w:r w:rsidRPr="00B626B8">
                                  <w:rPr>
                                    <w:rFonts w:ascii="Arial" w:hAnsi="Arial" w:cs="Arial"/>
                                    <w:sz w:val="44"/>
                                    <w:szCs w:val="44"/>
                                  </w:rPr>
                                  <w:t> </w:t>
                                </w:r>
                              </w:p>
                              <w:p w14:paraId="7CA88484"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67F0B748" w14:textId="77777777" w:rsidR="00B626B8" w:rsidRPr="00B626B8" w:rsidRDefault="00B626B8" w:rsidP="00B626B8">
                                <w:pPr>
                                  <w:rPr>
                                    <w:rFonts w:ascii="Arial" w:hAnsi="Arial" w:cs="Arial"/>
                                    <w:sz w:val="44"/>
                                    <w:szCs w:val="44"/>
                                  </w:rPr>
                                </w:pPr>
                                <w:r w:rsidRPr="00B626B8">
                                  <w:rPr>
                                    <w:rFonts w:ascii="Arial" w:hAnsi="Arial" w:cs="Arial"/>
                                    <w:b/>
                                    <w:bCs/>
                                    <w:sz w:val="44"/>
                                    <w:szCs w:val="44"/>
                                  </w:rPr>
                                  <w:t>Assignment: (Component 2, Case Study)</w:t>
                                </w:r>
                                <w:r w:rsidRPr="00B626B8">
                                  <w:rPr>
                                    <w:rFonts w:ascii="Arial" w:hAnsi="Arial" w:cs="Arial"/>
                                    <w:sz w:val="44"/>
                                    <w:szCs w:val="44"/>
                                  </w:rPr>
                                  <w:t> </w:t>
                                </w:r>
                              </w:p>
                              <w:p w14:paraId="18B444C3"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56BEAD21" w14:textId="77777777" w:rsidR="00B626B8" w:rsidRPr="00B626B8" w:rsidRDefault="00B626B8" w:rsidP="00B626B8">
                                <w:pPr>
                                  <w:rPr>
                                    <w:rFonts w:ascii="Arial" w:hAnsi="Arial" w:cs="Arial"/>
                                    <w:sz w:val="44"/>
                                    <w:szCs w:val="44"/>
                                  </w:rPr>
                                </w:pPr>
                                <w:r w:rsidRPr="00B626B8">
                                  <w:rPr>
                                    <w:rFonts w:ascii="Arial" w:hAnsi="Arial" w:cs="Arial"/>
                                    <w:b/>
                                    <w:bCs/>
                                    <w:sz w:val="44"/>
                                    <w:szCs w:val="44"/>
                                  </w:rPr>
                                  <w:t xml:space="preserve">Name: Shackeria Nash </w:t>
                                </w:r>
                                <w:proofErr w:type="spellStart"/>
                                <w:r w:rsidRPr="00B626B8">
                                  <w:rPr>
                                    <w:rFonts w:ascii="Arial" w:hAnsi="Arial" w:cs="Arial"/>
                                    <w:b/>
                                    <w:bCs/>
                                    <w:sz w:val="44"/>
                                    <w:szCs w:val="44"/>
                                  </w:rPr>
                                  <w:t>Korylco</w:t>
                                </w:r>
                                <w:proofErr w:type="spellEnd"/>
                                <w:r w:rsidRPr="00B626B8">
                                  <w:rPr>
                                    <w:rFonts w:ascii="Arial" w:hAnsi="Arial" w:cs="Arial"/>
                                    <w:sz w:val="44"/>
                                    <w:szCs w:val="44"/>
                                  </w:rPr>
                                  <w:t> </w:t>
                                </w:r>
                              </w:p>
                              <w:p w14:paraId="6C049EFB"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0853F4C7" w14:textId="77777777" w:rsidR="00B626B8" w:rsidRPr="00B626B8" w:rsidRDefault="00B626B8" w:rsidP="00B626B8">
                                <w:pPr>
                                  <w:rPr>
                                    <w:rFonts w:ascii="Arial" w:hAnsi="Arial" w:cs="Arial"/>
                                    <w:sz w:val="44"/>
                                    <w:szCs w:val="44"/>
                                  </w:rPr>
                                </w:pPr>
                                <w:r w:rsidRPr="00B626B8">
                                  <w:rPr>
                                    <w:rFonts w:ascii="Arial" w:hAnsi="Arial" w:cs="Arial"/>
                                    <w:b/>
                                    <w:bCs/>
                                    <w:sz w:val="44"/>
                                    <w:szCs w:val="44"/>
                                  </w:rPr>
                                  <w:t>Student ID: 2509257</w:t>
                                </w:r>
                                <w:r w:rsidRPr="00B626B8">
                                  <w:rPr>
                                    <w:rFonts w:ascii="Arial" w:hAnsi="Arial" w:cs="Arial"/>
                                    <w:sz w:val="44"/>
                                    <w:szCs w:val="44"/>
                                  </w:rPr>
                                  <w:t> </w:t>
                                </w:r>
                              </w:p>
                              <w:p w14:paraId="17E237DC"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5C85A3EC" w14:textId="77777777" w:rsidR="00B626B8" w:rsidRPr="00B626B8" w:rsidRDefault="00B626B8" w:rsidP="00B626B8">
                                <w:pPr>
                                  <w:rPr>
                                    <w:rFonts w:ascii="Arial" w:hAnsi="Arial" w:cs="Arial"/>
                                    <w:sz w:val="44"/>
                                    <w:szCs w:val="44"/>
                                  </w:rPr>
                                </w:pPr>
                                <w:r w:rsidRPr="00B626B8">
                                  <w:rPr>
                                    <w:rFonts w:ascii="Arial" w:hAnsi="Arial" w:cs="Arial"/>
                                    <w:b/>
                                    <w:bCs/>
                                    <w:sz w:val="44"/>
                                    <w:szCs w:val="44"/>
                                  </w:rPr>
                                  <w:t>Lecturer: Daniel Haruna</w:t>
                                </w:r>
                                <w:r w:rsidRPr="00B626B8">
                                  <w:rPr>
                                    <w:rFonts w:ascii="Arial" w:hAnsi="Arial" w:cs="Arial"/>
                                    <w:sz w:val="44"/>
                                    <w:szCs w:val="44"/>
                                  </w:rPr>
                                  <w:t> </w:t>
                                </w:r>
                              </w:p>
                              <w:p w14:paraId="0DEE8CFF"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1C35725F" w14:textId="77777777" w:rsidR="00B626B8" w:rsidRPr="00181948" w:rsidRDefault="00B626B8">
                                <w:pPr>
                                  <w:rPr>
                                    <w:rFonts w:ascii="Arial" w:hAnsi="Arial" w:cs="Arial"/>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A15D789" id="_x0000_t202" coordsize="21600,21600" o:spt="202" path="m,l,21600r21600,l21600,xe">
                    <v:stroke joinstyle="miter"/>
                    <v:path gradientshapeok="t" o:connecttype="rect"/>
                  </v:shapetype>
                  <v:shape id="Text Box 66" o:spid="_x0000_s1026" type="#_x0000_t202" style="position:absolute;margin-left:0;margin-top:0;width:468pt;height:1in;z-index:251658241;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2DA21CF6" w14:textId="77777777" w:rsidR="00B626B8" w:rsidRPr="00B626B8" w:rsidRDefault="00B626B8" w:rsidP="00B626B8">
                          <w:pPr>
                            <w:rPr>
                              <w:rFonts w:ascii="Arial" w:hAnsi="Arial" w:cs="Arial"/>
                              <w:sz w:val="44"/>
                              <w:szCs w:val="44"/>
                            </w:rPr>
                          </w:pPr>
                          <w:r w:rsidRPr="00B626B8">
                            <w:rPr>
                              <w:rFonts w:ascii="Arial" w:hAnsi="Arial" w:cs="Arial"/>
                              <w:b/>
                              <w:bCs/>
                              <w:sz w:val="44"/>
                              <w:szCs w:val="44"/>
                            </w:rPr>
                            <w:t>Module Code: LCHS4003</w:t>
                          </w:r>
                          <w:r w:rsidRPr="00B626B8">
                            <w:rPr>
                              <w:rFonts w:ascii="Arial" w:hAnsi="Arial" w:cs="Arial"/>
                              <w:sz w:val="44"/>
                              <w:szCs w:val="44"/>
                            </w:rPr>
                            <w:t> </w:t>
                          </w:r>
                        </w:p>
                        <w:p w14:paraId="3F3DE48E"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4475F799" w14:textId="77777777" w:rsidR="00B626B8" w:rsidRPr="00B626B8" w:rsidRDefault="00B626B8" w:rsidP="00B626B8">
                          <w:pPr>
                            <w:rPr>
                              <w:rFonts w:ascii="Arial" w:hAnsi="Arial" w:cs="Arial"/>
                              <w:sz w:val="44"/>
                              <w:szCs w:val="44"/>
                            </w:rPr>
                          </w:pPr>
                          <w:r w:rsidRPr="00B626B8">
                            <w:rPr>
                              <w:rFonts w:ascii="Arial" w:hAnsi="Arial" w:cs="Arial"/>
                              <w:b/>
                              <w:bCs/>
                              <w:sz w:val="44"/>
                              <w:szCs w:val="44"/>
                            </w:rPr>
                            <w:t>Module: Introduction to Health and Social Care</w:t>
                          </w:r>
                          <w:r w:rsidRPr="00B626B8">
                            <w:rPr>
                              <w:rFonts w:ascii="Arial" w:hAnsi="Arial" w:cs="Arial"/>
                              <w:sz w:val="44"/>
                              <w:szCs w:val="44"/>
                            </w:rPr>
                            <w:t> </w:t>
                          </w:r>
                        </w:p>
                        <w:p w14:paraId="7CA88484"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67F0B748" w14:textId="77777777" w:rsidR="00B626B8" w:rsidRPr="00B626B8" w:rsidRDefault="00B626B8" w:rsidP="00B626B8">
                          <w:pPr>
                            <w:rPr>
                              <w:rFonts w:ascii="Arial" w:hAnsi="Arial" w:cs="Arial"/>
                              <w:sz w:val="44"/>
                              <w:szCs w:val="44"/>
                            </w:rPr>
                          </w:pPr>
                          <w:r w:rsidRPr="00B626B8">
                            <w:rPr>
                              <w:rFonts w:ascii="Arial" w:hAnsi="Arial" w:cs="Arial"/>
                              <w:b/>
                              <w:bCs/>
                              <w:sz w:val="44"/>
                              <w:szCs w:val="44"/>
                            </w:rPr>
                            <w:t>Assignment: (Component 2, Case Study)</w:t>
                          </w:r>
                          <w:r w:rsidRPr="00B626B8">
                            <w:rPr>
                              <w:rFonts w:ascii="Arial" w:hAnsi="Arial" w:cs="Arial"/>
                              <w:sz w:val="44"/>
                              <w:szCs w:val="44"/>
                            </w:rPr>
                            <w:t> </w:t>
                          </w:r>
                        </w:p>
                        <w:p w14:paraId="18B444C3"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56BEAD21" w14:textId="77777777" w:rsidR="00B626B8" w:rsidRPr="00B626B8" w:rsidRDefault="00B626B8" w:rsidP="00B626B8">
                          <w:pPr>
                            <w:rPr>
                              <w:rFonts w:ascii="Arial" w:hAnsi="Arial" w:cs="Arial"/>
                              <w:sz w:val="44"/>
                              <w:szCs w:val="44"/>
                            </w:rPr>
                          </w:pPr>
                          <w:r w:rsidRPr="00B626B8">
                            <w:rPr>
                              <w:rFonts w:ascii="Arial" w:hAnsi="Arial" w:cs="Arial"/>
                              <w:b/>
                              <w:bCs/>
                              <w:sz w:val="44"/>
                              <w:szCs w:val="44"/>
                            </w:rPr>
                            <w:t xml:space="preserve">Name: Shackeria Nash </w:t>
                          </w:r>
                          <w:proofErr w:type="spellStart"/>
                          <w:r w:rsidRPr="00B626B8">
                            <w:rPr>
                              <w:rFonts w:ascii="Arial" w:hAnsi="Arial" w:cs="Arial"/>
                              <w:b/>
                              <w:bCs/>
                              <w:sz w:val="44"/>
                              <w:szCs w:val="44"/>
                            </w:rPr>
                            <w:t>Korylco</w:t>
                          </w:r>
                          <w:proofErr w:type="spellEnd"/>
                          <w:r w:rsidRPr="00B626B8">
                            <w:rPr>
                              <w:rFonts w:ascii="Arial" w:hAnsi="Arial" w:cs="Arial"/>
                              <w:sz w:val="44"/>
                              <w:szCs w:val="44"/>
                            </w:rPr>
                            <w:t> </w:t>
                          </w:r>
                        </w:p>
                        <w:p w14:paraId="6C049EFB"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0853F4C7" w14:textId="77777777" w:rsidR="00B626B8" w:rsidRPr="00B626B8" w:rsidRDefault="00B626B8" w:rsidP="00B626B8">
                          <w:pPr>
                            <w:rPr>
                              <w:rFonts w:ascii="Arial" w:hAnsi="Arial" w:cs="Arial"/>
                              <w:sz w:val="44"/>
                              <w:szCs w:val="44"/>
                            </w:rPr>
                          </w:pPr>
                          <w:r w:rsidRPr="00B626B8">
                            <w:rPr>
                              <w:rFonts w:ascii="Arial" w:hAnsi="Arial" w:cs="Arial"/>
                              <w:b/>
                              <w:bCs/>
                              <w:sz w:val="44"/>
                              <w:szCs w:val="44"/>
                            </w:rPr>
                            <w:t>Student ID: 2509257</w:t>
                          </w:r>
                          <w:r w:rsidRPr="00B626B8">
                            <w:rPr>
                              <w:rFonts w:ascii="Arial" w:hAnsi="Arial" w:cs="Arial"/>
                              <w:sz w:val="44"/>
                              <w:szCs w:val="44"/>
                            </w:rPr>
                            <w:t> </w:t>
                          </w:r>
                        </w:p>
                        <w:p w14:paraId="17E237DC"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5C85A3EC" w14:textId="77777777" w:rsidR="00B626B8" w:rsidRPr="00B626B8" w:rsidRDefault="00B626B8" w:rsidP="00B626B8">
                          <w:pPr>
                            <w:rPr>
                              <w:rFonts w:ascii="Arial" w:hAnsi="Arial" w:cs="Arial"/>
                              <w:sz w:val="44"/>
                              <w:szCs w:val="44"/>
                            </w:rPr>
                          </w:pPr>
                          <w:r w:rsidRPr="00B626B8">
                            <w:rPr>
                              <w:rFonts w:ascii="Arial" w:hAnsi="Arial" w:cs="Arial"/>
                              <w:b/>
                              <w:bCs/>
                              <w:sz w:val="44"/>
                              <w:szCs w:val="44"/>
                            </w:rPr>
                            <w:t>Lecturer: Daniel Haruna</w:t>
                          </w:r>
                          <w:r w:rsidRPr="00B626B8">
                            <w:rPr>
                              <w:rFonts w:ascii="Arial" w:hAnsi="Arial" w:cs="Arial"/>
                              <w:sz w:val="44"/>
                              <w:szCs w:val="44"/>
                            </w:rPr>
                            <w:t> </w:t>
                          </w:r>
                        </w:p>
                        <w:p w14:paraId="0DEE8CFF" w14:textId="77777777" w:rsidR="00B626B8" w:rsidRPr="00B626B8" w:rsidRDefault="00B626B8" w:rsidP="00B626B8">
                          <w:pPr>
                            <w:rPr>
                              <w:rFonts w:ascii="Arial" w:hAnsi="Arial" w:cs="Arial"/>
                              <w:sz w:val="44"/>
                              <w:szCs w:val="44"/>
                            </w:rPr>
                          </w:pPr>
                          <w:r w:rsidRPr="00B626B8">
                            <w:rPr>
                              <w:rFonts w:ascii="Arial" w:hAnsi="Arial" w:cs="Arial"/>
                              <w:sz w:val="44"/>
                              <w:szCs w:val="44"/>
                            </w:rPr>
                            <w:t> </w:t>
                          </w:r>
                        </w:p>
                        <w:p w14:paraId="1C35725F" w14:textId="77777777" w:rsidR="00B626B8" w:rsidRPr="00181948" w:rsidRDefault="00B626B8">
                          <w:pPr>
                            <w:rPr>
                              <w:rFonts w:ascii="Arial" w:hAnsi="Arial" w:cs="Arial"/>
                              <w:sz w:val="44"/>
                              <w:szCs w:val="44"/>
                            </w:rPr>
                          </w:pPr>
                        </w:p>
                      </w:txbxContent>
                    </v:textbox>
                    <w10:wrap anchorx="page" anchory="margin"/>
                  </v:shape>
                </w:pict>
              </mc:Fallback>
            </mc:AlternateContent>
          </w:r>
          <w:r w:rsidRPr="0091269B">
            <w:rPr>
              <w:rFonts w:ascii="Arial" w:hAnsi="Arial" w:cs="Arial"/>
              <w:noProof/>
              <w:color w:val="156082" w:themeColor="accent1"/>
              <w:sz w:val="22"/>
              <w:szCs w:val="22"/>
            </w:rPr>
            <mc:AlternateContent>
              <mc:Choice Requires="wpg">
                <w:drawing>
                  <wp:anchor distT="0" distB="0" distL="114300" distR="114300" simplePos="0" relativeHeight="251658240" behindDoc="1" locked="0" layoutInCell="1" allowOverlap="1" wp14:anchorId="6AC849AA" wp14:editId="20BEFDF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http://schemas.openxmlformats.org/drawingml/2006/main" xmlns:a14="http://schemas.microsoft.com/office/drawing/2010/main" xmlns:arto="http://schemas.microsoft.com/office/word/2006/arto">
                <w:pict>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1552FC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p>
        <w:p w14:paraId="2840D724" w14:textId="0F87278E" w:rsidR="00B626B8" w:rsidRPr="0091269B" w:rsidRDefault="00B626B8">
          <w:pPr>
            <w:rPr>
              <w:rFonts w:ascii="Arial" w:hAnsi="Arial" w:cs="Arial"/>
              <w:sz w:val="22"/>
              <w:szCs w:val="22"/>
            </w:rPr>
          </w:pPr>
          <w:r w:rsidRPr="0091269B">
            <w:rPr>
              <w:rFonts w:ascii="Arial" w:hAnsi="Arial" w:cs="Arial"/>
              <w:sz w:val="22"/>
              <w:szCs w:val="22"/>
            </w:rPr>
            <w:br w:type="page"/>
          </w:r>
        </w:p>
      </w:sdtContent>
    </w:sdt>
    <w:sdt>
      <w:sdtPr>
        <w:id w:val="176671811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C328B70" w14:textId="202C3F21" w:rsidR="002A351A" w:rsidRDefault="002A351A">
          <w:pPr>
            <w:pStyle w:val="TOCHeading"/>
          </w:pPr>
          <w:r>
            <w:t>Contents</w:t>
          </w:r>
        </w:p>
        <w:p w14:paraId="336425FF" w14:textId="67B9D8D4" w:rsidR="002A351A" w:rsidRDefault="002A35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192709" w:history="1">
            <w:r w:rsidRPr="00C3676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_Toc225192709 \h </w:instrText>
            </w:r>
            <w:r>
              <w:rPr>
                <w:noProof/>
                <w:webHidden/>
              </w:rPr>
            </w:r>
            <w:r>
              <w:rPr>
                <w:noProof/>
                <w:webHidden/>
              </w:rPr>
              <w:fldChar w:fldCharType="separate"/>
            </w:r>
            <w:r>
              <w:rPr>
                <w:noProof/>
                <w:webHidden/>
              </w:rPr>
              <w:t>2</w:t>
            </w:r>
            <w:r>
              <w:rPr>
                <w:noProof/>
                <w:webHidden/>
              </w:rPr>
              <w:fldChar w:fldCharType="end"/>
            </w:r>
          </w:hyperlink>
        </w:p>
        <w:p w14:paraId="241280BA" w14:textId="68F16D71" w:rsidR="002A351A" w:rsidRDefault="002A351A">
          <w:pPr>
            <w:pStyle w:val="TOC2"/>
            <w:tabs>
              <w:tab w:val="right" w:leader="dot" w:pos="9016"/>
            </w:tabs>
            <w:rPr>
              <w:rFonts w:eastAsiaTheme="minorEastAsia"/>
              <w:noProof/>
              <w:lang w:eastAsia="en-GB"/>
            </w:rPr>
          </w:pPr>
          <w:hyperlink w:anchor="_Toc225192710" w:history="1">
            <w:r w:rsidRPr="00C36761">
              <w:rPr>
                <w:rStyle w:val="Hyperlink"/>
                <w:rFonts w:ascii="Arial" w:hAnsi="Arial" w:cs="Arial"/>
                <w:b/>
                <w:bCs/>
                <w:noProof/>
              </w:rPr>
              <w:t>Effective Communication in Mr. Ahmed’s Care</w:t>
            </w:r>
            <w:r>
              <w:rPr>
                <w:noProof/>
                <w:webHidden/>
              </w:rPr>
              <w:tab/>
            </w:r>
            <w:r>
              <w:rPr>
                <w:noProof/>
                <w:webHidden/>
              </w:rPr>
              <w:fldChar w:fldCharType="begin"/>
            </w:r>
            <w:r>
              <w:rPr>
                <w:noProof/>
                <w:webHidden/>
              </w:rPr>
              <w:instrText xml:space="preserve"> PAGEREF _Toc225192710 \h </w:instrText>
            </w:r>
            <w:r>
              <w:rPr>
                <w:noProof/>
                <w:webHidden/>
              </w:rPr>
            </w:r>
            <w:r>
              <w:rPr>
                <w:noProof/>
                <w:webHidden/>
              </w:rPr>
              <w:fldChar w:fldCharType="separate"/>
            </w:r>
            <w:r>
              <w:rPr>
                <w:noProof/>
                <w:webHidden/>
              </w:rPr>
              <w:t>3</w:t>
            </w:r>
            <w:r>
              <w:rPr>
                <w:noProof/>
                <w:webHidden/>
              </w:rPr>
              <w:fldChar w:fldCharType="end"/>
            </w:r>
          </w:hyperlink>
        </w:p>
        <w:p w14:paraId="74E13848" w14:textId="59E5B4E6" w:rsidR="002A351A" w:rsidRDefault="002A351A">
          <w:pPr>
            <w:pStyle w:val="TOC3"/>
            <w:tabs>
              <w:tab w:val="right" w:leader="dot" w:pos="9016"/>
            </w:tabs>
            <w:rPr>
              <w:rFonts w:eastAsiaTheme="minorEastAsia"/>
              <w:noProof/>
              <w:lang w:eastAsia="en-GB"/>
            </w:rPr>
          </w:pPr>
          <w:hyperlink w:anchor="_Toc225192711" w:history="1">
            <w:r w:rsidRPr="00C36761">
              <w:rPr>
                <w:rStyle w:val="Hyperlink"/>
                <w:rFonts w:ascii="Arial" w:hAnsi="Arial" w:cs="Arial"/>
                <w:b/>
                <w:bCs/>
                <w:noProof/>
              </w:rPr>
              <w:t>Importance of Good Administrative Skills</w:t>
            </w:r>
            <w:r>
              <w:rPr>
                <w:noProof/>
                <w:webHidden/>
              </w:rPr>
              <w:tab/>
            </w:r>
            <w:r>
              <w:rPr>
                <w:noProof/>
                <w:webHidden/>
              </w:rPr>
              <w:fldChar w:fldCharType="begin"/>
            </w:r>
            <w:r>
              <w:rPr>
                <w:noProof/>
                <w:webHidden/>
              </w:rPr>
              <w:instrText xml:space="preserve"> PAGEREF _Toc225192711 \h </w:instrText>
            </w:r>
            <w:r>
              <w:rPr>
                <w:noProof/>
                <w:webHidden/>
              </w:rPr>
            </w:r>
            <w:r>
              <w:rPr>
                <w:noProof/>
                <w:webHidden/>
              </w:rPr>
              <w:fldChar w:fldCharType="separate"/>
            </w:r>
            <w:r>
              <w:rPr>
                <w:noProof/>
                <w:webHidden/>
              </w:rPr>
              <w:t>4</w:t>
            </w:r>
            <w:r>
              <w:rPr>
                <w:noProof/>
                <w:webHidden/>
              </w:rPr>
              <w:fldChar w:fldCharType="end"/>
            </w:r>
          </w:hyperlink>
        </w:p>
        <w:p w14:paraId="7F3924C1" w14:textId="7BF1EE6F" w:rsidR="002A351A" w:rsidRDefault="002A351A">
          <w:pPr>
            <w:pStyle w:val="TOC3"/>
            <w:tabs>
              <w:tab w:val="right" w:leader="dot" w:pos="9016"/>
            </w:tabs>
            <w:rPr>
              <w:rFonts w:eastAsiaTheme="minorEastAsia"/>
              <w:noProof/>
              <w:lang w:eastAsia="en-GB"/>
            </w:rPr>
          </w:pPr>
          <w:hyperlink w:anchor="_Toc225192712" w:history="1">
            <w:r w:rsidRPr="00C36761">
              <w:rPr>
                <w:rStyle w:val="Hyperlink"/>
                <w:rFonts w:ascii="Arial" w:hAnsi="Arial" w:cs="Arial"/>
                <w:b/>
                <w:bCs/>
                <w:noProof/>
              </w:rPr>
              <w:t>Why is record keeping important in Health &amp; Social Care</w:t>
            </w:r>
            <w:r>
              <w:rPr>
                <w:noProof/>
                <w:webHidden/>
              </w:rPr>
              <w:tab/>
            </w:r>
            <w:r>
              <w:rPr>
                <w:noProof/>
                <w:webHidden/>
              </w:rPr>
              <w:fldChar w:fldCharType="begin"/>
            </w:r>
            <w:r>
              <w:rPr>
                <w:noProof/>
                <w:webHidden/>
              </w:rPr>
              <w:instrText xml:space="preserve"> PAGEREF _Toc225192712 \h </w:instrText>
            </w:r>
            <w:r>
              <w:rPr>
                <w:noProof/>
                <w:webHidden/>
              </w:rPr>
            </w:r>
            <w:r>
              <w:rPr>
                <w:noProof/>
                <w:webHidden/>
              </w:rPr>
              <w:fldChar w:fldCharType="separate"/>
            </w:r>
            <w:r>
              <w:rPr>
                <w:noProof/>
                <w:webHidden/>
              </w:rPr>
              <w:t>5</w:t>
            </w:r>
            <w:r>
              <w:rPr>
                <w:noProof/>
                <w:webHidden/>
              </w:rPr>
              <w:fldChar w:fldCharType="end"/>
            </w:r>
          </w:hyperlink>
        </w:p>
        <w:p w14:paraId="4E43F108" w14:textId="589DFBC1" w:rsidR="002A351A" w:rsidRDefault="002A351A">
          <w:pPr>
            <w:pStyle w:val="TOC3"/>
            <w:tabs>
              <w:tab w:val="right" w:leader="dot" w:pos="9016"/>
            </w:tabs>
            <w:rPr>
              <w:rFonts w:eastAsiaTheme="minorEastAsia"/>
              <w:noProof/>
              <w:lang w:eastAsia="en-GB"/>
            </w:rPr>
          </w:pPr>
          <w:hyperlink w:anchor="_Toc225192713" w:history="1">
            <w:r w:rsidRPr="00C36761">
              <w:rPr>
                <w:rStyle w:val="Hyperlink"/>
                <w:rFonts w:ascii="Arial" w:hAnsi="Arial" w:cs="Arial"/>
                <w:b/>
                <w:bCs/>
                <w:noProof/>
              </w:rPr>
              <w:t>The significance of collaborative teamwork among healthcare professionals</w:t>
            </w:r>
            <w:r>
              <w:rPr>
                <w:noProof/>
                <w:webHidden/>
              </w:rPr>
              <w:tab/>
            </w:r>
            <w:r>
              <w:rPr>
                <w:noProof/>
                <w:webHidden/>
              </w:rPr>
              <w:fldChar w:fldCharType="begin"/>
            </w:r>
            <w:r>
              <w:rPr>
                <w:noProof/>
                <w:webHidden/>
              </w:rPr>
              <w:instrText xml:space="preserve"> PAGEREF _Toc225192713 \h </w:instrText>
            </w:r>
            <w:r>
              <w:rPr>
                <w:noProof/>
                <w:webHidden/>
              </w:rPr>
            </w:r>
            <w:r>
              <w:rPr>
                <w:noProof/>
                <w:webHidden/>
              </w:rPr>
              <w:fldChar w:fldCharType="separate"/>
            </w:r>
            <w:r>
              <w:rPr>
                <w:noProof/>
                <w:webHidden/>
              </w:rPr>
              <w:t>5</w:t>
            </w:r>
            <w:r>
              <w:rPr>
                <w:noProof/>
                <w:webHidden/>
              </w:rPr>
              <w:fldChar w:fldCharType="end"/>
            </w:r>
          </w:hyperlink>
        </w:p>
        <w:p w14:paraId="1F828F8F" w14:textId="2A0E8E21" w:rsidR="002A351A" w:rsidRDefault="002A351A">
          <w:pPr>
            <w:pStyle w:val="TOC3"/>
            <w:tabs>
              <w:tab w:val="right" w:leader="dot" w:pos="9016"/>
            </w:tabs>
            <w:rPr>
              <w:rFonts w:eastAsiaTheme="minorEastAsia"/>
              <w:noProof/>
              <w:lang w:eastAsia="en-GB"/>
            </w:rPr>
          </w:pPr>
          <w:hyperlink w:anchor="_Toc225192714" w:history="1">
            <w:r w:rsidRPr="00C3676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_Toc225192714 \h </w:instrText>
            </w:r>
            <w:r>
              <w:rPr>
                <w:noProof/>
                <w:webHidden/>
              </w:rPr>
            </w:r>
            <w:r>
              <w:rPr>
                <w:noProof/>
                <w:webHidden/>
              </w:rPr>
              <w:fldChar w:fldCharType="separate"/>
            </w:r>
            <w:r>
              <w:rPr>
                <w:noProof/>
                <w:webHidden/>
              </w:rPr>
              <w:t>7</w:t>
            </w:r>
            <w:r>
              <w:rPr>
                <w:noProof/>
                <w:webHidden/>
              </w:rPr>
              <w:fldChar w:fldCharType="end"/>
            </w:r>
          </w:hyperlink>
        </w:p>
        <w:p w14:paraId="0DF3238F" w14:textId="0B6F5E02" w:rsidR="002A351A" w:rsidRDefault="002A351A">
          <w:r>
            <w:rPr>
              <w:b/>
              <w:bCs/>
            </w:rPr>
            <w:fldChar w:fldCharType="end"/>
          </w:r>
        </w:p>
      </w:sdtContent>
    </w:sdt>
    <w:p w14:paraId="35B780B8" w14:textId="467D8971" w:rsidR="00850F38" w:rsidRPr="0091269B" w:rsidRDefault="00850F38">
      <w:pPr>
        <w:rPr>
          <w:rFonts w:ascii="Arial" w:hAnsi="Arial" w:cs="Arial"/>
          <w:sz w:val="22"/>
          <w:szCs w:val="22"/>
        </w:rPr>
      </w:pPr>
    </w:p>
    <w:p w14:paraId="4F61CF36" w14:textId="77777777" w:rsidR="00D27717" w:rsidRPr="0091269B" w:rsidRDefault="00D27717">
      <w:pPr>
        <w:rPr>
          <w:rFonts w:ascii="Arial" w:hAnsi="Arial" w:cs="Arial"/>
          <w:sz w:val="22"/>
          <w:szCs w:val="22"/>
        </w:rPr>
      </w:pPr>
    </w:p>
    <w:p w14:paraId="0A2F5662" w14:textId="77777777" w:rsidR="00D27717" w:rsidRPr="0091269B" w:rsidRDefault="00D27717">
      <w:pPr>
        <w:rPr>
          <w:rFonts w:ascii="Arial" w:hAnsi="Arial" w:cs="Arial"/>
          <w:sz w:val="22"/>
          <w:szCs w:val="22"/>
        </w:rPr>
      </w:pPr>
    </w:p>
    <w:p w14:paraId="21AABEF0" w14:textId="77777777" w:rsidR="00D27717" w:rsidRPr="0091269B" w:rsidRDefault="00D27717">
      <w:pPr>
        <w:rPr>
          <w:rFonts w:ascii="Arial" w:hAnsi="Arial" w:cs="Arial"/>
          <w:sz w:val="22"/>
          <w:szCs w:val="22"/>
        </w:rPr>
      </w:pPr>
    </w:p>
    <w:p w14:paraId="776D5882" w14:textId="77777777" w:rsidR="00D27717" w:rsidRPr="0091269B" w:rsidRDefault="00D27717">
      <w:pPr>
        <w:rPr>
          <w:rFonts w:ascii="Arial" w:hAnsi="Arial" w:cs="Arial"/>
          <w:sz w:val="22"/>
          <w:szCs w:val="22"/>
        </w:rPr>
      </w:pPr>
    </w:p>
    <w:p w14:paraId="6EE715BD" w14:textId="77777777" w:rsidR="00D27717" w:rsidRPr="0091269B" w:rsidRDefault="00D27717">
      <w:pPr>
        <w:rPr>
          <w:rFonts w:ascii="Arial" w:hAnsi="Arial" w:cs="Arial"/>
          <w:sz w:val="22"/>
          <w:szCs w:val="22"/>
        </w:rPr>
      </w:pPr>
    </w:p>
    <w:p w14:paraId="7478552A" w14:textId="77777777" w:rsidR="00D27717" w:rsidRPr="0091269B" w:rsidRDefault="00D27717">
      <w:pPr>
        <w:rPr>
          <w:rFonts w:ascii="Arial" w:hAnsi="Arial" w:cs="Arial"/>
          <w:sz w:val="22"/>
          <w:szCs w:val="22"/>
        </w:rPr>
      </w:pPr>
    </w:p>
    <w:p w14:paraId="01002DE5" w14:textId="77777777" w:rsidR="00D27717" w:rsidRPr="0091269B" w:rsidRDefault="00D27717">
      <w:pPr>
        <w:rPr>
          <w:rFonts w:ascii="Arial" w:hAnsi="Arial" w:cs="Arial"/>
          <w:sz w:val="22"/>
          <w:szCs w:val="22"/>
        </w:rPr>
      </w:pPr>
    </w:p>
    <w:p w14:paraId="711B72B7" w14:textId="77777777" w:rsidR="00D27717" w:rsidRPr="0091269B" w:rsidRDefault="00D27717">
      <w:pPr>
        <w:rPr>
          <w:rFonts w:ascii="Arial" w:hAnsi="Arial" w:cs="Arial"/>
          <w:sz w:val="22"/>
          <w:szCs w:val="22"/>
        </w:rPr>
      </w:pPr>
    </w:p>
    <w:p w14:paraId="19863E76" w14:textId="77777777" w:rsidR="00D27717" w:rsidRPr="0091269B" w:rsidRDefault="00D27717">
      <w:pPr>
        <w:rPr>
          <w:rFonts w:ascii="Arial" w:hAnsi="Arial" w:cs="Arial"/>
          <w:sz w:val="22"/>
          <w:szCs w:val="22"/>
        </w:rPr>
      </w:pPr>
    </w:p>
    <w:p w14:paraId="60B3DFF1" w14:textId="77777777" w:rsidR="00D27717" w:rsidRPr="0091269B" w:rsidRDefault="00D27717">
      <w:pPr>
        <w:rPr>
          <w:rFonts w:ascii="Arial" w:hAnsi="Arial" w:cs="Arial"/>
          <w:sz w:val="22"/>
          <w:szCs w:val="22"/>
        </w:rPr>
      </w:pPr>
    </w:p>
    <w:p w14:paraId="5A080486" w14:textId="77777777" w:rsidR="00D27717" w:rsidRPr="0091269B" w:rsidRDefault="00D27717">
      <w:pPr>
        <w:rPr>
          <w:rFonts w:ascii="Arial" w:hAnsi="Arial" w:cs="Arial"/>
          <w:sz w:val="22"/>
          <w:szCs w:val="22"/>
        </w:rPr>
      </w:pPr>
    </w:p>
    <w:p w14:paraId="74FA2853" w14:textId="77777777" w:rsidR="00D27717" w:rsidRPr="0091269B" w:rsidRDefault="00D27717">
      <w:pPr>
        <w:rPr>
          <w:rFonts w:ascii="Arial" w:hAnsi="Arial" w:cs="Arial"/>
          <w:sz w:val="22"/>
          <w:szCs w:val="22"/>
        </w:rPr>
      </w:pPr>
    </w:p>
    <w:p w14:paraId="186869AD" w14:textId="77777777" w:rsidR="00D27717" w:rsidRPr="0091269B" w:rsidRDefault="00D27717">
      <w:pPr>
        <w:rPr>
          <w:rFonts w:ascii="Arial" w:hAnsi="Arial" w:cs="Arial"/>
          <w:sz w:val="22"/>
          <w:szCs w:val="22"/>
        </w:rPr>
      </w:pPr>
    </w:p>
    <w:p w14:paraId="64F48AF8" w14:textId="5C4CAA09" w:rsidR="0028744A" w:rsidRDefault="0028744A" w:rsidP="1945D2B3">
      <w:pPr>
        <w:pStyle w:val="Heading1"/>
        <w:rPr>
          <w:rFonts w:ascii="Arial" w:hAnsi="Arial" w:cs="Arial"/>
          <w:sz w:val="22"/>
          <w:szCs w:val="22"/>
        </w:rPr>
      </w:pPr>
    </w:p>
    <w:p w14:paraId="29879060" w14:textId="3E70E4C5" w:rsidR="1945D2B3" w:rsidRDefault="1945D2B3" w:rsidP="1945D2B3"/>
    <w:p w14:paraId="0E911732" w14:textId="39167CE2" w:rsidR="005448C2" w:rsidRDefault="005448C2" w:rsidP="1945D2B3"/>
    <w:p w14:paraId="0565C68B" w14:textId="77777777" w:rsidR="005448C2" w:rsidRDefault="005448C2" w:rsidP="1945D2B3"/>
    <w:p w14:paraId="3FCB3FEC" w14:textId="77777777" w:rsidR="00D86882" w:rsidRDefault="00D86882" w:rsidP="1945D2B3">
      <w:pPr>
        <w:pStyle w:val="Heading1"/>
        <w:spacing w:line="360" w:lineRule="auto"/>
        <w:jc w:val="both"/>
        <w:rPr>
          <w:rFonts w:ascii="Arial" w:hAnsi="Arial" w:cs="Arial"/>
          <w:b/>
          <w:bCs/>
          <w:color w:val="auto"/>
          <w:sz w:val="22"/>
          <w:szCs w:val="22"/>
        </w:rPr>
      </w:pPr>
    </w:p>
    <w:p w14:paraId="1FCDCAB9" w14:textId="77777777" w:rsidR="00D86882" w:rsidRDefault="00D86882" w:rsidP="00D86882"/>
    <w:p w14:paraId="01109B9C" w14:textId="77777777" w:rsidR="00D86882" w:rsidRPr="00D86882" w:rsidRDefault="00D86882" w:rsidP="00D86882"/>
    <w:p w14:paraId="1CB977D4" w14:textId="52175A6B" w:rsidR="00196E0B" w:rsidRPr="002A351A" w:rsidRDefault="79CD5C33" w:rsidP="00BC497C">
      <w:pPr>
        <w:pStyle w:val="Heading1"/>
        <w:rPr>
          <w:rFonts w:ascii="Arial" w:hAnsi="Arial" w:cs="Arial"/>
          <w:b/>
          <w:bCs/>
          <w:color w:val="auto"/>
          <w:sz w:val="22"/>
          <w:szCs w:val="22"/>
        </w:rPr>
      </w:pPr>
      <w:bookmarkStart w:id="0" w:name="_Toc225192709"/>
      <w:r w:rsidRPr="002A351A">
        <w:rPr>
          <w:rFonts w:ascii="Arial" w:hAnsi="Arial" w:cs="Arial"/>
          <w:b/>
          <w:bCs/>
          <w:color w:val="auto"/>
          <w:sz w:val="22"/>
          <w:szCs w:val="22"/>
        </w:rPr>
        <w:t>I</w:t>
      </w:r>
      <w:r w:rsidR="353324E5" w:rsidRPr="002A351A">
        <w:rPr>
          <w:rFonts w:ascii="Arial" w:hAnsi="Arial" w:cs="Arial"/>
          <w:b/>
          <w:bCs/>
          <w:color w:val="auto"/>
          <w:sz w:val="22"/>
          <w:szCs w:val="22"/>
        </w:rPr>
        <w:t>ntroduction</w:t>
      </w:r>
      <w:bookmarkEnd w:id="0"/>
      <w:r w:rsidR="353324E5" w:rsidRPr="002A351A">
        <w:rPr>
          <w:rFonts w:ascii="Arial" w:hAnsi="Arial" w:cs="Arial"/>
          <w:b/>
          <w:bCs/>
          <w:color w:val="auto"/>
          <w:sz w:val="22"/>
          <w:szCs w:val="22"/>
        </w:rPr>
        <w:t> </w:t>
      </w:r>
    </w:p>
    <w:p w14:paraId="1236CDB8" w14:textId="68E47C49" w:rsidR="00196E0B" w:rsidRPr="00196E0B" w:rsidRDefault="353324E5" w:rsidP="1945D2B3">
      <w:pPr>
        <w:spacing w:line="360" w:lineRule="auto"/>
        <w:jc w:val="both"/>
        <w:rPr>
          <w:rFonts w:ascii="Arial" w:hAnsi="Arial" w:cs="Arial"/>
          <w:sz w:val="22"/>
          <w:szCs w:val="22"/>
        </w:rPr>
      </w:pPr>
      <w:r w:rsidRPr="1945D2B3">
        <w:rPr>
          <w:rFonts w:ascii="Arial" w:hAnsi="Arial" w:cs="Arial"/>
          <w:sz w:val="22"/>
          <w:szCs w:val="22"/>
        </w:rPr>
        <w:t xml:space="preserve">This study examines the difficulty of providing comprehensive care for Mr. Ahmed, a 68-year-old stroke survivor who was recently discharged from the hospital. Along with frequent visits from district nurses and a speech-language </w:t>
      </w:r>
      <w:r w:rsidR="154D7916" w:rsidRPr="1945D2B3">
        <w:rPr>
          <w:rFonts w:ascii="Arial" w:hAnsi="Arial" w:cs="Arial"/>
          <w:sz w:val="22"/>
          <w:szCs w:val="22"/>
        </w:rPr>
        <w:t>therapist</w:t>
      </w:r>
      <w:r w:rsidRPr="1945D2B3">
        <w:rPr>
          <w:rFonts w:ascii="Arial" w:hAnsi="Arial" w:cs="Arial"/>
          <w:sz w:val="22"/>
          <w:szCs w:val="22"/>
        </w:rPr>
        <w:t xml:space="preserve">, Mr. Ahmed, who lives with his wife, receives vital assistance from a domiciliary care organization. Mr Ahmed's first language is Bengali, and he has limited </w:t>
      </w:r>
      <w:r w:rsidR="218877A2" w:rsidRPr="1945D2B3">
        <w:rPr>
          <w:rFonts w:ascii="Arial" w:hAnsi="Arial" w:cs="Arial"/>
          <w:sz w:val="22"/>
          <w:szCs w:val="22"/>
        </w:rPr>
        <w:t>English skil</w:t>
      </w:r>
      <w:r w:rsidR="1F3C4D27" w:rsidRPr="1945D2B3">
        <w:rPr>
          <w:rFonts w:ascii="Arial" w:hAnsi="Arial" w:cs="Arial"/>
          <w:sz w:val="22"/>
          <w:szCs w:val="22"/>
        </w:rPr>
        <w:t>ls</w:t>
      </w:r>
      <w:r w:rsidRPr="1945D2B3">
        <w:rPr>
          <w:rFonts w:ascii="Arial" w:hAnsi="Arial" w:cs="Arial"/>
          <w:sz w:val="22"/>
          <w:szCs w:val="22"/>
        </w:rPr>
        <w:t>, therefore efficient communication is crucial. </w:t>
      </w:r>
    </w:p>
    <w:p w14:paraId="5B7ECD2E" w14:textId="77777777" w:rsidR="00196E0B" w:rsidRPr="00196E0B" w:rsidRDefault="353324E5" w:rsidP="1945D2B3">
      <w:pPr>
        <w:spacing w:line="360" w:lineRule="auto"/>
        <w:jc w:val="both"/>
        <w:rPr>
          <w:rFonts w:ascii="Arial" w:hAnsi="Arial" w:cs="Arial"/>
          <w:sz w:val="22"/>
          <w:szCs w:val="22"/>
        </w:rPr>
      </w:pPr>
      <w:r w:rsidRPr="1945D2B3">
        <w:rPr>
          <w:rFonts w:ascii="Arial" w:hAnsi="Arial" w:cs="Arial"/>
          <w:sz w:val="22"/>
          <w:szCs w:val="22"/>
        </w:rPr>
        <w:t>The report will explore three aspects of Mr Ahmed's care; (a) consider the importance of effective communication, (b) the importance of good administrative skills, and (c) the significance of collaborative teamwork among healthcare professionals. Through an analysis of these components, this report seeks to identify ways for improving the quality of care given to Mr. Ahmed and to highlight excellent practices. </w:t>
      </w:r>
    </w:p>
    <w:p w14:paraId="0B0EAF64" w14:textId="4A04C79D" w:rsidR="007D39A5" w:rsidRDefault="353324E5" w:rsidP="1945D2B3">
      <w:pPr>
        <w:spacing w:line="360" w:lineRule="auto"/>
        <w:jc w:val="both"/>
        <w:rPr>
          <w:rFonts w:ascii="Arial" w:hAnsi="Arial" w:cs="Arial"/>
          <w:sz w:val="22"/>
          <w:szCs w:val="22"/>
        </w:rPr>
      </w:pPr>
      <w:r w:rsidRPr="1945D2B3">
        <w:rPr>
          <w:rFonts w:ascii="Arial" w:hAnsi="Arial" w:cs="Arial"/>
          <w:sz w:val="22"/>
          <w:szCs w:val="22"/>
        </w:rPr>
        <w:t>Additionally, this research will make use of pertinent laws including the Data Protection Act 2018 and the Equality Act 2010, as well as important policy frameworks in the health and social care industry. The ultimate objective is to offer information that can enhance Mr. Ahmed's treatment and help those in comparable circumstances get better results. </w:t>
      </w:r>
    </w:p>
    <w:p w14:paraId="3B5DA60A" w14:textId="77777777" w:rsidR="005448C2" w:rsidRDefault="005448C2" w:rsidP="1945D2B3">
      <w:pPr>
        <w:spacing w:line="360" w:lineRule="auto"/>
        <w:jc w:val="both"/>
        <w:rPr>
          <w:rFonts w:ascii="Arial" w:hAnsi="Arial" w:cs="Arial"/>
          <w:sz w:val="22"/>
          <w:szCs w:val="22"/>
        </w:rPr>
      </w:pPr>
    </w:p>
    <w:p w14:paraId="26DAD58C" w14:textId="77777777" w:rsidR="005448C2" w:rsidRDefault="005448C2" w:rsidP="1945D2B3">
      <w:pPr>
        <w:spacing w:line="360" w:lineRule="auto"/>
        <w:jc w:val="both"/>
        <w:rPr>
          <w:rFonts w:ascii="Arial" w:hAnsi="Arial" w:cs="Arial"/>
          <w:sz w:val="22"/>
          <w:szCs w:val="22"/>
        </w:rPr>
      </w:pPr>
    </w:p>
    <w:p w14:paraId="77410E1A" w14:textId="77777777" w:rsidR="005448C2" w:rsidRDefault="005448C2" w:rsidP="1945D2B3">
      <w:pPr>
        <w:spacing w:line="360" w:lineRule="auto"/>
        <w:jc w:val="both"/>
        <w:rPr>
          <w:rFonts w:ascii="Arial" w:hAnsi="Arial" w:cs="Arial"/>
          <w:sz w:val="22"/>
          <w:szCs w:val="22"/>
        </w:rPr>
      </w:pPr>
    </w:p>
    <w:p w14:paraId="0D85C2EB" w14:textId="77777777" w:rsidR="005448C2" w:rsidRDefault="005448C2" w:rsidP="1945D2B3">
      <w:pPr>
        <w:spacing w:line="360" w:lineRule="auto"/>
        <w:jc w:val="both"/>
        <w:rPr>
          <w:rFonts w:ascii="Arial" w:hAnsi="Arial" w:cs="Arial"/>
          <w:sz w:val="22"/>
          <w:szCs w:val="22"/>
        </w:rPr>
      </w:pPr>
    </w:p>
    <w:p w14:paraId="380322CD" w14:textId="77777777" w:rsidR="005448C2" w:rsidRDefault="005448C2" w:rsidP="1945D2B3">
      <w:pPr>
        <w:spacing w:line="360" w:lineRule="auto"/>
        <w:jc w:val="both"/>
        <w:rPr>
          <w:rFonts w:ascii="Arial" w:hAnsi="Arial" w:cs="Arial"/>
          <w:sz w:val="22"/>
          <w:szCs w:val="22"/>
        </w:rPr>
      </w:pPr>
    </w:p>
    <w:p w14:paraId="1A36EA17" w14:textId="77777777" w:rsidR="005448C2" w:rsidRDefault="005448C2" w:rsidP="1945D2B3">
      <w:pPr>
        <w:spacing w:line="360" w:lineRule="auto"/>
        <w:jc w:val="both"/>
        <w:rPr>
          <w:rFonts w:ascii="Arial" w:hAnsi="Arial" w:cs="Arial"/>
          <w:sz w:val="22"/>
          <w:szCs w:val="22"/>
        </w:rPr>
      </w:pPr>
    </w:p>
    <w:p w14:paraId="0E02CA0D" w14:textId="77777777" w:rsidR="005448C2" w:rsidRDefault="005448C2" w:rsidP="1945D2B3">
      <w:pPr>
        <w:spacing w:line="360" w:lineRule="auto"/>
        <w:jc w:val="both"/>
        <w:rPr>
          <w:rFonts w:ascii="Arial" w:hAnsi="Arial" w:cs="Arial"/>
          <w:sz w:val="22"/>
          <w:szCs w:val="22"/>
        </w:rPr>
      </w:pPr>
    </w:p>
    <w:p w14:paraId="61BF19CD" w14:textId="77777777" w:rsidR="005448C2" w:rsidRDefault="005448C2" w:rsidP="1945D2B3">
      <w:pPr>
        <w:spacing w:line="360" w:lineRule="auto"/>
        <w:jc w:val="both"/>
        <w:rPr>
          <w:rFonts w:ascii="Arial" w:hAnsi="Arial" w:cs="Arial"/>
          <w:sz w:val="22"/>
          <w:szCs w:val="22"/>
        </w:rPr>
      </w:pPr>
    </w:p>
    <w:p w14:paraId="6F06E37D" w14:textId="77777777" w:rsidR="005448C2" w:rsidRDefault="005448C2" w:rsidP="1945D2B3">
      <w:pPr>
        <w:spacing w:line="360" w:lineRule="auto"/>
        <w:jc w:val="both"/>
        <w:rPr>
          <w:rFonts w:ascii="Arial" w:hAnsi="Arial" w:cs="Arial"/>
          <w:sz w:val="22"/>
          <w:szCs w:val="22"/>
        </w:rPr>
      </w:pPr>
    </w:p>
    <w:p w14:paraId="47A3A2DB" w14:textId="77777777" w:rsidR="005448C2" w:rsidRDefault="005448C2" w:rsidP="1945D2B3">
      <w:pPr>
        <w:spacing w:line="360" w:lineRule="auto"/>
        <w:jc w:val="both"/>
        <w:rPr>
          <w:rFonts w:ascii="Arial" w:hAnsi="Arial" w:cs="Arial"/>
          <w:sz w:val="22"/>
          <w:szCs w:val="22"/>
        </w:rPr>
      </w:pPr>
    </w:p>
    <w:p w14:paraId="2D157825" w14:textId="77777777" w:rsidR="005448C2" w:rsidRDefault="005448C2" w:rsidP="1945D2B3">
      <w:pPr>
        <w:spacing w:line="360" w:lineRule="auto"/>
        <w:jc w:val="both"/>
        <w:rPr>
          <w:rFonts w:ascii="Arial" w:hAnsi="Arial" w:cs="Arial"/>
          <w:sz w:val="22"/>
          <w:szCs w:val="22"/>
        </w:rPr>
      </w:pPr>
    </w:p>
    <w:p w14:paraId="6F3832DE" w14:textId="77777777" w:rsidR="005448C2" w:rsidRDefault="005448C2" w:rsidP="1945D2B3">
      <w:pPr>
        <w:spacing w:line="360" w:lineRule="auto"/>
        <w:jc w:val="both"/>
        <w:rPr>
          <w:rFonts w:ascii="Arial" w:hAnsi="Arial" w:cs="Arial"/>
          <w:sz w:val="22"/>
          <w:szCs w:val="22"/>
        </w:rPr>
      </w:pPr>
    </w:p>
    <w:p w14:paraId="72B0E5E5" w14:textId="77777777" w:rsidR="005448C2" w:rsidRDefault="005448C2" w:rsidP="1945D2B3">
      <w:pPr>
        <w:spacing w:line="360" w:lineRule="auto"/>
        <w:jc w:val="both"/>
        <w:rPr>
          <w:rFonts w:ascii="Arial" w:hAnsi="Arial" w:cs="Arial"/>
          <w:sz w:val="22"/>
          <w:szCs w:val="22"/>
        </w:rPr>
      </w:pPr>
    </w:p>
    <w:p w14:paraId="7F5EAFDB" w14:textId="77777777" w:rsidR="005448C2" w:rsidRDefault="005448C2" w:rsidP="1945D2B3">
      <w:pPr>
        <w:spacing w:line="360" w:lineRule="auto"/>
        <w:jc w:val="both"/>
        <w:rPr>
          <w:rFonts w:ascii="Arial" w:hAnsi="Arial" w:cs="Arial"/>
          <w:sz w:val="22"/>
          <w:szCs w:val="22"/>
        </w:rPr>
      </w:pPr>
    </w:p>
    <w:p w14:paraId="5F4421E8" w14:textId="00D8750A" w:rsidR="00196E0B" w:rsidRPr="002A351A" w:rsidRDefault="353324E5" w:rsidP="002A351A">
      <w:pPr>
        <w:pStyle w:val="Heading2"/>
        <w:rPr>
          <w:rFonts w:ascii="Arial" w:hAnsi="Arial" w:cs="Arial"/>
          <w:b/>
          <w:bCs/>
          <w:color w:val="auto"/>
          <w:sz w:val="22"/>
          <w:szCs w:val="22"/>
        </w:rPr>
      </w:pPr>
      <w:r w:rsidRPr="002A351A">
        <w:rPr>
          <w:rFonts w:ascii="Arial" w:hAnsi="Arial" w:cs="Arial"/>
          <w:b/>
          <w:bCs/>
          <w:color w:val="auto"/>
          <w:sz w:val="22"/>
          <w:szCs w:val="22"/>
        </w:rPr>
        <w:t> </w:t>
      </w:r>
      <w:bookmarkStart w:id="1" w:name="_Toc225192710"/>
      <w:r w:rsidRPr="002A351A">
        <w:rPr>
          <w:rFonts w:ascii="Arial" w:hAnsi="Arial" w:cs="Arial"/>
          <w:b/>
          <w:bCs/>
          <w:color w:val="auto"/>
          <w:sz w:val="22"/>
          <w:szCs w:val="22"/>
        </w:rPr>
        <w:t>Effective Communication in Mr. Ahmed’s Care</w:t>
      </w:r>
      <w:bookmarkEnd w:id="1"/>
      <w:r w:rsidRPr="002A351A">
        <w:rPr>
          <w:rFonts w:ascii="Arial" w:hAnsi="Arial" w:cs="Arial"/>
          <w:b/>
          <w:bCs/>
          <w:color w:val="auto"/>
          <w:sz w:val="22"/>
          <w:szCs w:val="22"/>
        </w:rPr>
        <w:t> </w:t>
      </w:r>
    </w:p>
    <w:p w14:paraId="463F33D4" w14:textId="534DCEA1" w:rsidR="00196E0B" w:rsidRPr="00196E0B" w:rsidRDefault="353324E5" w:rsidP="1945D2B3">
      <w:pPr>
        <w:spacing w:line="360" w:lineRule="auto"/>
        <w:jc w:val="both"/>
        <w:rPr>
          <w:rFonts w:ascii="Arial" w:hAnsi="Arial" w:cs="Arial"/>
          <w:sz w:val="22"/>
          <w:szCs w:val="22"/>
        </w:rPr>
      </w:pPr>
      <w:r w:rsidRPr="1945D2B3">
        <w:rPr>
          <w:rFonts w:ascii="Arial" w:hAnsi="Arial" w:cs="Arial"/>
          <w:sz w:val="22"/>
          <w:szCs w:val="22"/>
        </w:rPr>
        <w:t>Effective communication has been an essential pillar for the success of software development teams, especially in the Global Software Development (Miguel et al., 2025). There may occasionally be obstacles to communication for both you and other people, and it will be your responsibility to figure out how to get past them while encouraging others to do the same. Information governance and interorganisational information exchange procedures require more attention as integrated service offering grows. Information exchange between local groups is becoming increasingly important, according to government policy (Skills for Care, 2026). Given Mr. Ahmed's linguistic requirements and recent health issues, effective communication is essential to his treatment. Communication techniques must put Mr. Ahmed's comprehension and involvement first due to his weak English skills. According to the Berlo’s Model of Communication, the individual elements that impact whether a message succeeds or fails by breaking communication down into four important components: the Source, Message, Channel, and Receiver (Journalism University, 2026). In Mr Ahmed case understanding can be improved by using the Berlo’s Model of Communication. This paradigm acknowledges that communication is a dynamic, two-way process and places emphasis on sending and receiving signals simultaneously. This entails actively listening to Mr. Ahmed's nonverbal and spoken clues, asking clarifying questions, and making sure that he understands.  </w:t>
      </w:r>
    </w:p>
    <w:p w14:paraId="01B423E9" w14:textId="641737FE" w:rsidR="00196E0B" w:rsidRPr="00196E0B" w:rsidRDefault="353324E5" w:rsidP="1945D2B3">
      <w:pPr>
        <w:spacing w:line="360" w:lineRule="auto"/>
        <w:jc w:val="both"/>
        <w:rPr>
          <w:rFonts w:ascii="Arial" w:hAnsi="Arial" w:cs="Arial"/>
          <w:sz w:val="22"/>
          <w:szCs w:val="22"/>
        </w:rPr>
      </w:pPr>
      <w:r w:rsidRPr="1945D2B3">
        <w:rPr>
          <w:rFonts w:ascii="Arial" w:hAnsi="Arial" w:cs="Arial"/>
          <w:sz w:val="22"/>
          <w:szCs w:val="22"/>
        </w:rPr>
        <w:t>Challenges in communication may arise from diverse background of healthcare providers who are involved in Mr Ahmed care. This acknowledges that linguistic and cultural differences can influence how messages are understood, necessitating cultural sensitivity and adaptation. According to Care Quality Commission (2026)</w:t>
      </w:r>
      <w:r w:rsidR="163F7B0A" w:rsidRPr="1945D2B3">
        <w:rPr>
          <w:rFonts w:ascii="Arial" w:eastAsia="Aptos" w:hAnsi="Arial" w:cs="Arial"/>
          <w:sz w:val="22"/>
          <w:szCs w:val="22"/>
        </w:rPr>
        <w:t xml:space="preserve"> A crucial element of person-centred care is understanding and successfully engaging with people from various cultural origins.</w:t>
      </w:r>
      <w:r w:rsidRPr="1945D2B3">
        <w:rPr>
          <w:rFonts w:ascii="Arial" w:hAnsi="Arial" w:cs="Arial"/>
          <w:sz w:val="22"/>
          <w:szCs w:val="22"/>
        </w:rPr>
        <w:t> To overcome this, establishing standardized communication would be beneficial. The protocol such as visual aids and as well as clear, basic language, can all help Mr Ahmed understanding. Communication should be patient and well adapted to Mr Ahmed's cognitive and emotional state following the stroke that he had suffered. According to the </w:t>
      </w:r>
      <w:proofErr w:type="spellStart"/>
      <w:r w:rsidRPr="1945D2B3">
        <w:rPr>
          <w:rFonts w:ascii="Arial" w:hAnsi="Arial" w:cs="Arial"/>
          <w:sz w:val="22"/>
          <w:szCs w:val="22"/>
        </w:rPr>
        <w:t>Sharkiya</w:t>
      </w:r>
      <w:proofErr w:type="spellEnd"/>
      <w:r w:rsidR="794C5910" w:rsidRPr="1945D2B3">
        <w:rPr>
          <w:rFonts w:ascii="Arial" w:hAnsi="Arial" w:cs="Arial"/>
          <w:sz w:val="22"/>
          <w:szCs w:val="22"/>
        </w:rPr>
        <w:t xml:space="preserve"> </w:t>
      </w:r>
      <w:r w:rsidR="4F08FAAD" w:rsidRPr="1945D2B3">
        <w:rPr>
          <w:rFonts w:ascii="Arial" w:hAnsi="Arial" w:cs="Arial"/>
          <w:sz w:val="22"/>
          <w:szCs w:val="22"/>
        </w:rPr>
        <w:t>(</w:t>
      </w:r>
      <w:r w:rsidRPr="1945D2B3">
        <w:rPr>
          <w:rFonts w:ascii="Arial" w:hAnsi="Arial" w:cs="Arial"/>
          <w:sz w:val="22"/>
          <w:szCs w:val="22"/>
        </w:rPr>
        <w:t>2023) stated that a key component of high-quality healthcare is effective communication and without effective communication healthcare professionals won't be able to fosters therapeutic relationships with patients, which could improve patient-centred outcomes.  </w:t>
      </w:r>
    </w:p>
    <w:p w14:paraId="76D25797" w14:textId="5084CDCC" w:rsidR="00196E0B" w:rsidRPr="00196E0B" w:rsidRDefault="353324E5" w:rsidP="1945D2B3">
      <w:pPr>
        <w:spacing w:line="360" w:lineRule="auto"/>
        <w:jc w:val="both"/>
        <w:rPr>
          <w:rFonts w:ascii="Arial" w:hAnsi="Arial" w:cs="Arial"/>
          <w:sz w:val="22"/>
          <w:szCs w:val="22"/>
        </w:rPr>
      </w:pPr>
      <w:r w:rsidRPr="1945D2B3">
        <w:rPr>
          <w:rFonts w:ascii="Arial" w:hAnsi="Arial" w:cs="Arial"/>
          <w:sz w:val="22"/>
          <w:szCs w:val="22"/>
        </w:rPr>
        <w:t>Additionally, providing personnel with cultural competency training can improve their capacity to interact with patients from diverse backgrounds. </w:t>
      </w:r>
      <w:r w:rsidR="693D6A0B" w:rsidRPr="1945D2B3">
        <w:rPr>
          <w:rFonts w:ascii="Arial" w:eastAsia="Aptos" w:hAnsi="Arial" w:cs="Arial"/>
          <w:sz w:val="22"/>
          <w:szCs w:val="22"/>
        </w:rPr>
        <w:t xml:space="preserve"> If medical personnel are not culturally competent, they may misinterpret Mr. Ahmed's behaviours, attitudes, or symptoms, which could lead to treatment approaches that are ineffective for his health problems that might go untreated</w:t>
      </w:r>
      <w:r w:rsidRPr="1945D2B3">
        <w:rPr>
          <w:rFonts w:ascii="Arial" w:hAnsi="Arial" w:cs="Arial"/>
          <w:sz w:val="22"/>
          <w:szCs w:val="22"/>
        </w:rPr>
        <w:t> (Skills for Health, 2025). </w:t>
      </w:r>
    </w:p>
    <w:p w14:paraId="7E7733AA" w14:textId="52331D21" w:rsidR="00196E0B" w:rsidRPr="00196E0B" w:rsidRDefault="353324E5" w:rsidP="1945D2B3">
      <w:pPr>
        <w:spacing w:line="360" w:lineRule="auto"/>
        <w:jc w:val="both"/>
        <w:rPr>
          <w:rFonts w:ascii="Arial" w:hAnsi="Arial" w:cs="Arial"/>
          <w:sz w:val="22"/>
          <w:szCs w:val="22"/>
        </w:rPr>
      </w:pPr>
      <w:r w:rsidRPr="1945D2B3">
        <w:rPr>
          <w:rFonts w:ascii="Arial" w:hAnsi="Arial" w:cs="Arial"/>
          <w:sz w:val="22"/>
          <w:szCs w:val="22"/>
        </w:rPr>
        <w:t>People are legally protected from discrimination in the workplace and in society at large by the Equality Act of 2010. The Equality Act of 2010 requires reasonable changes to ensure that services are accessible to everyone, regardless of their linguistic ability. To facilitate effective communication, it’s essential to employ strategies that cater for Mr Ahmed needs. This involves giving materials in Bengali and using expert interpreters throughout difficult discussions to ensure that he comprehends medical terminologies and instructions to also ensure that any form of communication difficulties between the patient and the practitioner can be lessened by working with translators and interpreters (Office for Health Improvement and Disparities,</w:t>
      </w:r>
      <w:r w:rsidR="47D612C8" w:rsidRPr="1945D2B3">
        <w:rPr>
          <w:rFonts w:ascii="Arial" w:hAnsi="Arial" w:cs="Arial"/>
          <w:sz w:val="22"/>
          <w:szCs w:val="22"/>
        </w:rPr>
        <w:t xml:space="preserve"> </w:t>
      </w:r>
      <w:r w:rsidRPr="1945D2B3">
        <w:rPr>
          <w:rFonts w:ascii="Arial" w:hAnsi="Arial" w:cs="Arial"/>
          <w:sz w:val="22"/>
          <w:szCs w:val="22"/>
        </w:rPr>
        <w:t>2021).</w:t>
      </w:r>
      <w:r w:rsidRPr="1945D2B3">
        <w:rPr>
          <w:rFonts w:ascii="Arial" w:hAnsi="Arial" w:cs="Arial"/>
          <w:b/>
          <w:bCs/>
          <w:sz w:val="22"/>
          <w:szCs w:val="22"/>
        </w:rPr>
        <w:t> </w:t>
      </w:r>
      <w:r w:rsidRPr="1945D2B3">
        <w:rPr>
          <w:rFonts w:ascii="Arial" w:hAnsi="Arial" w:cs="Arial"/>
          <w:sz w:val="22"/>
          <w:szCs w:val="22"/>
        </w:rPr>
        <w:t>Family members, particularly Mr Ahmed's wife, play an important role in overcoming communication gaps, she can provide insights into his preferences and concerns, but healthcare personnel must interact directly with Mr Ahmed to preserve his autonomy and dignity. Regular check-ins with both Mr Ahmed and his wife can help clarify any misunderstanding and reinforce their involvement in decision-making. </w:t>
      </w:r>
    </w:p>
    <w:p w14:paraId="3E06029C" w14:textId="77777777" w:rsidR="00196E0B" w:rsidRPr="002A351A" w:rsidRDefault="353324E5" w:rsidP="002A351A">
      <w:pPr>
        <w:pStyle w:val="Heading3"/>
        <w:rPr>
          <w:rFonts w:ascii="Arial" w:hAnsi="Arial" w:cs="Arial"/>
          <w:b/>
          <w:bCs/>
          <w:color w:val="auto"/>
          <w:sz w:val="22"/>
          <w:szCs w:val="22"/>
        </w:rPr>
      </w:pPr>
      <w:bookmarkStart w:id="2" w:name="_Toc225192711"/>
      <w:r w:rsidRPr="002A351A">
        <w:rPr>
          <w:rFonts w:ascii="Arial" w:hAnsi="Arial" w:cs="Arial"/>
          <w:b/>
          <w:bCs/>
          <w:color w:val="auto"/>
          <w:sz w:val="22"/>
          <w:szCs w:val="22"/>
        </w:rPr>
        <w:t>Importance of Good Administrative Skills</w:t>
      </w:r>
      <w:bookmarkEnd w:id="2"/>
      <w:r w:rsidRPr="002A351A">
        <w:rPr>
          <w:rFonts w:ascii="Arial" w:hAnsi="Arial" w:cs="Arial"/>
          <w:b/>
          <w:bCs/>
          <w:color w:val="auto"/>
          <w:sz w:val="22"/>
          <w:szCs w:val="22"/>
        </w:rPr>
        <w:t> </w:t>
      </w:r>
    </w:p>
    <w:p w14:paraId="5907740D" w14:textId="44C50430" w:rsidR="00C91D83" w:rsidRDefault="353324E5" w:rsidP="1945D2B3">
      <w:pPr>
        <w:spacing w:line="360" w:lineRule="auto"/>
        <w:jc w:val="both"/>
        <w:rPr>
          <w:rFonts w:ascii="Arial" w:hAnsi="Arial" w:cs="Arial"/>
          <w:sz w:val="22"/>
          <w:szCs w:val="22"/>
        </w:rPr>
      </w:pPr>
      <w:r w:rsidRPr="1945D2B3">
        <w:rPr>
          <w:rFonts w:ascii="Arial" w:hAnsi="Arial" w:cs="Arial"/>
          <w:sz w:val="22"/>
          <w:szCs w:val="22"/>
        </w:rPr>
        <w:t>Administrative abilities are essential in healthcare settings because they enable the smooth running of patient care procedures. Mr Ahmed's continuity and quality of care rely heavily on good communication skills.</w:t>
      </w:r>
      <w:r w:rsidRPr="1945D2B3">
        <w:rPr>
          <w:rFonts w:ascii="Arial" w:hAnsi="Arial" w:cs="Arial"/>
          <w:b/>
          <w:bCs/>
          <w:sz w:val="22"/>
          <w:szCs w:val="22"/>
        </w:rPr>
        <w:t> </w:t>
      </w:r>
      <w:r w:rsidRPr="1945D2B3">
        <w:rPr>
          <w:rFonts w:ascii="Arial" w:hAnsi="Arial" w:cs="Arial"/>
          <w:sz w:val="22"/>
          <w:szCs w:val="22"/>
        </w:rPr>
        <w:t>According to NHS England 2023 Good patient communication is key, particularly when a patient is waiting for planned care or treatment. In addition to facilitating prompt communication among team members, efficient administrative systems also guarantee that everyone is aware of pertinent information and can efficiently coordinate their work. To enhance the range of responsibilities of an academic clinician educator, administrative skills are a worthwhile investment that must be developed such as using these technologies to set out specific time during administrative hours for project creation (Patel et al., 2023,). Maintaining accurate and complete record-keeping is essential for documenting his treatment plan, medication schedule, and any incidents or changes in his health condition. This entails keeping track of missed appointments, prescription mistakes, and correspondence with family members and other experts. This will allow healthcare providers to make informed decisions about his care. A crucial and essential component of social care is recording. It is essential to providing effective, person-centred care and is not just an administrative responsibility to be completed as soon as possible. Record keeping promotes appropriate care, it is a legal requirement, it also encourages continuity of care with different social healthcare professionals, and it is essential to responsibility for management, service users, inspections and audits (Social care institute for excellence, 2021). </w:t>
      </w:r>
    </w:p>
    <w:p w14:paraId="76DAE57C" w14:textId="77777777" w:rsidR="00196E0B" w:rsidRPr="002A351A" w:rsidRDefault="353324E5" w:rsidP="002A351A">
      <w:pPr>
        <w:pStyle w:val="Heading3"/>
        <w:rPr>
          <w:rFonts w:ascii="Arial" w:hAnsi="Arial" w:cs="Arial"/>
          <w:b/>
          <w:bCs/>
          <w:color w:val="auto"/>
          <w:sz w:val="22"/>
          <w:szCs w:val="22"/>
        </w:rPr>
      </w:pPr>
      <w:bookmarkStart w:id="3" w:name="_Toc225192712"/>
      <w:r w:rsidRPr="002A351A">
        <w:rPr>
          <w:rFonts w:ascii="Arial" w:hAnsi="Arial" w:cs="Arial"/>
          <w:b/>
          <w:bCs/>
          <w:color w:val="auto"/>
          <w:sz w:val="22"/>
          <w:szCs w:val="22"/>
        </w:rPr>
        <w:t>Why is record keeping important in Health &amp; Social Care</w:t>
      </w:r>
      <w:bookmarkEnd w:id="3"/>
      <w:r w:rsidRPr="002A351A">
        <w:rPr>
          <w:rFonts w:ascii="Arial" w:hAnsi="Arial" w:cs="Arial"/>
          <w:b/>
          <w:bCs/>
          <w:color w:val="auto"/>
          <w:sz w:val="22"/>
          <w:szCs w:val="22"/>
        </w:rPr>
        <w:t>  </w:t>
      </w:r>
    </w:p>
    <w:p w14:paraId="46A2BEC2" w14:textId="73CE4215" w:rsidR="00196E0B" w:rsidRPr="00196E0B" w:rsidRDefault="353324E5" w:rsidP="1945D2B3">
      <w:pPr>
        <w:spacing w:line="360" w:lineRule="auto"/>
        <w:jc w:val="both"/>
        <w:rPr>
          <w:rFonts w:ascii="Arial" w:hAnsi="Arial" w:cs="Arial"/>
          <w:sz w:val="22"/>
          <w:szCs w:val="22"/>
        </w:rPr>
      </w:pPr>
      <w:r w:rsidRPr="1945D2B3">
        <w:rPr>
          <w:rFonts w:ascii="Arial" w:hAnsi="Arial" w:cs="Arial"/>
          <w:sz w:val="22"/>
          <w:szCs w:val="22"/>
        </w:rPr>
        <w:t>The General Data Protection Regulation (GDPR) and the Data Protection Act 2018 regulate how personal data, including medical information, is processed. Lawfulness, fairness, transparency, purpose limitation, data minimisation, accuracy, storage limitation, integrity, and secrecy are among the principles.</w:t>
      </w:r>
      <w:r w:rsidR="58E35C8D" w:rsidRPr="1945D2B3">
        <w:rPr>
          <w:rFonts w:ascii="Arial" w:eastAsia="Aptos" w:hAnsi="Arial" w:cs="Arial"/>
          <w:sz w:val="22"/>
          <w:szCs w:val="22"/>
        </w:rPr>
        <w:t xml:space="preserve"> This means that data collection and processing must always have a valid legal basis as defined by data protection legislation, and the CLDC's requirements must also be </w:t>
      </w:r>
      <w:r w:rsidR="35A4DF8D" w:rsidRPr="1945D2B3">
        <w:rPr>
          <w:rFonts w:ascii="Arial" w:eastAsia="Aptos" w:hAnsi="Arial" w:cs="Arial"/>
          <w:sz w:val="22"/>
          <w:szCs w:val="22"/>
        </w:rPr>
        <w:t>met.</w:t>
      </w:r>
      <w:r w:rsidRPr="1945D2B3">
        <w:rPr>
          <w:rFonts w:ascii="Arial" w:hAnsi="Arial" w:cs="Arial"/>
          <w:sz w:val="22"/>
          <w:szCs w:val="22"/>
        </w:rPr>
        <w:t> This means that Mr. Ahmed's data must be processed in a transparent and legal manner, used exclusively for the purpose for which it was created, kept correct and current, stored safely, and accessible only by those who are authorised. Unauthorised disclosures or data breaches must be reported right away. Additionally, before sharing Mr. Ahmed's information with other entities, healthcare providers must get his approval and make sure his privacy is respected.  </w:t>
      </w:r>
    </w:p>
    <w:p w14:paraId="6C7CE3ED" w14:textId="72E7E46F" w:rsidR="00196E0B" w:rsidRPr="00196E0B" w:rsidRDefault="353324E5" w:rsidP="1945D2B3">
      <w:pPr>
        <w:spacing w:line="360" w:lineRule="auto"/>
        <w:jc w:val="both"/>
        <w:rPr>
          <w:rFonts w:ascii="Arial" w:hAnsi="Arial" w:cs="Arial"/>
          <w:sz w:val="22"/>
          <w:szCs w:val="22"/>
        </w:rPr>
      </w:pPr>
      <w:r w:rsidRPr="1945D2B3">
        <w:rPr>
          <w:rFonts w:ascii="Arial" w:hAnsi="Arial" w:cs="Arial"/>
          <w:sz w:val="22"/>
          <w:szCs w:val="22"/>
        </w:rPr>
        <w:t>The NHS Care Record Guarantee for England lays out the guidelines for how patient data is handled inside the NHS, what the patient may do to control it, their right to obtain copies of their data, and how the Data Protection Act 1998 protects it .Guidelines for upholding high standards in record keeping are provided by policy frameworks like the NHS Care Record Guarantee. Following these guidelines contributes to the ethical and lawful management of Mr. Ahmed's data. Frequent audits of record-keeping procedures can reveal areas for development and guarantee that all employees are adhering to set procedures. Strong information governance and data protection procedures are crucial, according to policy frameworks in the health and social care sectors, such as those provided by the Care Quality Commission (CQC) in England (NHS, 2026). </w:t>
      </w:r>
    </w:p>
    <w:p w14:paraId="0E40F7EE" w14:textId="77777777" w:rsidR="00196E0B" w:rsidRPr="002A351A" w:rsidRDefault="353324E5" w:rsidP="002A351A">
      <w:pPr>
        <w:pStyle w:val="Heading3"/>
        <w:rPr>
          <w:rFonts w:ascii="Arial" w:hAnsi="Arial" w:cs="Arial"/>
          <w:b/>
          <w:bCs/>
          <w:color w:val="auto"/>
          <w:sz w:val="22"/>
          <w:szCs w:val="22"/>
        </w:rPr>
      </w:pPr>
      <w:bookmarkStart w:id="4" w:name="_Toc225192713"/>
      <w:r w:rsidRPr="002A351A">
        <w:rPr>
          <w:rFonts w:ascii="Arial" w:hAnsi="Arial" w:cs="Arial"/>
          <w:b/>
          <w:bCs/>
          <w:color w:val="auto"/>
          <w:sz w:val="22"/>
          <w:szCs w:val="22"/>
        </w:rPr>
        <w:t>The significance of collaborative teamwork among healthcare professionals</w:t>
      </w:r>
      <w:bookmarkEnd w:id="4"/>
      <w:r w:rsidRPr="002A351A">
        <w:rPr>
          <w:rFonts w:ascii="Arial" w:hAnsi="Arial" w:cs="Arial"/>
          <w:b/>
          <w:bCs/>
          <w:color w:val="auto"/>
          <w:sz w:val="22"/>
          <w:szCs w:val="22"/>
        </w:rPr>
        <w:t> </w:t>
      </w:r>
    </w:p>
    <w:p w14:paraId="6D74309D" w14:textId="61CD974D" w:rsidR="00D86882" w:rsidRDefault="353324E5" w:rsidP="1945D2B3">
      <w:pPr>
        <w:spacing w:line="360" w:lineRule="auto"/>
        <w:jc w:val="both"/>
        <w:rPr>
          <w:rFonts w:ascii="Arial" w:hAnsi="Arial" w:cs="Arial"/>
          <w:sz w:val="22"/>
          <w:szCs w:val="22"/>
        </w:rPr>
      </w:pPr>
      <w:r w:rsidRPr="1945D2B3">
        <w:rPr>
          <w:rFonts w:ascii="Arial" w:hAnsi="Arial" w:cs="Arial"/>
          <w:sz w:val="22"/>
          <w:szCs w:val="22"/>
        </w:rPr>
        <w:t>To provide Mr. Ahmed with comprehensive treatment, cooperation between the GP, district nurses, domiciliary care workers, and speech and language therapist is essential. Frequent virtual and in-person multidisciplinary team meetings can promote coordinated care planning, communication, and shared decision-making. </w:t>
      </w:r>
      <w:r w:rsidR="24A171DC" w:rsidRPr="1945D2B3">
        <w:rPr>
          <w:rFonts w:ascii="Arial" w:eastAsia="Aptos" w:hAnsi="Arial" w:cs="Arial"/>
          <w:sz w:val="22"/>
          <w:szCs w:val="22"/>
        </w:rPr>
        <w:t xml:space="preserve"> Speaking out, paying close attention, </w:t>
      </w:r>
      <w:r w:rsidR="4CF5D437" w:rsidRPr="1945D2B3">
        <w:rPr>
          <w:rFonts w:ascii="Arial" w:eastAsia="Aptos" w:hAnsi="Arial" w:cs="Arial"/>
          <w:sz w:val="22"/>
          <w:szCs w:val="22"/>
        </w:rPr>
        <w:t>adjusting</w:t>
      </w:r>
      <w:r w:rsidR="24A171DC" w:rsidRPr="1945D2B3">
        <w:rPr>
          <w:rFonts w:ascii="Arial" w:eastAsia="Aptos" w:hAnsi="Arial" w:cs="Arial"/>
          <w:sz w:val="22"/>
          <w:szCs w:val="22"/>
        </w:rPr>
        <w:t xml:space="preserve">, and picking things up fast are all part of the healthcare industry's teamwork protocols </w:t>
      </w:r>
      <w:r w:rsidRPr="1945D2B3">
        <w:rPr>
          <w:rFonts w:ascii="Arial" w:hAnsi="Arial" w:cs="Arial"/>
          <w:sz w:val="22"/>
          <w:szCs w:val="22"/>
        </w:rPr>
        <w:t>(Rosen et al., 2018</w:t>
      </w:r>
      <w:r w:rsidR="698B8849" w:rsidRPr="1945D2B3">
        <w:rPr>
          <w:rFonts w:ascii="Arial" w:hAnsi="Arial" w:cs="Arial"/>
          <w:sz w:val="22"/>
          <w:szCs w:val="22"/>
        </w:rPr>
        <w:t>).</w:t>
      </w:r>
      <w:r w:rsidR="7E31EE9C" w:rsidRPr="1945D2B3">
        <w:rPr>
          <w:rFonts w:ascii="Arial" w:hAnsi="Arial" w:cs="Arial"/>
          <w:sz w:val="22"/>
          <w:szCs w:val="22"/>
        </w:rPr>
        <w:t>). Teamwork</w:t>
      </w:r>
      <w:r w:rsidRPr="1945D2B3">
        <w:rPr>
          <w:rFonts w:ascii="Arial" w:hAnsi="Arial" w:cs="Arial"/>
          <w:sz w:val="22"/>
          <w:szCs w:val="22"/>
        </w:rPr>
        <w:t xml:space="preserve"> and communication can be improved by methods like the team strategies and tools to enhance performance and patient safety framework, which encourages shared mental models, distinct roles and responsibilities, and efficient dispute resolution. This is to ensure that everyone is working towards the same goals. Multi-agency cooperation, however, may encounter difficulties such conflicting professional viewpoints, communication obstacles, and resource limitations. Clear procedures for reporting and resolving issues are necessary, as demonstrated by the incident with the missing house visit. Establishing open channels of communication, creating shared care plans, and offering interprofessional collaboration training are some methods for addressing these obstacles. These areas for overcoming obstacles can also be found through regular audits of the care provided and input from Mr. Ahmed and his family. The interdisciplinary team can guarantee that Mr. Ahmed receives coordinated, person-centred care that is tailored to his specific needs by cultivating a culture of cooperation and respect. </w:t>
      </w:r>
      <w:r w:rsidR="4429BC92" w:rsidRPr="1945D2B3">
        <w:rPr>
          <w:rFonts w:ascii="Arial" w:eastAsia="Aptos" w:hAnsi="Arial" w:cs="Arial"/>
          <w:sz w:val="22"/>
          <w:szCs w:val="22"/>
        </w:rPr>
        <w:t xml:space="preserve"> Multidisciplinary in-hospital teams improve outcomes, lower adverse events, and increase staff and patient satisfaction </w:t>
      </w:r>
      <w:r w:rsidR="2417F967" w:rsidRPr="1945D2B3">
        <w:rPr>
          <w:rFonts w:ascii="Arial" w:hAnsi="Arial" w:cs="Arial"/>
          <w:sz w:val="22"/>
          <w:szCs w:val="22"/>
        </w:rPr>
        <w:t>(</w:t>
      </w:r>
      <w:r w:rsidRPr="1945D2B3">
        <w:rPr>
          <w:rFonts w:ascii="Arial" w:hAnsi="Arial" w:cs="Arial"/>
          <w:sz w:val="22"/>
          <w:szCs w:val="22"/>
        </w:rPr>
        <w:t>Epstein</w:t>
      </w:r>
      <w:r w:rsidR="008D6564" w:rsidRPr="1945D2B3">
        <w:rPr>
          <w:rFonts w:ascii="Arial" w:hAnsi="Arial" w:cs="Arial"/>
          <w:sz w:val="22"/>
          <w:szCs w:val="22"/>
        </w:rPr>
        <w:t>,</w:t>
      </w:r>
      <w:r w:rsidR="2417F967" w:rsidRPr="1945D2B3">
        <w:rPr>
          <w:rFonts w:ascii="Arial" w:hAnsi="Arial" w:cs="Arial"/>
          <w:b/>
          <w:bCs/>
          <w:sz w:val="22"/>
          <w:szCs w:val="22"/>
        </w:rPr>
        <w:t xml:space="preserve"> </w:t>
      </w:r>
      <w:r w:rsidRPr="1945D2B3">
        <w:rPr>
          <w:rFonts w:ascii="Arial" w:hAnsi="Arial" w:cs="Arial"/>
          <w:sz w:val="22"/>
          <w:szCs w:val="22"/>
        </w:rPr>
        <w:t>2014). </w:t>
      </w:r>
    </w:p>
    <w:p w14:paraId="666006E9" w14:textId="66E0B8CD" w:rsidR="00196E0B" w:rsidRPr="002A351A" w:rsidRDefault="00D86882" w:rsidP="002A351A">
      <w:pPr>
        <w:pStyle w:val="Heading3"/>
        <w:rPr>
          <w:rFonts w:ascii="Arial" w:hAnsi="Arial" w:cs="Arial"/>
          <w:b/>
          <w:bCs/>
          <w:sz w:val="22"/>
          <w:szCs w:val="22"/>
        </w:rPr>
      </w:pPr>
      <w:r>
        <w:br w:type="page"/>
      </w:r>
      <w:bookmarkStart w:id="5" w:name="_Toc225192714"/>
      <w:r w:rsidR="353324E5" w:rsidRPr="002A351A">
        <w:rPr>
          <w:rFonts w:ascii="Arial" w:hAnsi="Arial" w:cs="Arial"/>
          <w:b/>
          <w:bCs/>
          <w:color w:val="auto"/>
          <w:sz w:val="22"/>
          <w:szCs w:val="22"/>
        </w:rPr>
        <w:t>Conclusion</w:t>
      </w:r>
      <w:bookmarkEnd w:id="5"/>
      <w:r w:rsidR="353324E5" w:rsidRPr="002A351A">
        <w:rPr>
          <w:rFonts w:ascii="Arial" w:hAnsi="Arial" w:cs="Arial"/>
          <w:b/>
          <w:bCs/>
          <w:color w:val="auto"/>
          <w:sz w:val="22"/>
          <w:szCs w:val="22"/>
        </w:rPr>
        <w:t> </w:t>
      </w:r>
    </w:p>
    <w:p w14:paraId="0CF5F81B" w14:textId="77777777" w:rsidR="00196E0B" w:rsidRPr="00196E0B" w:rsidRDefault="353324E5" w:rsidP="1945D2B3">
      <w:pPr>
        <w:spacing w:line="360" w:lineRule="auto"/>
        <w:jc w:val="both"/>
        <w:rPr>
          <w:rFonts w:ascii="Arial" w:hAnsi="Arial" w:cs="Arial"/>
          <w:sz w:val="22"/>
          <w:szCs w:val="22"/>
        </w:rPr>
      </w:pPr>
      <w:r w:rsidRPr="1945D2B3">
        <w:rPr>
          <w:rFonts w:ascii="Arial" w:hAnsi="Arial" w:cs="Arial"/>
          <w:sz w:val="22"/>
          <w:szCs w:val="22"/>
        </w:rPr>
        <w:t>In conclusion, Mr. Ahmed's all-encompassing care serves as an example of the many opportunities and challenges associated with health and social care. The case emphasises how important it is to communicate clearly and culturally sensitively, particularly when tackling language obstacles. Mr. Ahmed's active involvement in care decisions is encouraged by effective communication, which guarantees that his needs and preferences are appropriately recognised and met. </w:t>
      </w:r>
    </w:p>
    <w:p w14:paraId="7759BED6" w14:textId="4D6CFBED" w:rsidR="00020C24" w:rsidRDefault="353324E5" w:rsidP="1945D2B3">
      <w:pPr>
        <w:spacing w:line="360" w:lineRule="auto"/>
        <w:jc w:val="both"/>
        <w:rPr>
          <w:rFonts w:ascii="Arial" w:eastAsia="Aptos" w:hAnsi="Arial" w:cs="Arial"/>
          <w:sz w:val="22"/>
          <w:szCs w:val="22"/>
        </w:rPr>
      </w:pPr>
      <w:r w:rsidRPr="1945D2B3">
        <w:rPr>
          <w:rFonts w:ascii="Arial" w:hAnsi="Arial" w:cs="Arial"/>
          <w:sz w:val="22"/>
          <w:szCs w:val="22"/>
        </w:rPr>
        <w:t>The quality of care is further improved by teamwork, which involves cooperation amongst different healthcare workers. This cooperative strategy creates a nurturing atmosphere that enables Mr. Ahmed to meet his health objectives. In the end, Mr. Ahmed's care shows that delivering efficient and kind medical care </w:t>
      </w:r>
      <w:r w:rsidR="34A5A5FF" w:rsidRPr="1945D2B3">
        <w:rPr>
          <w:rFonts w:ascii="Arial" w:hAnsi="Arial" w:cs="Arial"/>
          <w:sz w:val="22"/>
          <w:szCs w:val="22"/>
        </w:rPr>
        <w:t xml:space="preserve">necessitates is </w:t>
      </w:r>
      <w:r w:rsidRPr="1945D2B3">
        <w:rPr>
          <w:rFonts w:ascii="Arial" w:hAnsi="Arial" w:cs="Arial"/>
          <w:sz w:val="22"/>
          <w:szCs w:val="22"/>
        </w:rPr>
        <w:t>a dedication to continuous training, patient-centred care, and improvement. </w:t>
      </w:r>
      <w:r w:rsidR="7DD808C7" w:rsidRPr="1945D2B3">
        <w:rPr>
          <w:rFonts w:ascii="Arial" w:eastAsia="Aptos" w:hAnsi="Arial" w:cs="Arial"/>
          <w:sz w:val="22"/>
          <w:szCs w:val="22"/>
        </w:rPr>
        <w:t xml:space="preserve"> This case study showed how healthcare professionals can greatly enhance people's lives by emphasising communication skills, administrative efficacy, and teamwork. This indicates that these abilities are crucial and will guarantee that patients will have better health outcomes and an overall improved quality of life.</w:t>
      </w:r>
    </w:p>
    <w:p w14:paraId="5FFB573A" w14:textId="7F91A2B4" w:rsidR="00196E0B" w:rsidRPr="00196E0B" w:rsidRDefault="00020C24" w:rsidP="1945D2B3">
      <w:pPr>
        <w:spacing w:line="360" w:lineRule="auto"/>
        <w:jc w:val="both"/>
        <w:rPr>
          <w:rFonts w:ascii="Arial" w:hAnsi="Arial" w:cs="Arial"/>
          <w:sz w:val="22"/>
          <w:szCs w:val="22"/>
        </w:rPr>
      </w:pPr>
      <w:r w:rsidRPr="1945D2B3">
        <w:rPr>
          <w:rFonts w:ascii="Arial" w:hAnsi="Arial" w:cs="Arial"/>
          <w:sz w:val="22"/>
          <w:szCs w:val="22"/>
        </w:rPr>
        <w:br w:type="page"/>
      </w:r>
      <w:r w:rsidR="353324E5" w:rsidRPr="1945D2B3">
        <w:rPr>
          <w:rFonts w:ascii="Arial" w:hAnsi="Arial" w:cs="Arial"/>
          <w:b/>
          <w:bCs/>
          <w:sz w:val="22"/>
          <w:szCs w:val="22"/>
        </w:rPr>
        <w:t>References</w:t>
      </w:r>
      <w:r w:rsidR="353324E5" w:rsidRPr="1945D2B3">
        <w:rPr>
          <w:rFonts w:ascii="Arial" w:hAnsi="Arial" w:cs="Arial"/>
          <w:sz w:val="22"/>
          <w:szCs w:val="22"/>
        </w:rPr>
        <w:t> </w:t>
      </w:r>
    </w:p>
    <w:p w14:paraId="484E429B"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Care Quality Commission (2026) </w:t>
      </w:r>
      <w:r w:rsidRPr="1945D2B3">
        <w:rPr>
          <w:rFonts w:ascii="Arial" w:hAnsi="Arial" w:cs="Arial"/>
          <w:i/>
          <w:iCs/>
          <w:sz w:val="22"/>
          <w:szCs w:val="22"/>
        </w:rPr>
        <w:t>Key points about culturally appropriate care. </w:t>
      </w:r>
      <w:r w:rsidRPr="1945D2B3">
        <w:rPr>
          <w:rFonts w:ascii="Arial" w:hAnsi="Arial" w:cs="Arial"/>
          <w:sz w:val="22"/>
          <w:szCs w:val="22"/>
        </w:rPr>
        <w:t>Available at: </w:t>
      </w:r>
      <w:hyperlink r:id="rId11">
        <w:r w:rsidRPr="1945D2B3">
          <w:rPr>
            <w:rStyle w:val="Hyperlink"/>
            <w:rFonts w:ascii="Arial" w:hAnsi="Arial" w:cs="Arial"/>
            <w:sz w:val="22"/>
            <w:szCs w:val="22"/>
          </w:rPr>
          <w:t>Key points about culturally appropriate care - Care Quality Commission</w:t>
        </w:r>
      </w:hyperlink>
      <w:r w:rsidRPr="1945D2B3">
        <w:rPr>
          <w:rFonts w:ascii="Arial" w:hAnsi="Arial" w:cs="Arial"/>
          <w:sz w:val="22"/>
          <w:szCs w:val="22"/>
        </w:rPr>
        <w:t> (Accessed: 11 March 2026). </w:t>
      </w:r>
    </w:p>
    <w:p w14:paraId="7D5E1BC8"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Epstein N. E. (2014). Multidisciplinary in-hospital teams improve patient outcomes: A review. </w:t>
      </w:r>
      <w:r w:rsidRPr="1945D2B3">
        <w:rPr>
          <w:rFonts w:ascii="Arial" w:hAnsi="Arial" w:cs="Arial"/>
          <w:i/>
          <w:iCs/>
          <w:sz w:val="22"/>
          <w:szCs w:val="22"/>
        </w:rPr>
        <w:t>Surgical neurology international</w:t>
      </w:r>
      <w:r w:rsidRPr="1945D2B3">
        <w:rPr>
          <w:rFonts w:ascii="Arial" w:hAnsi="Arial" w:cs="Arial"/>
          <w:sz w:val="22"/>
          <w:szCs w:val="22"/>
        </w:rPr>
        <w:t>, </w:t>
      </w:r>
      <w:r w:rsidRPr="1945D2B3">
        <w:rPr>
          <w:rFonts w:ascii="Arial" w:hAnsi="Arial" w:cs="Arial"/>
          <w:i/>
          <w:iCs/>
          <w:sz w:val="22"/>
          <w:szCs w:val="22"/>
        </w:rPr>
        <w:t>5</w:t>
      </w:r>
      <w:r w:rsidRPr="1945D2B3">
        <w:rPr>
          <w:rFonts w:ascii="Arial" w:hAnsi="Arial" w:cs="Arial"/>
          <w:sz w:val="22"/>
          <w:szCs w:val="22"/>
        </w:rPr>
        <w:t>(</w:t>
      </w:r>
      <w:proofErr w:type="spellStart"/>
      <w:r w:rsidRPr="1945D2B3">
        <w:rPr>
          <w:rFonts w:ascii="Arial" w:hAnsi="Arial" w:cs="Arial"/>
          <w:sz w:val="22"/>
          <w:szCs w:val="22"/>
        </w:rPr>
        <w:t>Suppl</w:t>
      </w:r>
      <w:proofErr w:type="spellEnd"/>
      <w:r w:rsidRPr="1945D2B3">
        <w:rPr>
          <w:rFonts w:ascii="Arial" w:hAnsi="Arial" w:cs="Arial"/>
          <w:sz w:val="22"/>
          <w:szCs w:val="22"/>
        </w:rPr>
        <w:t> 7), S295–S303. </w:t>
      </w:r>
      <w:hyperlink r:id="rId12">
        <w:r w:rsidRPr="1945D2B3">
          <w:rPr>
            <w:rStyle w:val="Hyperlink"/>
            <w:rFonts w:ascii="Arial" w:hAnsi="Arial" w:cs="Arial"/>
            <w:sz w:val="22"/>
            <w:szCs w:val="22"/>
          </w:rPr>
          <w:t>https://doi.org/10.4103/2152-7806.139612</w:t>
        </w:r>
      </w:hyperlink>
      <w:r w:rsidRPr="1945D2B3">
        <w:rPr>
          <w:rFonts w:ascii="Arial" w:hAnsi="Arial" w:cs="Arial"/>
          <w:sz w:val="22"/>
          <w:szCs w:val="22"/>
        </w:rPr>
        <w:t> </w:t>
      </w:r>
    </w:p>
    <w:p w14:paraId="1E5CC1F1"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Guidance (2015) Equality Act 2010: </w:t>
      </w:r>
      <w:r w:rsidRPr="1945D2B3">
        <w:rPr>
          <w:rFonts w:ascii="Arial" w:hAnsi="Arial" w:cs="Arial"/>
          <w:i/>
          <w:iCs/>
          <w:sz w:val="22"/>
          <w:szCs w:val="22"/>
        </w:rPr>
        <w:t>Information and guidance on the Equality Act 2010, including age discrimination and public sector Equality Duty</w:t>
      </w:r>
      <w:r w:rsidRPr="1945D2B3">
        <w:rPr>
          <w:rFonts w:ascii="Arial" w:hAnsi="Arial" w:cs="Arial"/>
          <w:b/>
          <w:bCs/>
          <w:i/>
          <w:iCs/>
          <w:sz w:val="22"/>
          <w:szCs w:val="22"/>
        </w:rPr>
        <w:t>. </w:t>
      </w:r>
      <w:r w:rsidRPr="1945D2B3">
        <w:rPr>
          <w:rFonts w:ascii="Arial" w:hAnsi="Arial" w:cs="Arial"/>
          <w:sz w:val="22"/>
          <w:szCs w:val="22"/>
        </w:rPr>
        <w:t>Available at:  </w:t>
      </w:r>
      <w:hyperlink r:id="rId13">
        <w:r w:rsidRPr="1945D2B3">
          <w:rPr>
            <w:rStyle w:val="Hyperlink"/>
            <w:rFonts w:ascii="Arial" w:hAnsi="Arial" w:cs="Arial"/>
            <w:sz w:val="22"/>
            <w:szCs w:val="22"/>
          </w:rPr>
          <w:t>https://www.gov.uk/guidance/equality-act-2010-guidance</w:t>
        </w:r>
      </w:hyperlink>
      <w:r w:rsidRPr="1945D2B3">
        <w:rPr>
          <w:rFonts w:ascii="Arial" w:hAnsi="Arial" w:cs="Arial"/>
          <w:sz w:val="22"/>
          <w:szCs w:val="22"/>
        </w:rPr>
        <w:t> (Accessed: 23 February 2026). </w:t>
      </w:r>
    </w:p>
    <w:p w14:paraId="6788FECF"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Journalism University 2026 Introduction to journalism and mass communication Berlo’s Model of Communication:</w:t>
      </w:r>
      <w:r w:rsidRPr="1945D2B3">
        <w:rPr>
          <w:rFonts w:ascii="Arial" w:hAnsi="Arial" w:cs="Arial"/>
          <w:i/>
          <w:iCs/>
          <w:sz w:val="22"/>
          <w:szCs w:val="22"/>
        </w:rPr>
        <w:t> The Four Pillars of Effective Exchange </w:t>
      </w:r>
      <w:r w:rsidRPr="1945D2B3">
        <w:rPr>
          <w:rFonts w:ascii="Arial" w:hAnsi="Arial" w:cs="Arial"/>
          <w:sz w:val="22"/>
          <w:szCs w:val="22"/>
        </w:rPr>
        <w:t>Available at: </w:t>
      </w:r>
      <w:hyperlink r:id="rId14">
        <w:r w:rsidRPr="1945D2B3">
          <w:rPr>
            <w:rStyle w:val="Hyperlink"/>
            <w:rFonts w:ascii="Arial" w:hAnsi="Arial" w:cs="Arial"/>
            <w:sz w:val="22"/>
            <w:szCs w:val="22"/>
          </w:rPr>
          <w:t>Berlo's Model of Communication: The Four Pillars of Effective Exchange • Journalism University</w:t>
        </w:r>
      </w:hyperlink>
      <w:r w:rsidRPr="1945D2B3">
        <w:rPr>
          <w:rFonts w:ascii="Arial" w:hAnsi="Arial" w:cs="Arial"/>
          <w:sz w:val="22"/>
          <w:szCs w:val="22"/>
        </w:rPr>
        <w:t> (Accessed: 26 February 2026). </w:t>
      </w:r>
    </w:p>
    <w:p w14:paraId="0DA43740" w14:textId="1A214C57" w:rsidR="00196E0B" w:rsidRPr="00196E0B" w:rsidRDefault="6BB9337D" w:rsidP="1945D2B3">
      <w:pPr>
        <w:spacing w:line="360" w:lineRule="auto"/>
        <w:rPr>
          <w:rFonts w:ascii="Arial" w:hAnsi="Arial" w:cs="Arial"/>
          <w:sz w:val="22"/>
          <w:szCs w:val="22"/>
        </w:rPr>
      </w:pPr>
      <w:r w:rsidRPr="1945D2B3">
        <w:rPr>
          <w:rFonts w:ascii="Arial" w:hAnsi="Arial" w:cs="Arial"/>
          <w:sz w:val="22"/>
          <w:szCs w:val="22"/>
        </w:rPr>
        <w:t>Miguel</w:t>
      </w:r>
      <w:r w:rsidR="353324E5" w:rsidRPr="1945D2B3">
        <w:rPr>
          <w:rFonts w:ascii="Arial" w:hAnsi="Arial" w:cs="Arial"/>
          <w:sz w:val="22"/>
          <w:szCs w:val="22"/>
        </w:rPr>
        <w:t xml:space="preserve"> </w:t>
      </w:r>
      <w:r w:rsidR="54ABF14D" w:rsidRPr="1945D2B3">
        <w:rPr>
          <w:rFonts w:ascii="Arial" w:hAnsi="Arial" w:cs="Arial"/>
          <w:sz w:val="22"/>
          <w:szCs w:val="22"/>
        </w:rPr>
        <w:t>Hernández</w:t>
      </w:r>
      <w:r w:rsidR="353324E5" w:rsidRPr="1945D2B3">
        <w:rPr>
          <w:rFonts w:ascii="Arial" w:hAnsi="Arial" w:cs="Arial"/>
          <w:sz w:val="22"/>
          <w:szCs w:val="22"/>
        </w:rPr>
        <w:t xml:space="preserve"> B</w:t>
      </w:r>
      <w:r w:rsidR="7BA0044A" w:rsidRPr="1945D2B3">
        <w:rPr>
          <w:rFonts w:ascii="Arial" w:hAnsi="Arial" w:cs="Arial"/>
          <w:sz w:val="22"/>
          <w:szCs w:val="22"/>
        </w:rPr>
        <w:t>ravo</w:t>
      </w:r>
      <w:r w:rsidR="353324E5" w:rsidRPr="1945D2B3">
        <w:rPr>
          <w:rFonts w:ascii="Arial" w:hAnsi="Arial" w:cs="Arial"/>
          <w:sz w:val="22"/>
          <w:szCs w:val="22"/>
        </w:rPr>
        <w:t xml:space="preserve">, J., </w:t>
      </w:r>
      <w:r w:rsidR="605B824A" w:rsidRPr="1945D2B3">
        <w:rPr>
          <w:rFonts w:ascii="Arial" w:hAnsi="Arial" w:cs="Arial"/>
          <w:sz w:val="22"/>
          <w:szCs w:val="22"/>
        </w:rPr>
        <w:t>Blanca</w:t>
      </w:r>
      <w:r w:rsidR="353324E5" w:rsidRPr="1945D2B3">
        <w:rPr>
          <w:rFonts w:ascii="Arial" w:hAnsi="Arial" w:cs="Arial"/>
          <w:sz w:val="22"/>
          <w:szCs w:val="22"/>
        </w:rPr>
        <w:t xml:space="preserve"> </w:t>
      </w:r>
      <w:r w:rsidR="7F6BDCA1" w:rsidRPr="1945D2B3">
        <w:rPr>
          <w:rFonts w:ascii="Arial" w:hAnsi="Arial" w:cs="Arial"/>
          <w:sz w:val="22"/>
          <w:szCs w:val="22"/>
        </w:rPr>
        <w:t>Dina</w:t>
      </w:r>
      <w:r w:rsidR="353324E5" w:rsidRPr="1945D2B3">
        <w:rPr>
          <w:rFonts w:ascii="Arial" w:hAnsi="Arial" w:cs="Arial"/>
          <w:sz w:val="22"/>
          <w:szCs w:val="22"/>
        </w:rPr>
        <w:t xml:space="preserve">, V.R., </w:t>
      </w:r>
      <w:r w:rsidR="6EA5366F" w:rsidRPr="1945D2B3">
        <w:rPr>
          <w:rFonts w:ascii="Arial" w:hAnsi="Arial" w:cs="Arial"/>
          <w:sz w:val="22"/>
          <w:szCs w:val="22"/>
        </w:rPr>
        <w:t>Salgado</w:t>
      </w:r>
      <w:r w:rsidR="353324E5" w:rsidRPr="1945D2B3">
        <w:rPr>
          <w:rFonts w:ascii="Arial" w:hAnsi="Arial" w:cs="Arial"/>
          <w:sz w:val="22"/>
          <w:szCs w:val="22"/>
        </w:rPr>
        <w:t xml:space="preserve">, R.S., </w:t>
      </w:r>
      <w:r w:rsidR="189A391F" w:rsidRPr="1945D2B3">
        <w:rPr>
          <w:rFonts w:ascii="Arial" w:hAnsi="Arial" w:cs="Arial"/>
          <w:sz w:val="22"/>
          <w:szCs w:val="22"/>
        </w:rPr>
        <w:t>González</w:t>
      </w:r>
      <w:r w:rsidR="353324E5" w:rsidRPr="1945D2B3">
        <w:rPr>
          <w:rFonts w:ascii="Arial" w:hAnsi="Arial" w:cs="Arial"/>
          <w:sz w:val="22"/>
          <w:szCs w:val="22"/>
        </w:rPr>
        <w:t xml:space="preserve"> </w:t>
      </w:r>
      <w:r w:rsidR="011D79DC" w:rsidRPr="1945D2B3">
        <w:rPr>
          <w:rFonts w:ascii="Arial" w:hAnsi="Arial" w:cs="Arial"/>
          <w:sz w:val="22"/>
          <w:szCs w:val="22"/>
        </w:rPr>
        <w:t>Serna</w:t>
      </w:r>
      <w:r w:rsidR="353324E5" w:rsidRPr="1945D2B3">
        <w:rPr>
          <w:rFonts w:ascii="Arial" w:hAnsi="Arial" w:cs="Arial"/>
          <w:sz w:val="22"/>
          <w:szCs w:val="22"/>
        </w:rPr>
        <w:t xml:space="preserve">, J.G., </w:t>
      </w:r>
      <w:r w:rsidR="0BB3AD0A" w:rsidRPr="1945D2B3">
        <w:rPr>
          <w:rFonts w:ascii="Arial" w:hAnsi="Arial" w:cs="Arial"/>
          <w:sz w:val="22"/>
          <w:szCs w:val="22"/>
        </w:rPr>
        <w:t>Castro</w:t>
      </w:r>
      <w:r w:rsidR="353324E5" w:rsidRPr="1945D2B3">
        <w:rPr>
          <w:rFonts w:ascii="Arial" w:hAnsi="Arial" w:cs="Arial"/>
          <w:sz w:val="22"/>
          <w:szCs w:val="22"/>
        </w:rPr>
        <w:t xml:space="preserve"> </w:t>
      </w:r>
      <w:r w:rsidR="68D05C67" w:rsidRPr="1945D2B3">
        <w:rPr>
          <w:rFonts w:ascii="Arial" w:hAnsi="Arial" w:cs="Arial"/>
          <w:sz w:val="22"/>
          <w:szCs w:val="22"/>
        </w:rPr>
        <w:t>Sánchez</w:t>
      </w:r>
      <w:r w:rsidR="353324E5" w:rsidRPr="1945D2B3">
        <w:rPr>
          <w:rFonts w:ascii="Arial" w:hAnsi="Arial" w:cs="Arial"/>
          <w:sz w:val="22"/>
          <w:szCs w:val="22"/>
        </w:rPr>
        <w:t xml:space="preserve">, N.A., </w:t>
      </w:r>
      <w:r w:rsidR="264EE3EB" w:rsidRPr="1945D2B3">
        <w:rPr>
          <w:rFonts w:ascii="Arial" w:hAnsi="Arial" w:cs="Arial"/>
          <w:sz w:val="22"/>
          <w:szCs w:val="22"/>
        </w:rPr>
        <w:t>Gómez</w:t>
      </w:r>
      <w:r w:rsidR="353324E5" w:rsidRPr="1945D2B3">
        <w:rPr>
          <w:rFonts w:ascii="Arial" w:hAnsi="Arial" w:cs="Arial"/>
          <w:sz w:val="22"/>
          <w:szCs w:val="22"/>
        </w:rPr>
        <w:t xml:space="preserve"> </w:t>
      </w:r>
      <w:r w:rsidR="3C880D8E" w:rsidRPr="1945D2B3">
        <w:rPr>
          <w:rFonts w:ascii="Arial" w:hAnsi="Arial" w:cs="Arial"/>
          <w:sz w:val="22"/>
          <w:szCs w:val="22"/>
        </w:rPr>
        <w:t>Álvarez</w:t>
      </w:r>
      <w:r w:rsidR="353324E5" w:rsidRPr="1945D2B3">
        <w:rPr>
          <w:rFonts w:ascii="Arial" w:hAnsi="Arial" w:cs="Arial"/>
          <w:sz w:val="22"/>
          <w:szCs w:val="22"/>
        </w:rPr>
        <w:t xml:space="preserve">, M.C. and </w:t>
      </w:r>
      <w:r w:rsidR="448B44B5" w:rsidRPr="1945D2B3">
        <w:rPr>
          <w:rFonts w:ascii="Arial" w:hAnsi="Arial" w:cs="Arial"/>
          <w:sz w:val="22"/>
          <w:szCs w:val="22"/>
        </w:rPr>
        <w:t>Illiana</w:t>
      </w:r>
      <w:r w:rsidR="353324E5" w:rsidRPr="1945D2B3">
        <w:rPr>
          <w:rFonts w:ascii="Arial" w:hAnsi="Arial" w:cs="Arial"/>
          <w:sz w:val="22"/>
          <w:szCs w:val="22"/>
        </w:rPr>
        <w:t xml:space="preserve"> </w:t>
      </w:r>
      <w:r w:rsidR="30334F67" w:rsidRPr="1945D2B3">
        <w:rPr>
          <w:rFonts w:ascii="Arial" w:hAnsi="Arial" w:cs="Arial"/>
          <w:sz w:val="22"/>
          <w:szCs w:val="22"/>
        </w:rPr>
        <w:t>Lizbeth</w:t>
      </w:r>
      <w:r w:rsidR="353324E5" w:rsidRPr="1945D2B3">
        <w:rPr>
          <w:rFonts w:ascii="Arial" w:hAnsi="Arial" w:cs="Arial"/>
          <w:sz w:val="22"/>
          <w:szCs w:val="22"/>
        </w:rPr>
        <w:t xml:space="preserve">, A.L., </w:t>
      </w:r>
      <w:r w:rsidR="7D11ED27" w:rsidRPr="1945D2B3">
        <w:rPr>
          <w:rFonts w:ascii="Arial" w:hAnsi="Arial" w:cs="Arial"/>
          <w:sz w:val="22"/>
          <w:szCs w:val="22"/>
        </w:rPr>
        <w:t>(</w:t>
      </w:r>
      <w:r w:rsidR="353324E5" w:rsidRPr="1945D2B3">
        <w:rPr>
          <w:rFonts w:ascii="Arial" w:hAnsi="Arial" w:cs="Arial"/>
          <w:sz w:val="22"/>
          <w:szCs w:val="22"/>
        </w:rPr>
        <w:t>2025</w:t>
      </w:r>
      <w:r w:rsidR="7D11ED27" w:rsidRPr="1945D2B3">
        <w:rPr>
          <w:rFonts w:ascii="Arial" w:hAnsi="Arial" w:cs="Arial"/>
          <w:sz w:val="22"/>
          <w:szCs w:val="22"/>
        </w:rPr>
        <w:t>)</w:t>
      </w:r>
      <w:r w:rsidR="353324E5" w:rsidRPr="1945D2B3">
        <w:rPr>
          <w:rFonts w:ascii="Arial" w:hAnsi="Arial" w:cs="Arial"/>
          <w:sz w:val="22"/>
          <w:szCs w:val="22"/>
        </w:rPr>
        <w:t>. ‘Application of Berlo's Communication Model to Agile Software Development with Scrum in Distributed Teams’. </w:t>
      </w:r>
      <w:r w:rsidR="353324E5" w:rsidRPr="1945D2B3">
        <w:rPr>
          <w:rFonts w:ascii="Arial" w:hAnsi="Arial" w:cs="Arial"/>
          <w:i/>
          <w:iCs/>
          <w:sz w:val="22"/>
          <w:szCs w:val="22"/>
        </w:rPr>
        <w:t>International Journal of Combinatorial Optimization Problems and Informatics, </w:t>
      </w:r>
      <w:r w:rsidR="353324E5" w:rsidRPr="1945D2B3">
        <w:rPr>
          <w:rFonts w:ascii="Arial" w:hAnsi="Arial" w:cs="Arial"/>
          <w:sz w:val="22"/>
          <w:szCs w:val="22"/>
        </w:rPr>
        <w:t>16(4), pp. 176-193. </w:t>
      </w:r>
    </w:p>
    <w:p w14:paraId="6FE842E0"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NHS Digital (2024)</w:t>
      </w:r>
      <w:r w:rsidRPr="1945D2B3">
        <w:rPr>
          <w:rFonts w:ascii="Arial" w:hAnsi="Arial" w:cs="Arial"/>
          <w:i/>
          <w:iCs/>
          <w:sz w:val="22"/>
          <w:szCs w:val="22"/>
        </w:rPr>
        <w:t> Protecting patient data </w:t>
      </w:r>
      <w:r w:rsidRPr="1945D2B3">
        <w:rPr>
          <w:rFonts w:ascii="Arial" w:hAnsi="Arial" w:cs="Arial"/>
          <w:sz w:val="22"/>
          <w:szCs w:val="22"/>
        </w:rPr>
        <w:t>Available at: </w:t>
      </w:r>
      <w:hyperlink r:id="rId15">
        <w:r w:rsidRPr="1945D2B3">
          <w:rPr>
            <w:rStyle w:val="Hyperlink"/>
            <w:rFonts w:ascii="Arial" w:hAnsi="Arial" w:cs="Arial"/>
            <w:sz w:val="22"/>
            <w:szCs w:val="22"/>
          </w:rPr>
          <w:t>Protecting patient data - NHS England Digital</w:t>
        </w:r>
      </w:hyperlink>
      <w:r w:rsidRPr="1945D2B3">
        <w:rPr>
          <w:rFonts w:ascii="Arial" w:hAnsi="Arial" w:cs="Arial"/>
          <w:b/>
          <w:bCs/>
          <w:sz w:val="22"/>
          <w:szCs w:val="22"/>
        </w:rPr>
        <w:t> </w:t>
      </w:r>
      <w:r w:rsidRPr="1945D2B3">
        <w:rPr>
          <w:rFonts w:ascii="Arial" w:hAnsi="Arial" w:cs="Arial"/>
          <w:sz w:val="22"/>
          <w:szCs w:val="22"/>
        </w:rPr>
        <w:t>(Accessed: 24 February 2026). </w:t>
      </w:r>
    </w:p>
    <w:p w14:paraId="3C5A8728"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NHS England (2023) </w:t>
      </w:r>
      <w:r w:rsidRPr="1945D2B3">
        <w:rPr>
          <w:rFonts w:ascii="Arial" w:hAnsi="Arial" w:cs="Arial"/>
          <w:i/>
          <w:iCs/>
          <w:sz w:val="22"/>
          <w:szCs w:val="22"/>
        </w:rPr>
        <w:t>Good communication with patients waiting for care. </w:t>
      </w:r>
      <w:r w:rsidRPr="1945D2B3">
        <w:rPr>
          <w:rFonts w:ascii="Arial" w:hAnsi="Arial" w:cs="Arial"/>
          <w:sz w:val="22"/>
          <w:szCs w:val="22"/>
        </w:rPr>
        <w:t>Available at </w:t>
      </w:r>
      <w:hyperlink r:id="rId16">
        <w:r w:rsidRPr="1945D2B3">
          <w:rPr>
            <w:rStyle w:val="Hyperlink"/>
            <w:rFonts w:ascii="Arial" w:hAnsi="Arial" w:cs="Arial"/>
            <w:sz w:val="22"/>
            <w:szCs w:val="22"/>
          </w:rPr>
          <w:t>NHS England » Good communication with patients waiting for care</w:t>
        </w:r>
      </w:hyperlink>
      <w:r w:rsidRPr="1945D2B3">
        <w:rPr>
          <w:rFonts w:ascii="Arial" w:hAnsi="Arial" w:cs="Arial"/>
          <w:sz w:val="22"/>
          <w:szCs w:val="22"/>
        </w:rPr>
        <w:t> (Accessed 11 March 2026). </w:t>
      </w:r>
    </w:p>
    <w:p w14:paraId="77FFE611"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NHS (2026) </w:t>
      </w:r>
      <w:r w:rsidRPr="1945D2B3">
        <w:rPr>
          <w:rFonts w:ascii="Arial" w:hAnsi="Arial" w:cs="Arial"/>
          <w:i/>
          <w:iCs/>
          <w:sz w:val="22"/>
          <w:szCs w:val="22"/>
        </w:rPr>
        <w:t>The NHS Care Record Guarantee.</w:t>
      </w:r>
      <w:r w:rsidRPr="1945D2B3">
        <w:rPr>
          <w:rFonts w:ascii="Arial" w:hAnsi="Arial" w:cs="Arial"/>
          <w:b/>
          <w:bCs/>
          <w:i/>
          <w:iCs/>
          <w:sz w:val="22"/>
          <w:szCs w:val="22"/>
        </w:rPr>
        <w:t> </w:t>
      </w:r>
      <w:r w:rsidRPr="1945D2B3">
        <w:rPr>
          <w:rFonts w:ascii="Arial" w:hAnsi="Arial" w:cs="Arial"/>
          <w:sz w:val="22"/>
          <w:szCs w:val="22"/>
        </w:rPr>
        <w:t>Available at:</w:t>
      </w:r>
      <w:r w:rsidRPr="1945D2B3">
        <w:rPr>
          <w:rFonts w:ascii="Arial" w:hAnsi="Arial" w:cs="Arial"/>
          <w:b/>
          <w:bCs/>
          <w:i/>
          <w:iCs/>
          <w:sz w:val="22"/>
          <w:szCs w:val="22"/>
        </w:rPr>
        <w:t> </w:t>
      </w:r>
      <w:hyperlink r:id="rId17">
        <w:r w:rsidRPr="1945D2B3">
          <w:rPr>
            <w:rStyle w:val="Hyperlink"/>
            <w:rFonts w:ascii="Arial" w:hAnsi="Arial" w:cs="Arial"/>
            <w:i/>
            <w:iCs/>
            <w:sz w:val="22"/>
            <w:szCs w:val="22"/>
          </w:rPr>
          <w:t>The NHS Care Record Guarantee - Hazelwood Group Practice</w:t>
        </w:r>
      </w:hyperlink>
      <w:r w:rsidRPr="1945D2B3">
        <w:rPr>
          <w:rFonts w:ascii="Arial" w:hAnsi="Arial" w:cs="Arial"/>
          <w:i/>
          <w:iCs/>
          <w:sz w:val="22"/>
          <w:szCs w:val="22"/>
        </w:rPr>
        <w:t> </w:t>
      </w:r>
      <w:r w:rsidRPr="1945D2B3">
        <w:rPr>
          <w:rFonts w:ascii="Arial" w:hAnsi="Arial" w:cs="Arial"/>
          <w:sz w:val="22"/>
          <w:szCs w:val="22"/>
        </w:rPr>
        <w:t>(Accessed: 24 February 2026). </w:t>
      </w:r>
    </w:p>
    <w:p w14:paraId="2F2A0087"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Office for Health Improvement and Disparities (2021) </w:t>
      </w:r>
      <w:r w:rsidRPr="1945D2B3">
        <w:rPr>
          <w:rFonts w:ascii="Arial" w:hAnsi="Arial" w:cs="Arial"/>
          <w:i/>
          <w:iCs/>
          <w:sz w:val="22"/>
          <w:szCs w:val="22"/>
        </w:rPr>
        <w:t>Language interpreting and translation: migrant health guide. </w:t>
      </w:r>
      <w:r w:rsidRPr="1945D2B3">
        <w:rPr>
          <w:rFonts w:ascii="Arial" w:hAnsi="Arial" w:cs="Arial"/>
          <w:sz w:val="22"/>
          <w:szCs w:val="22"/>
        </w:rPr>
        <w:t>Available at: </w:t>
      </w:r>
      <w:hyperlink r:id="rId18">
        <w:r w:rsidRPr="1945D2B3">
          <w:rPr>
            <w:rStyle w:val="Hyperlink"/>
            <w:rFonts w:ascii="Arial" w:hAnsi="Arial" w:cs="Arial"/>
            <w:sz w:val="22"/>
            <w:szCs w:val="22"/>
          </w:rPr>
          <w:t>Language interpreting and translation: migrant health guide - GOV.UK</w:t>
        </w:r>
      </w:hyperlink>
      <w:r w:rsidRPr="1945D2B3">
        <w:rPr>
          <w:rFonts w:ascii="Arial" w:hAnsi="Arial" w:cs="Arial"/>
          <w:sz w:val="22"/>
          <w:szCs w:val="22"/>
        </w:rPr>
        <w:t> (Accessed 11 March 2026). </w:t>
      </w:r>
    </w:p>
    <w:p w14:paraId="796319AD"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Patel, S., Larsen, T., Ayoub, M. F., &amp; Chuang, K. (2023). The Role of Administrative Skills in a Career as an Academic Clinician Educato</w:t>
      </w:r>
      <w:r w:rsidRPr="1945D2B3">
        <w:rPr>
          <w:rFonts w:ascii="Arial" w:hAnsi="Arial" w:cs="Arial"/>
          <w:i/>
          <w:iCs/>
          <w:sz w:val="22"/>
          <w:szCs w:val="22"/>
        </w:rPr>
        <w:t>r. Journal of Brown hospital medicine</w:t>
      </w:r>
      <w:r w:rsidRPr="1945D2B3">
        <w:rPr>
          <w:rFonts w:ascii="Arial" w:hAnsi="Arial" w:cs="Arial"/>
          <w:sz w:val="22"/>
          <w:szCs w:val="22"/>
        </w:rPr>
        <w:t>, 2(4), 88175. Available at</w:t>
      </w:r>
      <w:r w:rsidRPr="1945D2B3">
        <w:rPr>
          <w:rFonts w:ascii="Arial" w:hAnsi="Arial" w:cs="Arial"/>
          <w:sz w:val="22"/>
          <w:szCs w:val="22"/>
          <w:u w:val="single"/>
        </w:rPr>
        <w:t>:</w:t>
      </w:r>
      <w:r w:rsidRPr="1945D2B3">
        <w:rPr>
          <w:rFonts w:ascii="Arial" w:hAnsi="Arial" w:cs="Arial"/>
          <w:b/>
          <w:bCs/>
          <w:sz w:val="22"/>
          <w:szCs w:val="22"/>
          <w:u w:val="single"/>
        </w:rPr>
        <w:t> </w:t>
      </w:r>
      <w:hyperlink r:id="rId19">
        <w:r w:rsidRPr="1945D2B3">
          <w:rPr>
            <w:rStyle w:val="Hyperlink"/>
            <w:rFonts w:ascii="Arial" w:hAnsi="Arial" w:cs="Arial"/>
            <w:sz w:val="22"/>
            <w:szCs w:val="22"/>
          </w:rPr>
          <w:t>https://doi.org/10.56305/001c.88175</w:t>
        </w:r>
      </w:hyperlink>
      <w:r w:rsidRPr="1945D2B3">
        <w:rPr>
          <w:rFonts w:ascii="Arial" w:hAnsi="Arial" w:cs="Arial"/>
          <w:sz w:val="22"/>
          <w:szCs w:val="22"/>
        </w:rPr>
        <w:t> </w:t>
      </w:r>
    </w:p>
    <w:p w14:paraId="69DCEB7F"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Rosen, M. A., DiazGranados, D., Dietz, A. S., Benishek, L. E., Thompson, D., Pronovost, P. J., &amp; Weaver, S. J. (2018). Teamwork in healthcare: Key discoveries enabling safer, high-quality care. </w:t>
      </w:r>
      <w:r w:rsidRPr="1945D2B3">
        <w:rPr>
          <w:rFonts w:ascii="Arial" w:hAnsi="Arial" w:cs="Arial"/>
          <w:i/>
          <w:iCs/>
          <w:sz w:val="22"/>
          <w:szCs w:val="22"/>
        </w:rPr>
        <w:t>The American psychologist</w:t>
      </w:r>
      <w:r w:rsidRPr="1945D2B3">
        <w:rPr>
          <w:rFonts w:ascii="Arial" w:hAnsi="Arial" w:cs="Arial"/>
          <w:sz w:val="22"/>
          <w:szCs w:val="22"/>
        </w:rPr>
        <w:t>, </w:t>
      </w:r>
      <w:r w:rsidRPr="1945D2B3">
        <w:rPr>
          <w:rFonts w:ascii="Arial" w:hAnsi="Arial" w:cs="Arial"/>
          <w:i/>
          <w:iCs/>
          <w:sz w:val="22"/>
          <w:szCs w:val="22"/>
        </w:rPr>
        <w:t>73</w:t>
      </w:r>
      <w:r w:rsidRPr="1945D2B3">
        <w:rPr>
          <w:rFonts w:ascii="Arial" w:hAnsi="Arial" w:cs="Arial"/>
          <w:sz w:val="22"/>
          <w:szCs w:val="22"/>
        </w:rPr>
        <w:t>(4), 433–450. Available at: </w:t>
      </w:r>
      <w:hyperlink r:id="rId20">
        <w:r w:rsidRPr="1945D2B3">
          <w:rPr>
            <w:rStyle w:val="Hyperlink"/>
            <w:rFonts w:ascii="Arial" w:hAnsi="Arial" w:cs="Arial"/>
            <w:sz w:val="22"/>
            <w:szCs w:val="22"/>
          </w:rPr>
          <w:t>https://doi.org/10.1037/amp0000298</w:t>
        </w:r>
      </w:hyperlink>
      <w:r w:rsidRPr="1945D2B3">
        <w:rPr>
          <w:rFonts w:ascii="Arial" w:hAnsi="Arial" w:cs="Arial"/>
          <w:sz w:val="22"/>
          <w:szCs w:val="22"/>
        </w:rPr>
        <w:t> </w:t>
      </w:r>
    </w:p>
    <w:p w14:paraId="5B434578" w14:textId="77777777" w:rsidR="00196E0B" w:rsidRPr="00196E0B" w:rsidRDefault="353324E5" w:rsidP="1945D2B3">
      <w:pPr>
        <w:spacing w:line="360" w:lineRule="auto"/>
        <w:rPr>
          <w:rFonts w:ascii="Arial" w:hAnsi="Arial" w:cs="Arial"/>
          <w:sz w:val="22"/>
          <w:szCs w:val="22"/>
        </w:rPr>
      </w:pPr>
      <w:proofErr w:type="spellStart"/>
      <w:r w:rsidRPr="1945D2B3">
        <w:rPr>
          <w:rFonts w:ascii="Arial" w:hAnsi="Arial" w:cs="Arial"/>
          <w:sz w:val="22"/>
          <w:szCs w:val="22"/>
        </w:rPr>
        <w:t>Sharkiya</w:t>
      </w:r>
      <w:proofErr w:type="spellEnd"/>
      <w:r w:rsidRPr="1945D2B3">
        <w:rPr>
          <w:rFonts w:ascii="Arial" w:hAnsi="Arial" w:cs="Arial"/>
          <w:sz w:val="22"/>
          <w:szCs w:val="22"/>
        </w:rPr>
        <w:t> S. H. (2023). Quality communication can improve patient-centred health outcomes among older patients: a rapid review. </w:t>
      </w:r>
      <w:r w:rsidRPr="1945D2B3">
        <w:rPr>
          <w:rFonts w:ascii="Arial" w:hAnsi="Arial" w:cs="Arial"/>
          <w:i/>
          <w:iCs/>
          <w:sz w:val="22"/>
          <w:szCs w:val="22"/>
        </w:rPr>
        <w:t>BMC health services research</w:t>
      </w:r>
      <w:r w:rsidRPr="1945D2B3">
        <w:rPr>
          <w:rFonts w:ascii="Arial" w:hAnsi="Arial" w:cs="Arial"/>
          <w:sz w:val="22"/>
          <w:szCs w:val="22"/>
        </w:rPr>
        <w:t>, </w:t>
      </w:r>
      <w:r w:rsidRPr="1945D2B3">
        <w:rPr>
          <w:rFonts w:ascii="Arial" w:hAnsi="Arial" w:cs="Arial"/>
          <w:i/>
          <w:iCs/>
          <w:sz w:val="22"/>
          <w:szCs w:val="22"/>
        </w:rPr>
        <w:t>23</w:t>
      </w:r>
      <w:r w:rsidRPr="1945D2B3">
        <w:rPr>
          <w:rFonts w:ascii="Arial" w:hAnsi="Arial" w:cs="Arial"/>
          <w:sz w:val="22"/>
          <w:szCs w:val="22"/>
        </w:rPr>
        <w:t>(1), 886. </w:t>
      </w:r>
      <w:hyperlink r:id="rId21">
        <w:r w:rsidRPr="1945D2B3">
          <w:rPr>
            <w:rStyle w:val="Hyperlink"/>
            <w:rFonts w:ascii="Arial" w:hAnsi="Arial" w:cs="Arial"/>
            <w:sz w:val="22"/>
            <w:szCs w:val="22"/>
          </w:rPr>
          <w:t>https://doi.org/10.1186/s12913-023-09869-8</w:t>
        </w:r>
      </w:hyperlink>
      <w:r w:rsidRPr="1945D2B3">
        <w:rPr>
          <w:rFonts w:ascii="Arial" w:hAnsi="Arial" w:cs="Arial"/>
          <w:sz w:val="22"/>
          <w:szCs w:val="22"/>
        </w:rPr>
        <w:t> </w:t>
      </w:r>
    </w:p>
    <w:p w14:paraId="3ECD00BC"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Skills for Care (2026) 4 Effective Communication </w:t>
      </w:r>
      <w:r w:rsidRPr="1945D2B3">
        <w:rPr>
          <w:rFonts w:ascii="Arial" w:hAnsi="Arial" w:cs="Arial"/>
          <w:i/>
          <w:iCs/>
          <w:sz w:val="22"/>
          <w:szCs w:val="22"/>
        </w:rPr>
        <w:t>This standard is about effective communication and the importance it has in your ability to be a successful leader and manager.</w:t>
      </w:r>
      <w:r w:rsidRPr="1945D2B3">
        <w:rPr>
          <w:rFonts w:ascii="Arial" w:hAnsi="Arial" w:cs="Arial"/>
          <w:b/>
          <w:bCs/>
          <w:i/>
          <w:iCs/>
          <w:sz w:val="22"/>
          <w:szCs w:val="22"/>
        </w:rPr>
        <w:t> </w:t>
      </w:r>
      <w:r w:rsidRPr="1945D2B3">
        <w:rPr>
          <w:rFonts w:ascii="Arial" w:hAnsi="Arial" w:cs="Arial"/>
          <w:sz w:val="22"/>
          <w:szCs w:val="22"/>
        </w:rPr>
        <w:t>Available at: </w:t>
      </w:r>
      <w:hyperlink r:id="rId22">
        <w:r w:rsidRPr="1945D2B3">
          <w:rPr>
            <w:rStyle w:val="Hyperlink"/>
            <w:rFonts w:ascii="Arial" w:hAnsi="Arial" w:cs="Arial"/>
            <w:sz w:val="22"/>
            <w:szCs w:val="22"/>
          </w:rPr>
          <w:t>4 Effective communication</w:t>
        </w:r>
      </w:hyperlink>
      <w:r w:rsidRPr="1945D2B3">
        <w:rPr>
          <w:rFonts w:ascii="Arial" w:hAnsi="Arial" w:cs="Arial"/>
          <w:sz w:val="22"/>
          <w:szCs w:val="22"/>
        </w:rPr>
        <w:t> (Accessed: 24 February 2026). </w:t>
      </w:r>
    </w:p>
    <w:p w14:paraId="59A1F49A"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Skills for Health (2025) </w:t>
      </w:r>
      <w:r w:rsidRPr="1945D2B3">
        <w:rPr>
          <w:rFonts w:ascii="Arial" w:hAnsi="Arial" w:cs="Arial"/>
          <w:i/>
          <w:iCs/>
          <w:sz w:val="22"/>
          <w:szCs w:val="22"/>
        </w:rPr>
        <w:t>Why cultural competency is important in healthcare. </w:t>
      </w:r>
      <w:r w:rsidRPr="1945D2B3">
        <w:rPr>
          <w:rFonts w:ascii="Arial" w:hAnsi="Arial" w:cs="Arial"/>
          <w:sz w:val="22"/>
          <w:szCs w:val="22"/>
        </w:rPr>
        <w:t>Available at: </w:t>
      </w:r>
      <w:hyperlink r:id="rId23">
        <w:r w:rsidRPr="1945D2B3">
          <w:rPr>
            <w:rStyle w:val="Hyperlink"/>
            <w:rFonts w:ascii="Arial" w:hAnsi="Arial" w:cs="Arial"/>
            <w:sz w:val="22"/>
            <w:szCs w:val="22"/>
          </w:rPr>
          <w:t>Why cultural competency is important in healthcare | Skills for Health</w:t>
        </w:r>
      </w:hyperlink>
      <w:r w:rsidRPr="1945D2B3">
        <w:rPr>
          <w:rFonts w:ascii="Arial" w:hAnsi="Arial" w:cs="Arial"/>
          <w:sz w:val="22"/>
          <w:szCs w:val="22"/>
        </w:rPr>
        <w:t> (Accessed: 11 March 2026). </w:t>
      </w:r>
    </w:p>
    <w:p w14:paraId="35319CA6"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Social care for institute for excellence (2021) ‘Social care recording’. </w:t>
      </w:r>
      <w:r w:rsidRPr="1945D2B3">
        <w:rPr>
          <w:rFonts w:ascii="Arial" w:hAnsi="Arial" w:cs="Arial"/>
          <w:i/>
          <w:iCs/>
          <w:sz w:val="22"/>
          <w:szCs w:val="22"/>
        </w:rPr>
        <w:t>The importance of recording. </w:t>
      </w:r>
      <w:r w:rsidRPr="1945D2B3">
        <w:rPr>
          <w:rFonts w:ascii="Arial" w:hAnsi="Arial" w:cs="Arial"/>
          <w:sz w:val="22"/>
          <w:szCs w:val="22"/>
        </w:rPr>
        <w:t>Available at: </w:t>
      </w:r>
      <w:hyperlink r:id="rId24" w:anchor=":~:text=The%20importance%20of%20recording&amp;text=It%20supports%20good%20care%20and,challenges%20in%20a%20person%27s%20life">
        <w:r w:rsidRPr="1945D2B3">
          <w:rPr>
            <w:rStyle w:val="Hyperlink"/>
            <w:rFonts w:ascii="Arial" w:hAnsi="Arial" w:cs="Arial"/>
            <w:sz w:val="22"/>
            <w:szCs w:val="22"/>
          </w:rPr>
          <w:t>Social care recording - SCIE</w:t>
        </w:r>
      </w:hyperlink>
      <w:r w:rsidRPr="1945D2B3">
        <w:rPr>
          <w:rFonts w:ascii="Arial" w:hAnsi="Arial" w:cs="Arial"/>
          <w:sz w:val="22"/>
          <w:szCs w:val="22"/>
        </w:rPr>
        <w:t> (Accessed: 14 March 2026) </w:t>
      </w:r>
    </w:p>
    <w:p w14:paraId="4B536AF0" w14:textId="77777777" w:rsidR="00196E0B" w:rsidRPr="00196E0B" w:rsidRDefault="353324E5" w:rsidP="1945D2B3">
      <w:pPr>
        <w:spacing w:line="360" w:lineRule="auto"/>
        <w:rPr>
          <w:rFonts w:ascii="Arial" w:hAnsi="Arial" w:cs="Arial"/>
          <w:sz w:val="22"/>
          <w:szCs w:val="22"/>
        </w:rPr>
      </w:pPr>
      <w:r w:rsidRPr="1945D2B3">
        <w:rPr>
          <w:rFonts w:ascii="Arial" w:hAnsi="Arial" w:cs="Arial"/>
          <w:sz w:val="22"/>
          <w:szCs w:val="22"/>
        </w:rPr>
        <w:t> </w:t>
      </w:r>
    </w:p>
    <w:p w14:paraId="5A3A62D6" w14:textId="77777777" w:rsidR="00196E0B" w:rsidRPr="00196E0B" w:rsidRDefault="00196E0B" w:rsidP="00196E0B">
      <w:pPr>
        <w:rPr>
          <w:rFonts w:ascii="Arial" w:hAnsi="Arial" w:cs="Arial"/>
          <w:sz w:val="22"/>
          <w:szCs w:val="22"/>
        </w:rPr>
      </w:pPr>
      <w:r w:rsidRPr="00196E0B">
        <w:rPr>
          <w:rFonts w:ascii="Arial" w:hAnsi="Arial" w:cs="Arial"/>
          <w:sz w:val="22"/>
          <w:szCs w:val="22"/>
        </w:rPr>
        <w:t> </w:t>
      </w:r>
    </w:p>
    <w:p w14:paraId="74EAC01A" w14:textId="21EA947C" w:rsidR="00D27717" w:rsidRPr="0091269B" w:rsidRDefault="00D27717">
      <w:pPr>
        <w:rPr>
          <w:rFonts w:ascii="Arial" w:hAnsi="Arial" w:cs="Arial"/>
          <w:sz w:val="22"/>
          <w:szCs w:val="22"/>
        </w:rPr>
      </w:pPr>
    </w:p>
    <w:sectPr w:rsidR="00D27717" w:rsidRPr="0091269B" w:rsidSect="00B626B8">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26541" w14:textId="77777777" w:rsidR="00712F75" w:rsidRDefault="00712F75" w:rsidP="005448C2">
      <w:pPr>
        <w:spacing w:after="0" w:line="240" w:lineRule="auto"/>
      </w:pPr>
      <w:r>
        <w:separator/>
      </w:r>
    </w:p>
  </w:endnote>
  <w:endnote w:type="continuationSeparator" w:id="0">
    <w:p w14:paraId="0DF075AE" w14:textId="77777777" w:rsidR="00712F75" w:rsidRDefault="00712F75" w:rsidP="00544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8358957"/>
      <w:docPartObj>
        <w:docPartGallery w:val="Page Numbers (Bottom of Page)"/>
        <w:docPartUnique/>
      </w:docPartObj>
    </w:sdtPr>
    <w:sdtContent>
      <w:p w14:paraId="65AE00EE" w14:textId="7EB42430" w:rsidR="005448C2" w:rsidRDefault="005448C2">
        <w:pPr>
          <w:pStyle w:val="Footer"/>
          <w:jc w:val="center"/>
        </w:pPr>
        <w:r>
          <w:fldChar w:fldCharType="begin"/>
        </w:r>
        <w:r>
          <w:instrText>PAGE   \* MERGEFORMAT</w:instrText>
        </w:r>
        <w:r>
          <w:fldChar w:fldCharType="separate"/>
        </w:r>
        <w:r>
          <w:t>2</w:t>
        </w:r>
        <w:r>
          <w:fldChar w:fldCharType="end"/>
        </w:r>
      </w:p>
    </w:sdtContent>
  </w:sdt>
  <w:p w14:paraId="1DB1D86E" w14:textId="77777777" w:rsidR="005448C2" w:rsidRDefault="00544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7A64D" w14:textId="77777777" w:rsidR="00712F75" w:rsidRDefault="00712F75" w:rsidP="005448C2">
      <w:pPr>
        <w:spacing w:after="0" w:line="240" w:lineRule="auto"/>
      </w:pPr>
      <w:r>
        <w:separator/>
      </w:r>
    </w:p>
  </w:footnote>
  <w:footnote w:type="continuationSeparator" w:id="0">
    <w:p w14:paraId="4C7ED410" w14:textId="77777777" w:rsidR="00712F75" w:rsidRDefault="00712F75" w:rsidP="005448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523"/>
    <w:rsid w:val="00020C24"/>
    <w:rsid w:val="00040E87"/>
    <w:rsid w:val="0004750D"/>
    <w:rsid w:val="00050461"/>
    <w:rsid w:val="00094910"/>
    <w:rsid w:val="000D583B"/>
    <w:rsid w:val="000E1DBF"/>
    <w:rsid w:val="000F1966"/>
    <w:rsid w:val="001468BB"/>
    <w:rsid w:val="00181948"/>
    <w:rsid w:val="00196E0B"/>
    <w:rsid w:val="001C7582"/>
    <w:rsid w:val="0028744A"/>
    <w:rsid w:val="002A351A"/>
    <w:rsid w:val="002E1A69"/>
    <w:rsid w:val="003A20FA"/>
    <w:rsid w:val="00405079"/>
    <w:rsid w:val="0048537B"/>
    <w:rsid w:val="005448C2"/>
    <w:rsid w:val="00545544"/>
    <w:rsid w:val="00572AEA"/>
    <w:rsid w:val="005E0549"/>
    <w:rsid w:val="00634EFF"/>
    <w:rsid w:val="006475A2"/>
    <w:rsid w:val="00657D13"/>
    <w:rsid w:val="00666539"/>
    <w:rsid w:val="00692DC1"/>
    <w:rsid w:val="00712F75"/>
    <w:rsid w:val="00732B26"/>
    <w:rsid w:val="00743A63"/>
    <w:rsid w:val="00751BBD"/>
    <w:rsid w:val="007D39A5"/>
    <w:rsid w:val="00850F38"/>
    <w:rsid w:val="008D6564"/>
    <w:rsid w:val="0091269B"/>
    <w:rsid w:val="00924BD8"/>
    <w:rsid w:val="00996350"/>
    <w:rsid w:val="009A197B"/>
    <w:rsid w:val="00A31CA0"/>
    <w:rsid w:val="00AC1FB4"/>
    <w:rsid w:val="00AD62A2"/>
    <w:rsid w:val="00B44DAE"/>
    <w:rsid w:val="00B626B8"/>
    <w:rsid w:val="00B65B45"/>
    <w:rsid w:val="00B72FF9"/>
    <w:rsid w:val="00B95D94"/>
    <w:rsid w:val="00BB6DA0"/>
    <w:rsid w:val="00BC497C"/>
    <w:rsid w:val="00C037BE"/>
    <w:rsid w:val="00C83087"/>
    <w:rsid w:val="00C91D83"/>
    <w:rsid w:val="00CF280E"/>
    <w:rsid w:val="00D00403"/>
    <w:rsid w:val="00D27717"/>
    <w:rsid w:val="00D47523"/>
    <w:rsid w:val="00D51B7D"/>
    <w:rsid w:val="00D6758E"/>
    <w:rsid w:val="00D86882"/>
    <w:rsid w:val="00DA7B3D"/>
    <w:rsid w:val="00EE5565"/>
    <w:rsid w:val="00FC350B"/>
    <w:rsid w:val="011D79DC"/>
    <w:rsid w:val="023DF30D"/>
    <w:rsid w:val="0472FF35"/>
    <w:rsid w:val="04CC791D"/>
    <w:rsid w:val="06726D4D"/>
    <w:rsid w:val="091B38A9"/>
    <w:rsid w:val="09D44CDD"/>
    <w:rsid w:val="0A028785"/>
    <w:rsid w:val="0BB3AD0A"/>
    <w:rsid w:val="0E951EE6"/>
    <w:rsid w:val="11193B14"/>
    <w:rsid w:val="11C07644"/>
    <w:rsid w:val="121936D8"/>
    <w:rsid w:val="154D7916"/>
    <w:rsid w:val="163F7B0A"/>
    <w:rsid w:val="189A391F"/>
    <w:rsid w:val="1945D2B3"/>
    <w:rsid w:val="1F3C4D27"/>
    <w:rsid w:val="218877A2"/>
    <w:rsid w:val="21E12D45"/>
    <w:rsid w:val="2417F967"/>
    <w:rsid w:val="24A171DC"/>
    <w:rsid w:val="24E48211"/>
    <w:rsid w:val="264EE3EB"/>
    <w:rsid w:val="2D8D22D7"/>
    <w:rsid w:val="30334F67"/>
    <w:rsid w:val="30506612"/>
    <w:rsid w:val="30B6A24D"/>
    <w:rsid w:val="34A5A5FF"/>
    <w:rsid w:val="34B92217"/>
    <w:rsid w:val="353324E5"/>
    <w:rsid w:val="3576038E"/>
    <w:rsid w:val="35A4DF8D"/>
    <w:rsid w:val="3C880D8E"/>
    <w:rsid w:val="416D33B8"/>
    <w:rsid w:val="4429BC92"/>
    <w:rsid w:val="448B44B5"/>
    <w:rsid w:val="4596C421"/>
    <w:rsid w:val="46FF147F"/>
    <w:rsid w:val="47D612C8"/>
    <w:rsid w:val="4889D753"/>
    <w:rsid w:val="49CEBF74"/>
    <w:rsid w:val="4CF5D437"/>
    <w:rsid w:val="4E7EE0E6"/>
    <w:rsid w:val="4F08FAAD"/>
    <w:rsid w:val="519FE6F3"/>
    <w:rsid w:val="54ABF14D"/>
    <w:rsid w:val="57C93B8D"/>
    <w:rsid w:val="58E35C8D"/>
    <w:rsid w:val="59B6891B"/>
    <w:rsid w:val="5B829FA8"/>
    <w:rsid w:val="5E82AAC0"/>
    <w:rsid w:val="5F0D8622"/>
    <w:rsid w:val="5F2F4C55"/>
    <w:rsid w:val="605B824A"/>
    <w:rsid w:val="62C6BFBB"/>
    <w:rsid w:val="68D05C67"/>
    <w:rsid w:val="693D6A0B"/>
    <w:rsid w:val="698B8849"/>
    <w:rsid w:val="69EEBE76"/>
    <w:rsid w:val="6A88BBFB"/>
    <w:rsid w:val="6BB9337D"/>
    <w:rsid w:val="6D5659FF"/>
    <w:rsid w:val="6EA5366F"/>
    <w:rsid w:val="70AB84C1"/>
    <w:rsid w:val="72B48EF7"/>
    <w:rsid w:val="78B525AC"/>
    <w:rsid w:val="794C5910"/>
    <w:rsid w:val="79CD5C33"/>
    <w:rsid w:val="7BA0044A"/>
    <w:rsid w:val="7D11ED27"/>
    <w:rsid w:val="7DD808C7"/>
    <w:rsid w:val="7E31EE9C"/>
    <w:rsid w:val="7F6BD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152A7"/>
  <w15:chartTrackingRefBased/>
  <w15:docId w15:val="{399CFB2F-1F32-4EED-BE29-E563210BD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5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75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75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5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5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5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5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5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5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5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75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75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5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5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5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5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5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523"/>
    <w:rPr>
      <w:rFonts w:eastAsiaTheme="majorEastAsia" w:cstheme="majorBidi"/>
      <w:color w:val="272727" w:themeColor="text1" w:themeTint="D8"/>
    </w:rPr>
  </w:style>
  <w:style w:type="paragraph" w:styleId="Title">
    <w:name w:val="Title"/>
    <w:basedOn w:val="Normal"/>
    <w:next w:val="Normal"/>
    <w:link w:val="TitleChar"/>
    <w:uiPriority w:val="10"/>
    <w:qFormat/>
    <w:rsid w:val="00D475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5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5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5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523"/>
    <w:pPr>
      <w:spacing w:before="160"/>
      <w:jc w:val="center"/>
    </w:pPr>
    <w:rPr>
      <w:i/>
      <w:iCs/>
      <w:color w:val="404040" w:themeColor="text1" w:themeTint="BF"/>
    </w:rPr>
  </w:style>
  <w:style w:type="character" w:customStyle="1" w:styleId="QuoteChar">
    <w:name w:val="Quote Char"/>
    <w:basedOn w:val="DefaultParagraphFont"/>
    <w:link w:val="Quote"/>
    <w:uiPriority w:val="29"/>
    <w:rsid w:val="00D47523"/>
    <w:rPr>
      <w:i/>
      <w:iCs/>
      <w:color w:val="404040" w:themeColor="text1" w:themeTint="BF"/>
    </w:rPr>
  </w:style>
  <w:style w:type="paragraph" w:styleId="ListParagraph">
    <w:name w:val="List Paragraph"/>
    <w:basedOn w:val="Normal"/>
    <w:uiPriority w:val="34"/>
    <w:qFormat/>
    <w:rsid w:val="00D47523"/>
    <w:pPr>
      <w:ind w:left="720"/>
      <w:contextualSpacing/>
    </w:pPr>
  </w:style>
  <w:style w:type="character" w:styleId="IntenseEmphasis">
    <w:name w:val="Intense Emphasis"/>
    <w:basedOn w:val="DefaultParagraphFont"/>
    <w:uiPriority w:val="21"/>
    <w:qFormat/>
    <w:rsid w:val="00D47523"/>
    <w:rPr>
      <w:i/>
      <w:iCs/>
      <w:color w:val="0F4761" w:themeColor="accent1" w:themeShade="BF"/>
    </w:rPr>
  </w:style>
  <w:style w:type="paragraph" w:styleId="IntenseQuote">
    <w:name w:val="Intense Quote"/>
    <w:basedOn w:val="Normal"/>
    <w:next w:val="Normal"/>
    <w:link w:val="IntenseQuoteChar"/>
    <w:uiPriority w:val="30"/>
    <w:qFormat/>
    <w:rsid w:val="00D475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523"/>
    <w:rPr>
      <w:i/>
      <w:iCs/>
      <w:color w:val="0F4761" w:themeColor="accent1" w:themeShade="BF"/>
    </w:rPr>
  </w:style>
  <w:style w:type="character" w:styleId="IntenseReference">
    <w:name w:val="Intense Reference"/>
    <w:basedOn w:val="DefaultParagraphFont"/>
    <w:uiPriority w:val="32"/>
    <w:qFormat/>
    <w:rsid w:val="00D47523"/>
    <w:rPr>
      <w:b/>
      <w:bCs/>
      <w:smallCaps/>
      <w:color w:val="0F4761" w:themeColor="accent1" w:themeShade="BF"/>
      <w:spacing w:val="5"/>
    </w:rPr>
  </w:style>
  <w:style w:type="paragraph" w:styleId="NoSpacing">
    <w:name w:val="No Spacing"/>
    <w:link w:val="NoSpacingChar"/>
    <w:uiPriority w:val="1"/>
    <w:qFormat/>
    <w:rsid w:val="00040E8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40E87"/>
    <w:rPr>
      <w:rFonts w:eastAsiaTheme="minorEastAsia"/>
      <w:kern w:val="0"/>
      <w:sz w:val="22"/>
      <w:szCs w:val="22"/>
      <w:lang w:eastAsia="en-GB"/>
      <w14:ligatures w14:val="none"/>
    </w:rPr>
  </w:style>
  <w:style w:type="character" w:styleId="Hyperlink">
    <w:name w:val="Hyperlink"/>
    <w:basedOn w:val="DefaultParagraphFont"/>
    <w:uiPriority w:val="99"/>
    <w:unhideWhenUsed/>
    <w:rsid w:val="00196E0B"/>
    <w:rPr>
      <w:color w:val="467886" w:themeColor="hyperlink"/>
      <w:u w:val="single"/>
    </w:rPr>
  </w:style>
  <w:style w:type="character" w:styleId="UnresolvedMention">
    <w:name w:val="Unresolved Mention"/>
    <w:basedOn w:val="DefaultParagraphFont"/>
    <w:uiPriority w:val="99"/>
    <w:semiHidden/>
    <w:unhideWhenUsed/>
    <w:rsid w:val="00196E0B"/>
    <w:rPr>
      <w:color w:val="605E5C"/>
      <w:shd w:val="clear" w:color="auto" w:fill="E1DFDD"/>
    </w:rPr>
  </w:style>
  <w:style w:type="paragraph" w:styleId="TOCHeading">
    <w:name w:val="TOC Heading"/>
    <w:basedOn w:val="Heading1"/>
    <w:next w:val="Normal"/>
    <w:uiPriority w:val="39"/>
    <w:unhideWhenUsed/>
    <w:qFormat/>
    <w:rsid w:val="00AC1FB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C1FB4"/>
    <w:pPr>
      <w:spacing w:after="100"/>
    </w:pPr>
  </w:style>
  <w:style w:type="paragraph" w:styleId="TOC2">
    <w:name w:val="toc 2"/>
    <w:basedOn w:val="Normal"/>
    <w:next w:val="Normal"/>
    <w:autoRedefine/>
    <w:uiPriority w:val="39"/>
    <w:unhideWhenUsed/>
    <w:rsid w:val="00AC1FB4"/>
    <w:pPr>
      <w:spacing w:after="100"/>
      <w:ind w:left="240"/>
    </w:pPr>
  </w:style>
  <w:style w:type="paragraph" w:styleId="TOC3">
    <w:name w:val="toc 3"/>
    <w:basedOn w:val="Normal"/>
    <w:next w:val="Normal"/>
    <w:autoRedefine/>
    <w:uiPriority w:val="39"/>
    <w:unhideWhenUsed/>
    <w:rsid w:val="00AC1FB4"/>
    <w:pPr>
      <w:spacing w:after="100"/>
      <w:ind w:left="480"/>
    </w:pPr>
  </w:style>
  <w:style w:type="paragraph" w:styleId="Header">
    <w:name w:val="header"/>
    <w:basedOn w:val="Normal"/>
    <w:link w:val="HeaderChar"/>
    <w:uiPriority w:val="99"/>
    <w:unhideWhenUsed/>
    <w:rsid w:val="00544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8C2"/>
  </w:style>
  <w:style w:type="paragraph" w:styleId="Footer">
    <w:name w:val="footer"/>
    <w:basedOn w:val="Normal"/>
    <w:link w:val="FooterChar"/>
    <w:uiPriority w:val="99"/>
    <w:unhideWhenUsed/>
    <w:rsid w:val="00544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equality-act-2010-guidance" TargetMode="External"/><Relationship Id="rId18" Type="http://schemas.openxmlformats.org/officeDocument/2006/relationships/hyperlink" Target="https://www.gov.uk/guidance/language-interpretation-migrant-health-guid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186/s12913-023-09869-8" TargetMode="External"/><Relationship Id="rId7" Type="http://schemas.openxmlformats.org/officeDocument/2006/relationships/settings" Target="settings.xml"/><Relationship Id="rId12" Type="http://schemas.openxmlformats.org/officeDocument/2006/relationships/hyperlink" Target="https://doi.org/10.4103/2152-7806.139612" TargetMode="External"/><Relationship Id="rId17" Type="http://schemas.openxmlformats.org/officeDocument/2006/relationships/hyperlink" Target="https://www.hazelwoodgrouppractice.co.uk/policies/the-nhs-care-record-guarante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ngland.nhs.uk/long-read/good-communication-with-patients-waiting-for-care/" TargetMode="External"/><Relationship Id="rId20" Type="http://schemas.openxmlformats.org/officeDocument/2006/relationships/hyperlink" Target="https://doi.org/10.1037/amp00002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qc.org.uk/guidance-providers/adult-social-care/key-points-about-culturally-appropriate-care" TargetMode="External"/><Relationship Id="rId24" Type="http://schemas.openxmlformats.org/officeDocument/2006/relationships/hyperlink" Target="https://www.scie.org.uk/providing-care/recording/" TargetMode="External"/><Relationship Id="rId5" Type="http://schemas.openxmlformats.org/officeDocument/2006/relationships/numbering" Target="numbering.xml"/><Relationship Id="rId15" Type="http://schemas.openxmlformats.org/officeDocument/2006/relationships/hyperlink" Target="https://digital.nhs.uk/services/national-data-opt-out/understanding-the-national-data-opt-out/protecting-patient-data" TargetMode="External"/><Relationship Id="rId23" Type="http://schemas.openxmlformats.org/officeDocument/2006/relationships/hyperlink" Target="https://www.skillsforhealth.org.uk/article/why-cultural-competency-is-important-in-healthcare/" TargetMode="External"/><Relationship Id="rId10" Type="http://schemas.openxmlformats.org/officeDocument/2006/relationships/endnotes" Target="endnotes.xml"/><Relationship Id="rId19" Type="http://schemas.openxmlformats.org/officeDocument/2006/relationships/hyperlink" Target="https://doi.org/10.56305/001c.8817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ism.university/introduction-to-journalism-and-mass-communication/berlos-model-communication-four-pillars-effective-exchange/" TargetMode="External"/><Relationship Id="rId22" Type="http://schemas.openxmlformats.org/officeDocument/2006/relationships/hyperlink" Target="https://www.skillsforcare.org.uk/Support-for-leaders-and-managers/Developing-leaders-and-managers/Manager-induction-standards/4-Effective-Communication.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ed1f9eb208de803436a2a824e3b1bfbf">
  <xsd:schema xmlns:xsd="http://www.w3.org/2001/XMLSchema" xmlns:xs="http://www.w3.org/2001/XMLSchema" xmlns:p="http://schemas.microsoft.com/office/2006/metadata/properties" xmlns:ns3="3ef5847a-e696-4fee-a2c0-6c3f87568321" targetNamespace="http://schemas.microsoft.com/office/2006/metadata/properties" ma:root="true" ma:fieldsID="3b4cfd9ef9512fba5aed158eca5ec379"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CEF74-3E1B-4530-8828-BA1B965F507B}">
  <ds:schemaRefs>
    <ds:schemaRef ds:uri="http://schemas.microsoft.com/sharepoint/v3/contenttype/forms"/>
  </ds:schemaRefs>
</ds:datastoreItem>
</file>

<file path=customXml/itemProps2.xml><?xml version="1.0" encoding="utf-8"?>
<ds:datastoreItem xmlns:ds="http://schemas.openxmlformats.org/officeDocument/2006/customXml" ds:itemID="{1DE1EF11-3FEE-4313-8423-EC1D3326BF79}">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5D4DDF24-3807-4DD8-B827-FD8E0EB74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39089D-68F8-48A4-99A6-981C938DC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2625</Words>
  <Characters>14964</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17554</CharactersWithSpaces>
  <SharedDoc>false</SharedDoc>
  <HLinks>
    <vt:vector size="120" baseType="variant">
      <vt:variant>
        <vt:i4>1769560</vt:i4>
      </vt:variant>
      <vt:variant>
        <vt:i4>78</vt:i4>
      </vt:variant>
      <vt:variant>
        <vt:i4>0</vt:i4>
      </vt:variant>
      <vt:variant>
        <vt:i4>5</vt:i4>
      </vt:variant>
      <vt:variant>
        <vt:lpwstr>https://www.scie.org.uk/providing-care/recording/</vt:lpwstr>
      </vt:variant>
      <vt:variant>
        <vt:lpwstr>:~:text=The%20importance%20of%20recording&amp;text=It%20supports%20good%20care%20and,challenges%20in%20a%20person%27s%20life</vt:lpwstr>
      </vt:variant>
      <vt:variant>
        <vt:i4>3932287</vt:i4>
      </vt:variant>
      <vt:variant>
        <vt:i4>75</vt:i4>
      </vt:variant>
      <vt:variant>
        <vt:i4>0</vt:i4>
      </vt:variant>
      <vt:variant>
        <vt:i4>5</vt:i4>
      </vt:variant>
      <vt:variant>
        <vt:lpwstr>https://www.skillsforhealth.org.uk/article/why-cultural-competency-is-important-in-healthcare/</vt:lpwstr>
      </vt:variant>
      <vt:variant>
        <vt:lpwstr/>
      </vt:variant>
      <vt:variant>
        <vt:i4>5439508</vt:i4>
      </vt:variant>
      <vt:variant>
        <vt:i4>72</vt:i4>
      </vt:variant>
      <vt:variant>
        <vt:i4>0</vt:i4>
      </vt:variant>
      <vt:variant>
        <vt:i4>5</vt:i4>
      </vt:variant>
      <vt:variant>
        <vt:lpwstr>https://www.skillsforcare.org.uk/Support-for-leaders-and-managers/Developing-leaders-and-managers/Manager-induction-standards/4-Effective-Communication.aspx</vt:lpwstr>
      </vt:variant>
      <vt:variant>
        <vt:lpwstr/>
      </vt:variant>
      <vt:variant>
        <vt:i4>2752573</vt:i4>
      </vt:variant>
      <vt:variant>
        <vt:i4>69</vt:i4>
      </vt:variant>
      <vt:variant>
        <vt:i4>0</vt:i4>
      </vt:variant>
      <vt:variant>
        <vt:i4>5</vt:i4>
      </vt:variant>
      <vt:variant>
        <vt:lpwstr>https://doi.org/10.1186/s12913-023-09869-8</vt:lpwstr>
      </vt:variant>
      <vt:variant>
        <vt:lpwstr/>
      </vt:variant>
      <vt:variant>
        <vt:i4>7798901</vt:i4>
      </vt:variant>
      <vt:variant>
        <vt:i4>66</vt:i4>
      </vt:variant>
      <vt:variant>
        <vt:i4>0</vt:i4>
      </vt:variant>
      <vt:variant>
        <vt:i4>5</vt:i4>
      </vt:variant>
      <vt:variant>
        <vt:lpwstr>https://doi.org/10.1037/amp0000298</vt:lpwstr>
      </vt:variant>
      <vt:variant>
        <vt:lpwstr/>
      </vt:variant>
      <vt:variant>
        <vt:i4>3014697</vt:i4>
      </vt:variant>
      <vt:variant>
        <vt:i4>63</vt:i4>
      </vt:variant>
      <vt:variant>
        <vt:i4>0</vt:i4>
      </vt:variant>
      <vt:variant>
        <vt:i4>5</vt:i4>
      </vt:variant>
      <vt:variant>
        <vt:lpwstr>https://doi.org/10.56305/001c.88175</vt:lpwstr>
      </vt:variant>
      <vt:variant>
        <vt:lpwstr/>
      </vt:variant>
      <vt:variant>
        <vt:i4>5111818</vt:i4>
      </vt:variant>
      <vt:variant>
        <vt:i4>60</vt:i4>
      </vt:variant>
      <vt:variant>
        <vt:i4>0</vt:i4>
      </vt:variant>
      <vt:variant>
        <vt:i4>5</vt:i4>
      </vt:variant>
      <vt:variant>
        <vt:lpwstr>https://www.gov.uk/guidance/language-interpretation-migrant-health-guide</vt:lpwstr>
      </vt:variant>
      <vt:variant>
        <vt:lpwstr/>
      </vt:variant>
      <vt:variant>
        <vt:i4>4915227</vt:i4>
      </vt:variant>
      <vt:variant>
        <vt:i4>57</vt:i4>
      </vt:variant>
      <vt:variant>
        <vt:i4>0</vt:i4>
      </vt:variant>
      <vt:variant>
        <vt:i4>5</vt:i4>
      </vt:variant>
      <vt:variant>
        <vt:lpwstr>https://www.hazelwoodgrouppractice.co.uk/policies/the-nhs-care-record-guarantee/</vt:lpwstr>
      </vt:variant>
      <vt:variant>
        <vt:lpwstr/>
      </vt:variant>
      <vt:variant>
        <vt:i4>3932261</vt:i4>
      </vt:variant>
      <vt:variant>
        <vt:i4>54</vt:i4>
      </vt:variant>
      <vt:variant>
        <vt:i4>0</vt:i4>
      </vt:variant>
      <vt:variant>
        <vt:i4>5</vt:i4>
      </vt:variant>
      <vt:variant>
        <vt:lpwstr>https://www.england.nhs.uk/long-read/good-communication-with-patients-waiting-for-care/</vt:lpwstr>
      </vt:variant>
      <vt:variant>
        <vt:lpwstr/>
      </vt:variant>
      <vt:variant>
        <vt:i4>4456478</vt:i4>
      </vt:variant>
      <vt:variant>
        <vt:i4>51</vt:i4>
      </vt:variant>
      <vt:variant>
        <vt:i4>0</vt:i4>
      </vt:variant>
      <vt:variant>
        <vt:i4>5</vt:i4>
      </vt:variant>
      <vt:variant>
        <vt:lpwstr>https://digital.nhs.uk/services/national-data-opt-out/understanding-the-national-data-opt-out/protecting-patient-data</vt:lpwstr>
      </vt:variant>
      <vt:variant>
        <vt:lpwstr/>
      </vt:variant>
      <vt:variant>
        <vt:i4>3145841</vt:i4>
      </vt:variant>
      <vt:variant>
        <vt:i4>48</vt:i4>
      </vt:variant>
      <vt:variant>
        <vt:i4>0</vt:i4>
      </vt:variant>
      <vt:variant>
        <vt:i4>5</vt:i4>
      </vt:variant>
      <vt:variant>
        <vt:lpwstr>https://journalism.university/introduction-to-journalism-and-mass-communication/berlos-model-communication-four-pillars-effective-exchange/</vt:lpwstr>
      </vt:variant>
      <vt:variant>
        <vt:lpwstr/>
      </vt:variant>
      <vt:variant>
        <vt:i4>6291574</vt:i4>
      </vt:variant>
      <vt:variant>
        <vt:i4>45</vt:i4>
      </vt:variant>
      <vt:variant>
        <vt:i4>0</vt:i4>
      </vt:variant>
      <vt:variant>
        <vt:i4>5</vt:i4>
      </vt:variant>
      <vt:variant>
        <vt:lpwstr>https://www.gov.uk/guidance/equality-act-2010-guidance</vt:lpwstr>
      </vt:variant>
      <vt:variant>
        <vt:lpwstr/>
      </vt:variant>
      <vt:variant>
        <vt:i4>720965</vt:i4>
      </vt:variant>
      <vt:variant>
        <vt:i4>42</vt:i4>
      </vt:variant>
      <vt:variant>
        <vt:i4>0</vt:i4>
      </vt:variant>
      <vt:variant>
        <vt:i4>5</vt:i4>
      </vt:variant>
      <vt:variant>
        <vt:lpwstr>https://doi.org/10.4103/2152-7806.139612</vt:lpwstr>
      </vt:variant>
      <vt:variant>
        <vt:lpwstr/>
      </vt:variant>
      <vt:variant>
        <vt:i4>1114183</vt:i4>
      </vt:variant>
      <vt:variant>
        <vt:i4>39</vt:i4>
      </vt:variant>
      <vt:variant>
        <vt:i4>0</vt:i4>
      </vt:variant>
      <vt:variant>
        <vt:i4>5</vt:i4>
      </vt:variant>
      <vt:variant>
        <vt:lpwstr>https://www.cqc.org.uk/guidance-providers/adult-social-care/key-points-about-culturally-appropriate-care</vt:lpwstr>
      </vt:variant>
      <vt:variant>
        <vt:lpwstr/>
      </vt:variant>
      <vt:variant>
        <vt:i4>1507385</vt:i4>
      </vt:variant>
      <vt:variant>
        <vt:i4>32</vt:i4>
      </vt:variant>
      <vt:variant>
        <vt:i4>0</vt:i4>
      </vt:variant>
      <vt:variant>
        <vt:i4>5</vt:i4>
      </vt:variant>
      <vt:variant>
        <vt:lpwstr/>
      </vt:variant>
      <vt:variant>
        <vt:lpwstr>_Toc225192714</vt:lpwstr>
      </vt:variant>
      <vt:variant>
        <vt:i4>1507385</vt:i4>
      </vt:variant>
      <vt:variant>
        <vt:i4>26</vt:i4>
      </vt:variant>
      <vt:variant>
        <vt:i4>0</vt:i4>
      </vt:variant>
      <vt:variant>
        <vt:i4>5</vt:i4>
      </vt:variant>
      <vt:variant>
        <vt:lpwstr/>
      </vt:variant>
      <vt:variant>
        <vt:lpwstr>_Toc225192713</vt:lpwstr>
      </vt:variant>
      <vt:variant>
        <vt:i4>1507385</vt:i4>
      </vt:variant>
      <vt:variant>
        <vt:i4>20</vt:i4>
      </vt:variant>
      <vt:variant>
        <vt:i4>0</vt:i4>
      </vt:variant>
      <vt:variant>
        <vt:i4>5</vt:i4>
      </vt:variant>
      <vt:variant>
        <vt:lpwstr/>
      </vt:variant>
      <vt:variant>
        <vt:lpwstr>_Toc225192712</vt:lpwstr>
      </vt:variant>
      <vt:variant>
        <vt:i4>1507385</vt:i4>
      </vt:variant>
      <vt:variant>
        <vt:i4>14</vt:i4>
      </vt:variant>
      <vt:variant>
        <vt:i4>0</vt:i4>
      </vt:variant>
      <vt:variant>
        <vt:i4>5</vt:i4>
      </vt:variant>
      <vt:variant>
        <vt:lpwstr/>
      </vt:variant>
      <vt:variant>
        <vt:lpwstr>_Toc225192711</vt:lpwstr>
      </vt:variant>
      <vt:variant>
        <vt:i4>1507385</vt:i4>
      </vt:variant>
      <vt:variant>
        <vt:i4>8</vt:i4>
      </vt:variant>
      <vt:variant>
        <vt:i4>0</vt:i4>
      </vt:variant>
      <vt:variant>
        <vt:i4>5</vt:i4>
      </vt:variant>
      <vt:variant>
        <vt:lpwstr/>
      </vt:variant>
      <vt:variant>
        <vt:lpwstr>_Toc225192710</vt:lpwstr>
      </vt:variant>
      <vt:variant>
        <vt:i4>1441849</vt:i4>
      </vt:variant>
      <vt:variant>
        <vt:i4>2</vt:i4>
      </vt:variant>
      <vt:variant>
        <vt:i4>0</vt:i4>
      </vt:variant>
      <vt:variant>
        <vt:i4>5</vt:i4>
      </vt:variant>
      <vt:variant>
        <vt:lpwstr/>
      </vt:variant>
      <vt:variant>
        <vt:lpwstr>_Toc225192709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Shackeria Nash</dc:creator>
  <cp:keywords/>
  <dc:description/>
  <cp:lastModifiedBy>Shackeria Neckesha Nash Korylco (2509257)</cp:lastModifiedBy>
  <cp:revision>47</cp:revision>
  <dcterms:created xsi:type="dcterms:W3CDTF">2026-03-16T19:43:00Z</dcterms:created>
  <dcterms:modified xsi:type="dcterms:W3CDTF">2026-03-23T21:11:00Z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