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205EF" w14:textId="5BFEA845" w:rsidR="00EB5624" w:rsidRDefault="00EB5624" w:rsidP="00EB5624">
      <w:pPr>
        <w:ind w:firstLine="720"/>
        <w:rPr>
          <w:lang w:val="en-GB"/>
        </w:rPr>
      </w:pPr>
      <w:r>
        <w:t>Mock Jury is psycho-legal methodological technique “in which elements of the trial process are simulated and experimental factors of interest are manipulated” (</w:t>
      </w:r>
      <w:r w:rsidRPr="00057922">
        <w:rPr>
          <w:lang w:val="en-GB"/>
        </w:rPr>
        <w:t>Lieberman,</w:t>
      </w:r>
      <w:r>
        <w:rPr>
          <w:lang w:val="en-GB"/>
        </w:rPr>
        <w:t xml:space="preserve"> </w:t>
      </w:r>
      <w:r w:rsidRPr="00057922">
        <w:rPr>
          <w:lang w:val="en-GB"/>
        </w:rPr>
        <w:t>2016</w:t>
      </w:r>
      <w:r>
        <w:rPr>
          <w:lang w:val="en-GB"/>
        </w:rPr>
        <w:t>, p.1</w:t>
      </w:r>
      <w:r w:rsidRPr="00057922">
        <w:rPr>
          <w:lang w:val="en-GB"/>
        </w:rPr>
        <w:t>)</w:t>
      </w:r>
      <w:r>
        <w:rPr>
          <w:lang w:val="en-GB"/>
        </w:rPr>
        <w:t xml:space="preserve">. This technique is necessary because real trial juries have to deliberate in secrecy under the </w:t>
      </w:r>
      <w:r w:rsidRPr="00A35961">
        <w:rPr>
          <w:lang w:val="en-GB"/>
        </w:rPr>
        <w:t>1974</w:t>
      </w:r>
      <w:r>
        <w:rPr>
          <w:lang w:val="en-GB"/>
        </w:rPr>
        <w:t xml:space="preserve"> </w:t>
      </w:r>
      <w:r w:rsidRPr="00A35961">
        <w:rPr>
          <w:lang w:val="en-GB"/>
        </w:rPr>
        <w:t>Juries Act</w:t>
      </w:r>
      <w:r>
        <w:rPr>
          <w:lang w:val="en-GB"/>
        </w:rPr>
        <w:t xml:space="preserve"> and its 2015 revision.</w:t>
      </w:r>
      <w:r w:rsidRPr="00A35961">
        <w:rPr>
          <w:lang w:val="en-GB"/>
        </w:rPr>
        <w:t xml:space="preserve">  </w:t>
      </w:r>
      <w:r>
        <w:rPr>
          <w:lang w:val="en-GB"/>
        </w:rPr>
        <w:t>“</w:t>
      </w:r>
      <w:r w:rsidRPr="00A35961">
        <w:t>It is an offence for a person intentionally to disclose information about statements made, opinions expressed, arguments advanced or votes cast</w:t>
      </w:r>
      <w:r>
        <w:t xml:space="preserve"> [during deliberation]” </w:t>
      </w:r>
      <w:r w:rsidRPr="00A35961">
        <w:t>Criminal Justice and Courts Act 2015 C</w:t>
      </w:r>
      <w:r>
        <w:t xml:space="preserve">hapter </w:t>
      </w:r>
      <w:r w:rsidRPr="00A35961">
        <w:t>2</w:t>
      </w:r>
      <w:r>
        <w:t>,</w:t>
      </w:r>
      <w:r w:rsidRPr="00A35961">
        <w:t xml:space="preserve"> part 3</w:t>
      </w:r>
      <w:r>
        <w:t xml:space="preserve">, section 74, 550 </w:t>
      </w:r>
      <w:r>
        <w:rPr>
          <w:lang w:val="en-GB"/>
        </w:rPr>
        <w:t xml:space="preserve">and thus theoretical models of jury decision making have to rely on mock jury experiments, where mock jurors reach verdicts in a simulated </w:t>
      </w:r>
      <w:r>
        <w:t xml:space="preserve">trial without the legal implication. </w:t>
      </w:r>
      <w:r w:rsidRPr="00247EA7">
        <w:t>MacCoun, R. (1989)</w:t>
      </w:r>
      <w:r>
        <w:t xml:space="preserve"> </w:t>
      </w:r>
      <w:r>
        <w:t>True experiment would be ideal however m</w:t>
      </w:r>
      <w:r>
        <w:t>anipulation of variables in the actual trial setting would not be legally or even ethically feasible. Saks (1997)</w:t>
      </w:r>
      <w:r w:rsidR="00770E4E">
        <w:t xml:space="preserve"> </w:t>
      </w:r>
      <w:r w:rsidR="000F5C5A">
        <w:t>Nevertheless</w:t>
      </w:r>
      <w:r w:rsidR="00770E4E">
        <w:t xml:space="preserve"> even thought juries decide less then 1% of legal cases in England and Wales (Thomas, 2010)</w:t>
      </w:r>
      <w:r w:rsidR="00AB574D">
        <w:t xml:space="preserve"> </w:t>
      </w:r>
      <w:r w:rsidR="00770E4E">
        <w:t xml:space="preserve">the stakes for the defendants are too high to let anecdotical evidence and assertion guide the decision making in legal proceedings. </w:t>
      </w:r>
      <w:r w:rsidR="00770E4E" w:rsidRPr="00770E4E">
        <w:t>Wissler, Hart &amp; Saks(1999)</w:t>
      </w:r>
    </w:p>
    <w:p w14:paraId="354D60EC" w14:textId="57E289DC" w:rsidR="00EB5624" w:rsidRDefault="00EB5624" w:rsidP="00EB5624">
      <w:pPr>
        <w:ind w:firstLine="720"/>
      </w:pPr>
      <w:r>
        <w:t>The justice system is an integral and vital part of our institutional structure</w:t>
      </w:r>
      <w:r>
        <w:t xml:space="preserve"> </w:t>
      </w:r>
      <w:r w:rsidRPr="00053144">
        <w:t>Bornstein, Greene, &amp; Greene, Edie. (2017)</w:t>
      </w:r>
      <w:r>
        <w:t>, and it should be fair and equal, so even differently structured juries should reach the same verdict as others, if that is not the case the whole judicial system is undermined and implied trust breached. The study of issues and causal factors underlying bias allows policymakers create curative changes to the judicial system if such a need is perceived as necessary. However as Borstein noted in 1999 “</w:t>
      </w:r>
      <w:r w:rsidRPr="00C50D31">
        <w:t>"courts have not welcomed psycholegal research findings with open arms, especially when derived from methods that are neither very realistic nor representative of actual legal processes" (p. 88)</w:t>
      </w:r>
      <w:r>
        <w:t xml:space="preserve">. </w:t>
      </w:r>
    </w:p>
    <w:p w14:paraId="6C670ADF" w14:textId="1AE2EC57" w:rsidR="00AB574D" w:rsidRDefault="00AB574D" w:rsidP="00AB574D">
      <w:pPr>
        <w:ind w:firstLine="720"/>
      </w:pPr>
      <w:r>
        <w:t>Mock jury is a technique popular with experimental</w:t>
      </w:r>
      <w:r>
        <w:t xml:space="preserve"> social</w:t>
      </w:r>
      <w:r>
        <w:t xml:space="preserve"> psychologists, according to the data from </w:t>
      </w:r>
      <w:r w:rsidRPr="00530686">
        <w:t xml:space="preserve">Devine et al. </w:t>
      </w:r>
      <w:r>
        <w:t>(</w:t>
      </w:r>
      <w:r w:rsidRPr="00530686">
        <w:t>2000</w:t>
      </w:r>
      <w:r>
        <w:t>) o</w:t>
      </w:r>
      <w:r w:rsidRPr="00530686">
        <w:t>ver two-thirds of juror decision-making studies between 1955 and 1995 used mock juries</w:t>
      </w:r>
      <w:r>
        <w:t xml:space="preserve">. The whole jury system has its limitations that lead to debate about pros and cons of use of them over the years (e.g. </w:t>
      </w:r>
      <w:r w:rsidRPr="003F521B">
        <w:rPr>
          <w:lang w:val="en-GB"/>
        </w:rPr>
        <w:t>Lieberman</w:t>
      </w:r>
      <w:r>
        <w:rPr>
          <w:lang w:val="en-GB"/>
        </w:rPr>
        <w:t xml:space="preserve">, </w:t>
      </w:r>
      <w:r w:rsidRPr="003F521B">
        <w:rPr>
          <w:lang w:val="en-GB"/>
        </w:rPr>
        <w:t>2016)</w:t>
      </w:r>
      <w:r>
        <w:t xml:space="preserve">, Diamond (1997) </w:t>
      </w:r>
      <w:r>
        <w:lastRenderedPageBreak/>
        <w:t xml:space="preserve">first called for more realistic jury research in 1979 to improve the theoretical, empirical and policy value of the research. He suggested using videotaped trials instead of written vignettes, using community members over students and use of ecologically valid dependent measures. Diamond suggests use of student samples only use in the preliminary part of the research, with more representative samples used for direct comparison until the difference between samples is fully understood. </w:t>
      </w:r>
    </w:p>
    <w:p w14:paraId="4818F580" w14:textId="0C1331A0" w:rsidR="00AB574D" w:rsidRDefault="00AB574D" w:rsidP="00AB574D">
      <w:pPr>
        <w:ind w:firstLine="720"/>
      </w:pPr>
      <w:r>
        <w:t xml:space="preserve">However, analysis done by Bornstein (1999) found significant differences between students and more representative samples only 5 times out of the 26 included studies. The student sample tends to be less punitive in general, however the analysis is not true meta-analysis which should be taken into account when considering its results. Based upon the call by Borstein (1999) for two-stage research </w:t>
      </w:r>
      <w:r w:rsidRPr="00EE0DAC">
        <w:t>Lassiter, Geers, Handley &amp; Weiland (2002)</w:t>
      </w:r>
      <w:r>
        <w:t xml:space="preserve"> focused their research on camera perspective bias in videotaped confessions. In the first stage they used college students as mock jurors due to convenience and used scale judgment for sensitivity. In stage 2 </w:t>
      </w:r>
      <w:r w:rsidRPr="00EE0DAC">
        <w:t>jury-eligible adults</w:t>
      </w:r>
      <w:r>
        <w:t xml:space="preserve"> were invited to participate in the research and more ecologically valid and life-like trial 4 hours long simulation was used and results compared. The camera perspective bias has been present in both stages regardless of ecological validity. </w:t>
      </w:r>
    </w:p>
    <w:p w14:paraId="43BFF7D1" w14:textId="6B5DBA0F" w:rsidR="000F5C5A" w:rsidRDefault="00A22698" w:rsidP="000F5C5A">
      <w:pPr>
        <w:ind w:firstLine="720"/>
      </w:pPr>
      <w:r>
        <w:t xml:space="preserve">Mock jury experiments allow for alternative trial condition testing, regarding causative effects, and development of conceptual frameworks about the process of deliberation and achievement of group consensus.  This simulation allows for the invaluable experimental control, allowing for theory testing based upon the manipulation of variables, so it provides contribution both to the theoretical and practical field. Nevertheless, researchers acknowledge that the academic simulation of a jury may lead to behaviour that differs from the behaviour of the genuine jurors, this is an issue that manifests in every laboratory setting, because emulation of the real-world incentives is challenging but not impossible, and there are techniques developed to limit this hypothetical bias. While the hypothetical bias is a </w:t>
      </w:r>
      <w:r>
        <w:lastRenderedPageBreak/>
        <w:t>possibility the research in the area is a relevant issue and should be carefully considered, jury simulation experiments are necessary due to the fact that the high control over the environment of the simulated trial is invaluable, also the financial side of the research must be taken into account, with parts of the trial process possibly omitted, and students acting as jurors, makes testing of experimental factors more practical and assessible. Nevertheless, the internal and external validity has to be carefully balanced in the process of simulating a trial. This balancing is one of the main points of criticism of mock jury research, because they may be perceived as lacking verisimilitude</w:t>
      </w:r>
      <w:r w:rsidR="00A031F3">
        <w:t xml:space="preserve"> </w:t>
      </w:r>
      <w:r w:rsidR="00A031F3">
        <w:t>(Lieberman, 2016)</w:t>
      </w:r>
      <w:r>
        <w:t xml:space="preserve">, and they argue a more </w:t>
      </w:r>
      <w:r>
        <w:t>standardized</w:t>
      </w:r>
      <w:r>
        <w:t xml:space="preserve"> trial element framework is required for more general acceptance of results from this type of research</w:t>
      </w:r>
      <w:r w:rsidR="00A031F3">
        <w:t>.</w:t>
      </w:r>
      <w:r>
        <w:t xml:space="preserve"> (Lieberman, 2016).</w:t>
      </w:r>
      <w:r w:rsidR="00A031F3" w:rsidRPr="00A031F3">
        <w:t xml:space="preserve"> </w:t>
      </w:r>
      <w:r w:rsidR="00A031F3" w:rsidRPr="006203CF">
        <w:t>Landsman</w:t>
      </w:r>
      <w:r w:rsidR="00A031F3">
        <w:t xml:space="preserve"> </w:t>
      </w:r>
      <w:r w:rsidR="00A031F3" w:rsidRPr="006203CF">
        <w:t>&amp; Rakos</w:t>
      </w:r>
      <w:r w:rsidR="00A031F3">
        <w:t xml:space="preserve"> </w:t>
      </w:r>
      <w:r w:rsidR="00A031F3" w:rsidRPr="006203CF">
        <w:t>(1994</w:t>
      </w:r>
      <w:r w:rsidR="00A031F3">
        <w:t xml:space="preserve">) completed experiment with 88 real judges and 104 jurors and comparing their ability to ignore inadmissible evidence. </w:t>
      </w:r>
      <w:r w:rsidR="00A031F3" w:rsidRPr="008C3B58">
        <w:t>Results suggest that</w:t>
      </w:r>
      <w:r w:rsidR="00A031F3">
        <w:t xml:space="preserve"> both</w:t>
      </w:r>
      <w:r w:rsidR="00A031F3" w:rsidRPr="008C3B58">
        <w:t xml:space="preserve"> judges and jurors may be likewise influenced</w:t>
      </w:r>
      <w:r w:rsidR="00A031F3">
        <w:t xml:space="preserve">. Similar study done by </w:t>
      </w:r>
      <w:r w:rsidR="00A031F3" w:rsidRPr="00561C1E">
        <w:t>Rachlinski, Johnson, Wistrich, Guthrie</w:t>
      </w:r>
      <w:r w:rsidR="00A031F3">
        <w:t xml:space="preserve"> </w:t>
      </w:r>
      <w:r w:rsidR="00A031F3" w:rsidRPr="00561C1E">
        <w:t>(2009)</w:t>
      </w:r>
      <w:r w:rsidR="00A031F3">
        <w:t xml:space="preserve"> replicated the r</w:t>
      </w:r>
      <w:r w:rsidR="00A031F3">
        <w:t>esults of the study implicate subconscious bias in judges. It may mean that judges are prone to stereotyping and bias despite the training</w:t>
      </w:r>
      <w:r w:rsidR="00A031F3">
        <w:t>, however other explanation is that</w:t>
      </w:r>
      <w:r w:rsidR="00A031F3">
        <w:t xml:space="preserve"> the experiments lack the </w:t>
      </w:r>
      <w:r w:rsidR="000F5C5A">
        <w:t>verisimilitude</w:t>
      </w:r>
      <w:r w:rsidR="000F5C5A">
        <w:t xml:space="preserve"> </w:t>
      </w:r>
      <w:r w:rsidR="00A031F3">
        <w:t xml:space="preserve">and the bias may be artificially inflated by the study and the effect of implicit bias negligible in real trial. </w:t>
      </w:r>
      <w:r w:rsidR="00A031F3" w:rsidRPr="00EA7C30">
        <w:t xml:space="preserve">Vidmar (2011). </w:t>
      </w:r>
      <w:r w:rsidR="000F5C5A">
        <w:t xml:space="preserve">Interviews of ex-jurors may offer a luxuriant source of data but cognitive bias and limitations of the respondents make accurate analysis of the deliberation challenging. Studies of the archival data from the actual juries are limited only to the documented records and plagued with the confounding variables but allow for statistical analysis and description of longitudinal trends, however a lot of relevant information may be emitted and only results without the ‘deliberation process’ included. </w:t>
      </w:r>
      <w:r w:rsidR="000F5C5A" w:rsidRPr="00247EA7">
        <w:t>MacCoun (1989)</w:t>
      </w:r>
      <w:r w:rsidR="00BB524A">
        <w:t xml:space="preserve"> considers</w:t>
      </w:r>
      <w:r w:rsidR="00BB524A">
        <w:t xml:space="preserve"> mock jury allows examin</w:t>
      </w:r>
      <w:r w:rsidR="00BB524A">
        <w:t xml:space="preserve">ation of </w:t>
      </w:r>
      <w:r w:rsidR="00BB524A">
        <w:t xml:space="preserve">the process underlying decision-making, but </w:t>
      </w:r>
      <w:r w:rsidR="00BB524A">
        <w:t xml:space="preserve">believes that </w:t>
      </w:r>
      <w:r w:rsidR="00BB524A">
        <w:t>the magnitude of relations between variables should be examined through the archival method</w:t>
      </w:r>
      <w:r w:rsidR="00BB524A">
        <w:t>.</w:t>
      </w:r>
    </w:p>
    <w:p w14:paraId="3E0F9306" w14:textId="44F64762" w:rsidR="00A031F3" w:rsidRDefault="00A22698" w:rsidP="00A031F3">
      <w:pPr>
        <w:ind w:firstLine="720"/>
      </w:pPr>
      <w:r>
        <w:lastRenderedPageBreak/>
        <w:t>Field study using actual jurors would need significant cooperation from one or more courts, usually results in a limited sample and has copious amount of confounding variables in the results, however compared to the mock jury, results are more realistic and generalizable.</w:t>
      </w:r>
      <w:r w:rsidR="00A031F3" w:rsidRPr="00A031F3">
        <w:t xml:space="preserve"> </w:t>
      </w:r>
      <w:r w:rsidR="00A031F3" w:rsidRPr="00EB5624">
        <w:t>Thomas</w:t>
      </w:r>
      <w:r w:rsidR="00A031F3">
        <w:t xml:space="preserve"> </w:t>
      </w:r>
      <w:r w:rsidR="00A031F3" w:rsidRPr="00EB5624">
        <w:t>(201</w:t>
      </w:r>
      <w:r w:rsidR="00A031F3">
        <w:t>0</w:t>
      </w:r>
      <w:r w:rsidR="00A031F3" w:rsidRPr="00EB5624">
        <w:t>)</w:t>
      </w:r>
      <w:r w:rsidR="00A031F3">
        <w:t xml:space="preserve"> used multi-method research to examine jury decision making process and fairness of the system. She performed case simulation with real jurors, large-scale analysis of all actual jury verdicts in two-year period and completed post-verdict survey of jurors. The results suggest that juries are fair regardless of a race of the defendant. While Black defendant are almost three and half times more likely to face jury, their conviction rate (67%) is only slightly higher that White defendants conviction rate (63%). “</w:t>
      </w:r>
      <w:r w:rsidR="00A031F3" w:rsidRPr="00B7106A">
        <w:t>This indicates that one stage in the criminal justice system where BME groups do not face persistent disproportionality is when a jury reaches a verdict</w:t>
      </w:r>
      <w:r w:rsidR="00A031F3">
        <w:t xml:space="preserve">.” </w:t>
      </w:r>
      <w:r w:rsidR="00A031F3" w:rsidRPr="00EB5624">
        <w:t>Thomas</w:t>
      </w:r>
      <w:r w:rsidR="00A031F3">
        <w:t xml:space="preserve"> </w:t>
      </w:r>
      <w:r w:rsidR="00A031F3" w:rsidRPr="00EB5624">
        <w:t>(201</w:t>
      </w:r>
      <w:r w:rsidR="00A031F3">
        <w:t>0, p.13</w:t>
      </w:r>
      <w:r w:rsidR="00A031F3" w:rsidRPr="00EB5624">
        <w:t>)</w:t>
      </w:r>
    </w:p>
    <w:p w14:paraId="008F01B3" w14:textId="2806B231" w:rsidR="00AB574D" w:rsidRDefault="00AB574D" w:rsidP="00AB574D">
      <w:pPr>
        <w:ind w:firstLine="720"/>
      </w:pPr>
      <w:r>
        <w:t xml:space="preserve">Meta-analysis done by Bomstein et al. (2017) done from the total of 53 studies concluded again that verdicts generally did not vary between samples and student samples should not cause concern in the jury simulation research. </w:t>
      </w:r>
    </w:p>
    <w:p w14:paraId="6D26B451" w14:textId="48E0F9CA" w:rsidR="00AB574D" w:rsidRDefault="00C77FBC" w:rsidP="00BB524A">
      <w:pPr>
        <w:ind w:firstLine="720"/>
      </w:pPr>
      <w:r>
        <w:t xml:space="preserve">“The Condorcet Jury Theorem” </w:t>
      </w:r>
      <w:r>
        <w:t xml:space="preserve">proposes the idea </w:t>
      </w:r>
      <w:r>
        <w:t xml:space="preserve">that with a limited </w:t>
      </w:r>
      <w:r>
        <w:t xml:space="preserve">amount of </w:t>
      </w:r>
      <w:r>
        <w:t xml:space="preserve">information the majority of the group (Jury) will choose the better alternative compared to just an individual (Judge). However, critics argue a judge, as a well-educated professional, would be less likely to be swayed by emotional, and thus more impartial evidence, than a jury composed of people who may lack the knowledge and education to perceive a deception or emotional manipulation. In his 1962–1963 report to the Harvard Law School, Dean Erwin Griswold said: “Why should anyone think that 12 persons brought in from the street, selected in various ways, for their lack of general ability, should have any special capacity for deciding controversies between persons? </w:t>
      </w:r>
      <w:r w:rsidRPr="00100347">
        <w:t>United States. Congress. (</w:t>
      </w:r>
      <w:r>
        <w:t>1967</w:t>
      </w:r>
      <w:r w:rsidRPr="00100347">
        <w:t xml:space="preserve">). Congressional Record: Proceedings and Debates of the </w:t>
      </w:r>
      <w:r>
        <w:t>90</w:t>
      </w:r>
      <w:r w:rsidRPr="00100347">
        <w:t>th Congress</w:t>
      </w:r>
      <w:r>
        <w:t xml:space="preserve"> (p.18358)</w:t>
      </w:r>
      <w:r>
        <w:t xml:space="preserve">. </w:t>
      </w:r>
      <w:r>
        <w:t xml:space="preserve">Jacob D. Fuchsberg former president of the American Trial Lawyers Association, a member of the President's </w:t>
      </w:r>
      <w:r>
        <w:lastRenderedPageBreak/>
        <w:t>Commission on Civil Rights defends the jury. “Judges have no monopoly on intelligence, insight, or fairness.</w:t>
      </w:r>
      <w:r>
        <w:t xml:space="preserve"> […]</w:t>
      </w:r>
      <w:r>
        <w:t>I believe the opinions of 12 people are better than the opinions of one—and I don't care whether they are 12 lawyers, 12 judges, or 12 laymen.</w:t>
      </w:r>
      <w:r>
        <w:t>”</w:t>
      </w:r>
      <w:r w:rsidRPr="00C77FBC">
        <w:t xml:space="preserve"> </w:t>
      </w:r>
      <w:r w:rsidRPr="00100347">
        <w:t>United States. Congress. (</w:t>
      </w:r>
      <w:r>
        <w:t>1967</w:t>
      </w:r>
      <w:r w:rsidRPr="00100347">
        <w:t xml:space="preserve">). Congressional Record: Proceedings and Debates of the </w:t>
      </w:r>
      <w:r>
        <w:t>90</w:t>
      </w:r>
      <w:r w:rsidRPr="00100347">
        <w:t>th Congress</w:t>
      </w:r>
      <w:r>
        <w:t xml:space="preserve"> (p.18358).</w:t>
      </w:r>
      <w:r w:rsidR="00C129FE">
        <w:t xml:space="preserve"> </w:t>
      </w:r>
      <w:r w:rsidR="00AB574D">
        <w:t xml:space="preserve">Guthrie (2001) assessed judges' susceptibility to cognitive bias and concluded judges were susceptible to flawed reasoning, the same as laypeople. </w:t>
      </w:r>
      <w:r w:rsidR="00AB574D" w:rsidRPr="005565C6">
        <w:t>Saks</w:t>
      </w:r>
      <w:r w:rsidR="00AB574D">
        <w:t xml:space="preserve">, Weighner </w:t>
      </w:r>
      <w:r w:rsidR="00AB574D" w:rsidRPr="005565C6">
        <w:t>(1997)</w:t>
      </w:r>
      <w:r w:rsidR="00AB574D">
        <w:t xml:space="preserve"> conducted a meta-analysis comparing effects of 6 or 12 member jury size in 17 studies and their differences. Nine studies used real jurors and the rests of them students.  The authors t</w:t>
      </w:r>
      <w:r w:rsidR="00C129FE">
        <w:t>ook</w:t>
      </w:r>
      <w:r w:rsidR="00AB574D">
        <w:t xml:space="preserve"> flaws of the included studies into account, assigning a weight to each one based upon the robustness of each study, the two authors rated studies independently and then compared results. Bornstein (2017) concludes in his book “The jury under fire: Myth, controversy, and reform” that “The weight of evidence strongly favours 12-member unanimous juries.” (p. 81) over 6 or other numbered juries. </w:t>
      </w:r>
    </w:p>
    <w:p w14:paraId="792A8A59" w14:textId="58FBFCC4" w:rsidR="00BB524A" w:rsidRDefault="00BB524A" w:rsidP="00BB524A">
      <w:pPr>
        <w:ind w:firstLine="720"/>
      </w:pPr>
      <w:bookmarkStart w:id="0" w:name="_GoBack"/>
      <w:bookmarkEnd w:id="0"/>
      <w:r>
        <w:t>To the question whether the sample matters, the answer is: ‘It depends on the manipulated variables, psychological processes studied and manipulated, legal standards used, setting and many other factors that interact with the sample.’ In other words, any decision-making jury, or even mock jury, produces depending on their knowledge, understanding, background, and this decision is further affected by instruction given, their emotional state, admissibility of evidence or nature of the decision – criminal culpability, or civil liability. Further, in the simulation part, the interaction between variables is affected by the quality of the jury simulation. Nevertheless, even unsuccessful jury modelling in the laboratory setting may prove to have beneficial to the scholastic community and may lead to development of new theories that capture the nature of jury decision-making.</w:t>
      </w:r>
    </w:p>
    <w:p w14:paraId="6B673326" w14:textId="271764A0" w:rsidR="00EB5624" w:rsidRDefault="00A031F3" w:rsidP="00BB524A">
      <w:pPr>
        <w:ind w:firstLine="720"/>
      </w:pPr>
      <w:r>
        <w:lastRenderedPageBreak/>
        <w:t>Some may say that due to the manufactured nature of the mock jury it is unrealistic and thus invalid, but opponents argue this issue is hardly straightforward and most of the variable results are robust.</w:t>
      </w:r>
    </w:p>
    <w:p w14:paraId="477C0665" w14:textId="7C0E3A56" w:rsidR="00C129FE" w:rsidRDefault="00C129FE" w:rsidP="00BB524A">
      <w:pPr>
        <w:ind w:firstLine="720"/>
      </w:pPr>
      <w:r>
        <w:t>The jury allows the community express itself and participate in the judicial system, as opposed to a small class of educated professionals, and this on itself is beneficial to the society.</w:t>
      </w:r>
    </w:p>
    <w:p w14:paraId="7361E6B9" w14:textId="0DDD4803" w:rsidR="00BC7659" w:rsidRDefault="00BC7659"/>
    <w:p w14:paraId="3E746658" w14:textId="77777777" w:rsidR="00BB524A" w:rsidRPr="00ED66B6" w:rsidRDefault="00BB524A" w:rsidP="00BB524A">
      <w:pPr>
        <w:jc w:val="center"/>
      </w:pPr>
      <w:r w:rsidRPr="00ED66B6">
        <w:t>References</w:t>
      </w:r>
    </w:p>
    <w:p w14:paraId="1287181C"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Bomstein, B.H. </w:t>
      </w:r>
      <w:r>
        <w:rPr>
          <w:rFonts w:ascii="Source Sans Pro" w:eastAsia="Times New Roman" w:hAnsi="Source Sans Pro" w:cs="Times New Roman"/>
          <w:sz w:val="23"/>
          <w:szCs w:val="23"/>
          <w:lang w:val="en-GB" w:eastAsia="en-GB"/>
        </w:rPr>
        <w:t>et</w:t>
      </w:r>
      <w:r w:rsidRPr="005E7D5B">
        <w:rPr>
          <w:rFonts w:ascii="Source Sans Pro" w:eastAsia="Times New Roman" w:hAnsi="Source Sans Pro" w:cs="Times New Roman"/>
          <w:sz w:val="23"/>
          <w:szCs w:val="23"/>
          <w:lang w:val="en-GB" w:eastAsia="en-GB"/>
        </w:rPr>
        <w:t xml:space="preserve"> al. (2017). Mock Juror Sampling Issues in Jury Simulation Research: A Meta-Analysis. </w:t>
      </w:r>
      <w:r w:rsidRPr="005E7D5B">
        <w:rPr>
          <w:rFonts w:ascii="Source Sans Pro" w:eastAsia="Times New Roman" w:hAnsi="Source Sans Pro" w:cs="Times New Roman"/>
          <w:i/>
          <w:iCs/>
          <w:sz w:val="23"/>
          <w:szCs w:val="23"/>
          <w:lang w:val="en-GB" w:eastAsia="en-GB"/>
        </w:rPr>
        <w:t>Law &amp; Human Behavior (American Psychological Association),</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41</w:t>
      </w:r>
      <w:r w:rsidRPr="005E7D5B">
        <w:rPr>
          <w:rFonts w:ascii="Source Sans Pro" w:eastAsia="Times New Roman" w:hAnsi="Source Sans Pro" w:cs="Times New Roman"/>
          <w:sz w:val="23"/>
          <w:szCs w:val="23"/>
          <w:lang w:val="en-GB" w:eastAsia="en-GB"/>
        </w:rPr>
        <w:t>(1), 13-29.</w:t>
      </w:r>
    </w:p>
    <w:p w14:paraId="63B4B15A"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2604B8F7" w14:textId="77777777" w:rsidR="00BB524A" w:rsidRPr="005E7D5B" w:rsidRDefault="00BB524A" w:rsidP="00BB524A">
      <w:pPr>
        <w:ind w:left="720" w:hanging="720"/>
        <w:rPr>
          <w:rFonts w:ascii="Source Sans Pro" w:eastAsia="Times New Roman" w:hAnsi="Source Sans Pro" w:cs="Times New Roman"/>
          <w:sz w:val="23"/>
          <w:szCs w:val="23"/>
          <w:u w:val="single"/>
          <w:lang w:val="en-GB" w:eastAsia="en-GB"/>
        </w:rPr>
      </w:pPr>
      <w:r w:rsidRPr="005E7D5B">
        <w:rPr>
          <w:rFonts w:ascii="Source Sans Pro" w:eastAsia="Times New Roman" w:hAnsi="Source Sans Pro" w:cs="Times New Roman"/>
          <w:sz w:val="23"/>
          <w:szCs w:val="23"/>
          <w:lang w:val="en-GB" w:eastAsia="en-GB"/>
        </w:rPr>
        <w:t>Bornstein, B. H. (1999). The ecological validity of jury simulations: Is the jury still out?</w:t>
      </w:r>
      <w:r w:rsidRPr="005E7D5B">
        <w:rPr>
          <w:rFonts w:ascii="Source Sans Pro" w:eastAsia="Times New Roman" w:hAnsi="Source Sans Pro" w:cs="Times New Roman"/>
          <w:i/>
          <w:iCs/>
          <w:sz w:val="23"/>
          <w:szCs w:val="23"/>
          <w:lang w:val="en-GB" w:eastAsia="en-GB"/>
        </w:rPr>
        <w:t> Law and Human Behavior, 23</w:t>
      </w:r>
      <w:r w:rsidRPr="005E7D5B">
        <w:rPr>
          <w:rFonts w:ascii="Source Sans Pro" w:eastAsia="Times New Roman" w:hAnsi="Source Sans Pro" w:cs="Times New Roman"/>
          <w:sz w:val="23"/>
          <w:szCs w:val="23"/>
          <w:lang w:val="en-GB" w:eastAsia="en-GB"/>
        </w:rPr>
        <w:t xml:space="preserve">(1), 75-91. Retrieved from </w:t>
      </w:r>
      <w:hyperlink r:id="rId4" w:history="1">
        <w:r w:rsidRPr="005E7D5B">
          <w:rPr>
            <w:rStyle w:val="Hyperlink"/>
            <w:rFonts w:ascii="Source Sans Pro" w:eastAsia="Times New Roman" w:hAnsi="Source Sans Pro" w:cs="Times New Roman"/>
            <w:sz w:val="23"/>
            <w:szCs w:val="23"/>
            <w:lang w:val="en-GB" w:eastAsia="en-GB"/>
          </w:rPr>
          <w:t>https://search.proquest.com/docview/204166172?accountid=130472</w:t>
        </w:r>
      </w:hyperlink>
    </w:p>
    <w:p w14:paraId="1E38AB75"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7F16652B"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Bornstein, Greene, &amp; Greene, Edie. (2017). </w:t>
      </w:r>
      <w:r w:rsidRPr="005E7D5B">
        <w:rPr>
          <w:rFonts w:ascii="Source Sans Pro" w:eastAsia="Times New Roman" w:hAnsi="Source Sans Pro" w:cs="Times New Roman"/>
          <w:i/>
          <w:iCs/>
          <w:sz w:val="23"/>
          <w:szCs w:val="23"/>
          <w:lang w:val="en-GB" w:eastAsia="en-GB"/>
        </w:rPr>
        <w:t>The jury under fire : Myth, controversy, and reform</w:t>
      </w:r>
      <w:r w:rsidRPr="005E7D5B">
        <w:rPr>
          <w:rFonts w:ascii="Source Sans Pro" w:eastAsia="Times New Roman" w:hAnsi="Source Sans Pro" w:cs="Times New Roman"/>
          <w:sz w:val="23"/>
          <w:szCs w:val="23"/>
          <w:lang w:val="en-GB" w:eastAsia="en-GB"/>
        </w:rPr>
        <w:t> (American Psychology-Law Society series)</w:t>
      </w:r>
    </w:p>
    <w:p w14:paraId="19340F45"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7D3A8C3A"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Cahoy, Daniel R. (2006). THE STAKES MATTER: EMPIRICAL EVIDENCE OF HYPOTHETICAL BIAS IN CASE EVALUATION AND THE CURATIVE POWER OF ECONOMIC INCENTIVES. St. John's Law Review, 80(4), 1275-1306. </w:t>
      </w:r>
    </w:p>
    <w:p w14:paraId="4A2275D2"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270ED0BB"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Devine, Dennis J. (2001). Jury decision making: 45 years of empirical research on deliberating groups. </w:t>
      </w:r>
      <w:r w:rsidRPr="005E7D5B">
        <w:rPr>
          <w:rFonts w:ascii="Source Sans Pro" w:eastAsia="Times New Roman" w:hAnsi="Source Sans Pro" w:cs="Times New Roman"/>
          <w:i/>
          <w:iCs/>
          <w:sz w:val="23"/>
          <w:szCs w:val="23"/>
          <w:lang w:val="en-GB" w:eastAsia="en-GB"/>
        </w:rPr>
        <w:t>Psychology, Public Policy, and Law,</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7</w:t>
      </w:r>
      <w:r w:rsidRPr="005E7D5B">
        <w:rPr>
          <w:rFonts w:ascii="Source Sans Pro" w:eastAsia="Times New Roman" w:hAnsi="Source Sans Pro" w:cs="Times New Roman"/>
          <w:sz w:val="23"/>
          <w:szCs w:val="23"/>
          <w:lang w:val="en-GB" w:eastAsia="en-GB"/>
        </w:rPr>
        <w:t>(3), 622-728.</w:t>
      </w:r>
    </w:p>
    <w:p w14:paraId="7E6A6ECC"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54297248"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Devine, Dennis J. (2016). Evidentiary, extraevidentiary, and deliberation process predictors of real jury verdicts. </w:t>
      </w:r>
      <w:r w:rsidRPr="005E7D5B">
        <w:rPr>
          <w:rFonts w:ascii="Source Sans Pro" w:eastAsia="Times New Roman" w:hAnsi="Source Sans Pro" w:cs="Times New Roman"/>
          <w:i/>
          <w:iCs/>
          <w:sz w:val="23"/>
          <w:szCs w:val="23"/>
          <w:lang w:val="en-GB" w:eastAsia="en-GB"/>
        </w:rPr>
        <w:t>Law and Human Behavior,</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40</w:t>
      </w:r>
      <w:r w:rsidRPr="005E7D5B">
        <w:rPr>
          <w:rFonts w:ascii="Source Sans Pro" w:eastAsia="Times New Roman" w:hAnsi="Source Sans Pro" w:cs="Times New Roman"/>
          <w:sz w:val="23"/>
          <w:szCs w:val="23"/>
          <w:lang w:val="en-GB" w:eastAsia="en-GB"/>
        </w:rPr>
        <w:t>(6), 670-683.</w:t>
      </w:r>
    </w:p>
    <w:p w14:paraId="55121CD5"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32E8E7B4"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Diamond, S. (1997). Illuminations and Shadows from Jury Simulations. </w:t>
      </w:r>
      <w:r w:rsidRPr="005E7D5B">
        <w:rPr>
          <w:rFonts w:ascii="Source Sans Pro" w:eastAsia="Times New Roman" w:hAnsi="Source Sans Pro" w:cs="Times New Roman"/>
          <w:i/>
          <w:iCs/>
          <w:sz w:val="23"/>
          <w:szCs w:val="23"/>
          <w:lang w:val="en-GB" w:eastAsia="en-GB"/>
        </w:rPr>
        <w:t>Law and Human Behavior,</w:t>
      </w:r>
      <w:r w:rsidRPr="005E7D5B">
        <w:rPr>
          <w:rFonts w:ascii="Source Sans Pro" w:eastAsia="Times New Roman" w:hAnsi="Source Sans Pro" w:cs="Times New Roman"/>
          <w:sz w:val="23"/>
          <w:szCs w:val="23"/>
          <w:lang w:val="en-GB" w:eastAsia="en-GB"/>
        </w:rPr>
        <w:t> </w:t>
      </w:r>
      <w:r w:rsidRPr="005E7D5B">
        <w:rPr>
          <w:rFonts w:ascii="Source Sans Pro" w:eastAsia="Times New Roman" w:hAnsi="Source Sans Pro" w:cs="Times New Roman"/>
          <w:i/>
          <w:iCs/>
          <w:sz w:val="23"/>
          <w:szCs w:val="23"/>
          <w:lang w:val="en-GB" w:eastAsia="en-GB"/>
        </w:rPr>
        <w:t>21</w:t>
      </w:r>
      <w:r w:rsidRPr="005E7D5B">
        <w:rPr>
          <w:rFonts w:ascii="Source Sans Pro" w:eastAsia="Times New Roman" w:hAnsi="Source Sans Pro" w:cs="Times New Roman"/>
          <w:sz w:val="23"/>
          <w:szCs w:val="23"/>
          <w:lang w:val="en-GB" w:eastAsia="en-GB"/>
        </w:rPr>
        <w:t>(5), 561-571.</w:t>
      </w:r>
    </w:p>
    <w:p w14:paraId="2C0DB371"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24A9C1BB" w14:textId="77777777" w:rsidR="00BB524A"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Ecker, U., Lewandowsky, S., Swire, B., &amp; Chang, D. (2011). Correcting false information in memory: Manipulating the strength of misinformation encoding and its retraction. </w:t>
      </w:r>
      <w:r w:rsidRPr="005E7D5B">
        <w:rPr>
          <w:rFonts w:ascii="Source Sans Pro" w:eastAsia="Times New Roman" w:hAnsi="Source Sans Pro" w:cs="Times New Roman"/>
          <w:i/>
          <w:iCs/>
          <w:sz w:val="23"/>
          <w:szCs w:val="23"/>
          <w:lang w:val="en-GB" w:eastAsia="en-GB"/>
        </w:rPr>
        <w:t>Psychonomic Bulletin &amp; Review,</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18</w:t>
      </w:r>
      <w:r w:rsidRPr="005E7D5B">
        <w:rPr>
          <w:rFonts w:ascii="Source Sans Pro" w:eastAsia="Times New Roman" w:hAnsi="Source Sans Pro" w:cs="Times New Roman"/>
          <w:sz w:val="23"/>
          <w:szCs w:val="23"/>
          <w:lang w:val="en-GB" w:eastAsia="en-GB"/>
        </w:rPr>
        <w:t>(3), 570-8.</w:t>
      </w:r>
    </w:p>
    <w:p w14:paraId="1F79E7F2" w14:textId="77777777" w:rsidR="00BB524A" w:rsidRDefault="00BB524A" w:rsidP="00BB524A">
      <w:pPr>
        <w:ind w:left="720" w:hanging="720"/>
        <w:rPr>
          <w:rFonts w:ascii="Source Sans Pro" w:eastAsia="Times New Roman" w:hAnsi="Source Sans Pro" w:cs="Times New Roman"/>
          <w:sz w:val="23"/>
          <w:szCs w:val="23"/>
          <w:lang w:val="en-GB" w:eastAsia="en-GB"/>
        </w:rPr>
      </w:pPr>
    </w:p>
    <w:p w14:paraId="22C3ED8E" w14:textId="77777777" w:rsidR="00BB524A" w:rsidRPr="00530686" w:rsidRDefault="00BB524A" w:rsidP="00BB524A">
      <w:pPr>
        <w:ind w:left="720" w:hanging="720"/>
        <w:rPr>
          <w:rFonts w:ascii="Source Sans Pro" w:eastAsia="Times New Roman" w:hAnsi="Source Sans Pro" w:cs="Times New Roman"/>
          <w:sz w:val="23"/>
          <w:szCs w:val="23"/>
          <w:lang w:eastAsia="en-GB"/>
        </w:rPr>
      </w:pPr>
      <w:bookmarkStart w:id="1" w:name="_Hlk45919743"/>
      <w:r w:rsidRPr="00530686">
        <w:rPr>
          <w:rFonts w:ascii="Source Sans Pro" w:eastAsia="Times New Roman" w:hAnsi="Source Sans Pro" w:cs="Times New Roman"/>
          <w:sz w:val="23"/>
          <w:szCs w:val="23"/>
          <w:lang w:eastAsia="en-GB"/>
        </w:rPr>
        <w:t>Farrell, Amy. (2013).</w:t>
      </w:r>
      <w:bookmarkEnd w:id="1"/>
      <w:r w:rsidRPr="00530686">
        <w:rPr>
          <w:rFonts w:ascii="Source Sans Pro" w:eastAsia="Times New Roman" w:hAnsi="Source Sans Pro" w:cs="Times New Roman"/>
          <w:sz w:val="23"/>
          <w:szCs w:val="23"/>
          <w:lang w:eastAsia="en-GB"/>
        </w:rPr>
        <w:t xml:space="preserve"> Juror Perceptions of the Legitimacy of Legal Authorities and Decision Making in Criminal Cases. Law &amp; Social Inquiry, 38(3), 773-803.</w:t>
      </w:r>
    </w:p>
    <w:p w14:paraId="517D34BB"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4B5CC319"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Guthrie, C. (2001). Inside the judicial mind. </w:t>
      </w:r>
      <w:r w:rsidRPr="005E7D5B">
        <w:rPr>
          <w:rFonts w:ascii="Source Sans Pro" w:eastAsia="Times New Roman" w:hAnsi="Source Sans Pro" w:cs="Times New Roman"/>
          <w:i/>
          <w:iCs/>
          <w:sz w:val="23"/>
          <w:szCs w:val="23"/>
          <w:lang w:val="en-GB" w:eastAsia="en-GB"/>
        </w:rPr>
        <w:t>Cornell Law Review,</w:t>
      </w:r>
      <w:r w:rsidRPr="005E7D5B">
        <w:rPr>
          <w:rFonts w:ascii="Source Sans Pro" w:eastAsia="Times New Roman" w:hAnsi="Source Sans Pro" w:cs="Times New Roman"/>
          <w:sz w:val="23"/>
          <w:szCs w:val="23"/>
          <w:lang w:val="en-GB" w:eastAsia="en-GB"/>
        </w:rPr>
        <w:t> </w:t>
      </w:r>
      <w:r w:rsidRPr="005E7D5B">
        <w:rPr>
          <w:rFonts w:ascii="Source Sans Pro" w:eastAsia="Times New Roman" w:hAnsi="Source Sans Pro" w:cs="Times New Roman"/>
          <w:i/>
          <w:iCs/>
          <w:sz w:val="23"/>
          <w:szCs w:val="23"/>
          <w:lang w:val="en-GB" w:eastAsia="en-GB"/>
        </w:rPr>
        <w:t>86</w:t>
      </w:r>
      <w:r w:rsidRPr="005E7D5B">
        <w:rPr>
          <w:rFonts w:ascii="Source Sans Pro" w:eastAsia="Times New Roman" w:hAnsi="Source Sans Pro" w:cs="Times New Roman"/>
          <w:sz w:val="23"/>
          <w:szCs w:val="23"/>
          <w:lang w:val="en-GB" w:eastAsia="en-GB"/>
        </w:rPr>
        <w:t>, 777-830.</w:t>
      </w:r>
    </w:p>
    <w:p w14:paraId="40B575C4"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0C73B853" w14:textId="77777777" w:rsidR="00BB524A"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Kalven, H., &amp; Zeisel, H. (1966). The American Jury and the Death Penalty. </w:t>
      </w:r>
      <w:r w:rsidRPr="005E7D5B">
        <w:rPr>
          <w:rFonts w:ascii="Source Sans Pro" w:eastAsia="Times New Roman" w:hAnsi="Source Sans Pro" w:cs="Times New Roman"/>
          <w:i/>
          <w:iCs/>
          <w:sz w:val="23"/>
          <w:szCs w:val="23"/>
          <w:lang w:val="en-GB" w:eastAsia="en-GB"/>
        </w:rPr>
        <w:t>The University of Chicago Law Review,</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33</w:t>
      </w:r>
      <w:r w:rsidRPr="005E7D5B">
        <w:rPr>
          <w:rFonts w:ascii="Source Sans Pro" w:eastAsia="Times New Roman" w:hAnsi="Source Sans Pro" w:cs="Times New Roman"/>
          <w:sz w:val="23"/>
          <w:szCs w:val="23"/>
          <w:lang w:val="en-GB" w:eastAsia="en-GB"/>
        </w:rPr>
        <w:t>(4), 769-781.</w:t>
      </w:r>
    </w:p>
    <w:p w14:paraId="4E72ECA4"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8A2C22">
        <w:rPr>
          <w:rFonts w:ascii="Source Sans Pro" w:eastAsia="Times New Roman" w:hAnsi="Source Sans Pro" w:cs="Times New Roman"/>
          <w:sz w:val="23"/>
          <w:szCs w:val="23"/>
          <w:lang w:eastAsia="en-GB"/>
        </w:rPr>
        <w:lastRenderedPageBreak/>
        <w:t>Kovera, Margaret Bull. (2019). Racial Disparities in the Criminal Justice System: Prevalence, Causes, and a Search for Solutions. </w:t>
      </w:r>
      <w:r w:rsidRPr="008A2C22">
        <w:rPr>
          <w:rFonts w:ascii="Source Sans Pro" w:eastAsia="Times New Roman" w:hAnsi="Source Sans Pro" w:cs="Times New Roman"/>
          <w:i/>
          <w:iCs/>
          <w:sz w:val="23"/>
          <w:szCs w:val="23"/>
          <w:lang w:eastAsia="en-GB"/>
        </w:rPr>
        <w:t>Journal of Social Issues,</w:t>
      </w:r>
      <w:r w:rsidRPr="008A2C22">
        <w:rPr>
          <w:rFonts w:ascii="Source Sans Pro" w:eastAsia="Times New Roman" w:hAnsi="Source Sans Pro" w:cs="Times New Roman"/>
          <w:sz w:val="23"/>
          <w:szCs w:val="23"/>
          <w:lang w:eastAsia="en-GB"/>
        </w:rPr>
        <w:t> </w:t>
      </w:r>
      <w:r w:rsidRPr="008A2C22">
        <w:rPr>
          <w:rFonts w:ascii="Source Sans Pro" w:eastAsia="Times New Roman" w:hAnsi="Source Sans Pro" w:cs="Times New Roman"/>
          <w:i/>
          <w:iCs/>
          <w:sz w:val="23"/>
          <w:szCs w:val="23"/>
          <w:lang w:eastAsia="en-GB"/>
        </w:rPr>
        <w:t>75</w:t>
      </w:r>
      <w:r w:rsidRPr="008A2C22">
        <w:rPr>
          <w:rFonts w:ascii="Source Sans Pro" w:eastAsia="Times New Roman" w:hAnsi="Source Sans Pro" w:cs="Times New Roman"/>
          <w:sz w:val="23"/>
          <w:szCs w:val="23"/>
          <w:lang w:eastAsia="en-GB"/>
        </w:rPr>
        <w:t>(4), 1139-1165.</w:t>
      </w:r>
    </w:p>
    <w:p w14:paraId="29ED3B07"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0CFE4128"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 xml:space="preserve">Lieberman, Joel D. (2016). The Good, the Bad, and the Ugly: Professional Perceptions of Jury Decision-making Research Practices. </w:t>
      </w:r>
      <w:r w:rsidRPr="005E7D5B">
        <w:rPr>
          <w:rFonts w:ascii="Source Sans Pro" w:eastAsia="Times New Roman" w:hAnsi="Source Sans Pro" w:cs="Times New Roman"/>
          <w:i/>
          <w:iCs/>
          <w:sz w:val="23"/>
          <w:szCs w:val="23"/>
          <w:lang w:val="en-GB" w:eastAsia="en-GB"/>
        </w:rPr>
        <w:t>Behavioral Sciences &amp; the Law,</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34</w:t>
      </w:r>
      <w:r w:rsidRPr="005E7D5B">
        <w:rPr>
          <w:rFonts w:ascii="Source Sans Pro" w:eastAsia="Times New Roman" w:hAnsi="Source Sans Pro" w:cs="Times New Roman"/>
          <w:sz w:val="23"/>
          <w:szCs w:val="23"/>
          <w:lang w:val="en-GB" w:eastAsia="en-GB"/>
        </w:rPr>
        <w:t>(4), 495-515.</w:t>
      </w:r>
    </w:p>
    <w:p w14:paraId="11164532"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1E694258"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MacCoun, R. (1989). Experimental Research on Jury Decision-Making. </w:t>
      </w:r>
      <w:r w:rsidRPr="005E7D5B">
        <w:rPr>
          <w:rFonts w:ascii="Source Sans Pro" w:eastAsia="Times New Roman" w:hAnsi="Source Sans Pro" w:cs="Times New Roman"/>
          <w:i/>
          <w:iCs/>
          <w:sz w:val="23"/>
          <w:szCs w:val="23"/>
          <w:lang w:val="en-GB" w:eastAsia="en-GB"/>
        </w:rPr>
        <w:t>Science,</w:t>
      </w:r>
      <w:r w:rsidRPr="005E7D5B">
        <w:rPr>
          <w:rFonts w:ascii="Source Sans Pro" w:eastAsia="Times New Roman" w:hAnsi="Source Sans Pro" w:cs="Times New Roman"/>
          <w:sz w:val="23"/>
          <w:szCs w:val="23"/>
          <w:lang w:val="en-GB" w:eastAsia="en-GB"/>
        </w:rPr>
        <w:t> </w:t>
      </w:r>
      <w:r w:rsidRPr="005E7D5B">
        <w:rPr>
          <w:rFonts w:ascii="Source Sans Pro" w:eastAsia="Times New Roman" w:hAnsi="Source Sans Pro" w:cs="Times New Roman"/>
          <w:i/>
          <w:iCs/>
          <w:sz w:val="23"/>
          <w:szCs w:val="23"/>
          <w:lang w:val="en-GB" w:eastAsia="en-GB"/>
        </w:rPr>
        <w:t>244</w:t>
      </w:r>
      <w:r w:rsidRPr="005E7D5B">
        <w:rPr>
          <w:rFonts w:ascii="Source Sans Pro" w:eastAsia="Times New Roman" w:hAnsi="Source Sans Pro" w:cs="Times New Roman"/>
          <w:sz w:val="23"/>
          <w:szCs w:val="23"/>
          <w:lang w:val="en-GB" w:eastAsia="en-GB"/>
        </w:rPr>
        <w:t>(4908), 1046-1050.</w:t>
      </w:r>
    </w:p>
    <w:p w14:paraId="4722DFC4"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1FEF4C14"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McCabe, J., &amp; Krauss, D. (2011). The Effect of Acknowledging Mock Jurors' Feelings on Affective and Cognitive Biases: It Depends on the Sample. </w:t>
      </w:r>
      <w:r w:rsidRPr="005E7D5B">
        <w:rPr>
          <w:rFonts w:ascii="Source Sans Pro" w:eastAsia="Times New Roman" w:hAnsi="Source Sans Pro" w:cs="Times New Roman"/>
          <w:i/>
          <w:iCs/>
          <w:sz w:val="23"/>
          <w:szCs w:val="23"/>
          <w:lang w:val="en-GB" w:eastAsia="en-GB"/>
        </w:rPr>
        <w:t>Behavioral Sciences &amp; the Law,</w:t>
      </w:r>
      <w:r w:rsidRPr="005E7D5B">
        <w:rPr>
          <w:rFonts w:ascii="Source Sans Pro" w:eastAsia="Times New Roman" w:hAnsi="Source Sans Pro" w:cs="Times New Roman"/>
          <w:sz w:val="23"/>
          <w:szCs w:val="23"/>
          <w:lang w:val="en-GB" w:eastAsia="en-GB"/>
        </w:rPr>
        <w:t> </w:t>
      </w:r>
      <w:r w:rsidRPr="005E7D5B">
        <w:rPr>
          <w:rFonts w:ascii="Source Sans Pro" w:eastAsia="Times New Roman" w:hAnsi="Source Sans Pro" w:cs="Times New Roman"/>
          <w:i/>
          <w:iCs/>
          <w:sz w:val="23"/>
          <w:szCs w:val="23"/>
          <w:lang w:val="en-GB" w:eastAsia="en-GB"/>
        </w:rPr>
        <w:t>29</w:t>
      </w:r>
      <w:r w:rsidRPr="005E7D5B">
        <w:rPr>
          <w:rFonts w:ascii="Source Sans Pro" w:eastAsia="Times New Roman" w:hAnsi="Source Sans Pro" w:cs="Times New Roman"/>
          <w:sz w:val="23"/>
          <w:szCs w:val="23"/>
          <w:lang w:val="en-GB" w:eastAsia="en-GB"/>
        </w:rPr>
        <w:t>(3), 331-357.</w:t>
      </w:r>
    </w:p>
    <w:p w14:paraId="3A4667FE"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3A10551D" w14:textId="77777777" w:rsidR="00BB524A" w:rsidRDefault="00BB524A" w:rsidP="00BB524A">
      <w:pPr>
        <w:ind w:left="720" w:hanging="720"/>
        <w:rPr>
          <w:rFonts w:ascii="Source Sans Pro" w:eastAsia="Times New Roman" w:hAnsi="Source Sans Pro" w:cs="Times New Roman"/>
          <w:sz w:val="23"/>
          <w:szCs w:val="23"/>
          <w:lang w:val="en-GB" w:eastAsia="en-GB"/>
        </w:rPr>
      </w:pPr>
      <w:r w:rsidRPr="005E7D5B">
        <w:rPr>
          <w:rFonts w:ascii="Source Sans Pro" w:eastAsia="Times New Roman" w:hAnsi="Source Sans Pro" w:cs="Times New Roman"/>
          <w:sz w:val="23"/>
          <w:szCs w:val="23"/>
          <w:lang w:val="en-GB" w:eastAsia="en-GB"/>
        </w:rPr>
        <w:t>Yelderman, L. A. (2019). Death penalty decision</w:t>
      </w:r>
      <w:r w:rsidRPr="005E7D5B">
        <w:rPr>
          <w:rFonts w:ascii="Cambria Math" w:eastAsia="Times New Roman" w:hAnsi="Cambria Math" w:cs="Cambria Math"/>
          <w:sz w:val="23"/>
          <w:szCs w:val="23"/>
          <w:lang w:val="en-GB" w:eastAsia="en-GB"/>
        </w:rPr>
        <w:t>‐</w:t>
      </w:r>
      <w:r w:rsidRPr="005E7D5B">
        <w:rPr>
          <w:rFonts w:ascii="Source Sans Pro" w:eastAsia="Times New Roman" w:hAnsi="Source Sans Pro" w:cs="Times New Roman"/>
          <w:sz w:val="23"/>
          <w:szCs w:val="23"/>
          <w:lang w:val="en-GB" w:eastAsia="en-GB"/>
        </w:rPr>
        <w:t xml:space="preserve">making: Fundamentalist beliefs and the evaluation of aggravating and mitigating circumstances. </w:t>
      </w:r>
      <w:r w:rsidRPr="005E7D5B">
        <w:rPr>
          <w:rFonts w:ascii="Source Sans Pro" w:eastAsia="Times New Roman" w:hAnsi="Source Sans Pro" w:cs="Times New Roman"/>
          <w:i/>
          <w:iCs/>
          <w:sz w:val="23"/>
          <w:szCs w:val="23"/>
          <w:lang w:val="en-GB" w:eastAsia="en-GB"/>
        </w:rPr>
        <w:t>Legal &amp; Criminological Psychology,</w:t>
      </w:r>
      <w:r w:rsidRPr="005E7D5B">
        <w:rPr>
          <w:rFonts w:ascii="Source Sans Pro" w:eastAsia="Times New Roman" w:hAnsi="Source Sans Pro" w:cs="Times New Roman"/>
          <w:sz w:val="23"/>
          <w:szCs w:val="23"/>
          <w:lang w:val="en-GB" w:eastAsia="en-GB"/>
        </w:rPr>
        <w:t xml:space="preserve"> </w:t>
      </w:r>
      <w:r w:rsidRPr="005E7D5B">
        <w:rPr>
          <w:rFonts w:ascii="Source Sans Pro" w:eastAsia="Times New Roman" w:hAnsi="Source Sans Pro" w:cs="Times New Roman"/>
          <w:i/>
          <w:iCs/>
          <w:sz w:val="23"/>
          <w:szCs w:val="23"/>
          <w:lang w:val="en-GB" w:eastAsia="en-GB"/>
        </w:rPr>
        <w:t>24</w:t>
      </w:r>
      <w:r w:rsidRPr="005E7D5B">
        <w:rPr>
          <w:rFonts w:ascii="Source Sans Pro" w:eastAsia="Times New Roman" w:hAnsi="Source Sans Pro" w:cs="Times New Roman"/>
          <w:sz w:val="23"/>
          <w:szCs w:val="23"/>
          <w:lang w:val="en-GB" w:eastAsia="en-GB"/>
        </w:rPr>
        <w:t>(1), 103-123.</w:t>
      </w:r>
    </w:p>
    <w:p w14:paraId="1F9E0B36" w14:textId="77777777" w:rsidR="00BB524A" w:rsidRDefault="00BB524A" w:rsidP="00BB524A">
      <w:pPr>
        <w:ind w:left="720" w:hanging="720"/>
        <w:rPr>
          <w:rFonts w:ascii="Source Sans Pro" w:eastAsia="Times New Roman" w:hAnsi="Source Sans Pro" w:cs="Times New Roman"/>
          <w:sz w:val="23"/>
          <w:szCs w:val="23"/>
          <w:lang w:val="en-GB" w:eastAsia="en-GB"/>
        </w:rPr>
      </w:pPr>
    </w:p>
    <w:p w14:paraId="0D20C9A6" w14:textId="77777777" w:rsidR="00BB524A" w:rsidRDefault="00BB524A" w:rsidP="00BB524A">
      <w:pPr>
        <w:ind w:left="720" w:hanging="720"/>
        <w:rPr>
          <w:rFonts w:ascii="Source Sans Pro" w:eastAsia="Times New Roman" w:hAnsi="Source Sans Pro" w:cs="Times New Roman"/>
          <w:sz w:val="23"/>
          <w:szCs w:val="23"/>
          <w:lang w:val="en-GB" w:eastAsia="en-GB"/>
        </w:rPr>
      </w:pPr>
      <w:r w:rsidRPr="003F521B">
        <w:rPr>
          <w:rFonts w:ascii="Source Sans Pro" w:eastAsia="Times New Roman" w:hAnsi="Source Sans Pro" w:cs="Times New Roman"/>
          <w:sz w:val="23"/>
          <w:szCs w:val="23"/>
          <w:lang w:val="en-GB" w:eastAsia="en-GB"/>
        </w:rPr>
        <w:t>McCannon, Bryan. (2016). Endogenous competence and a limit to the Condorcet Jury Theorem. Public Choice, 169(1/2), 1-19.</w:t>
      </w:r>
    </w:p>
    <w:p w14:paraId="3DE48D2B" w14:textId="77777777" w:rsidR="00BB524A" w:rsidRDefault="00BB524A" w:rsidP="00BB524A">
      <w:pPr>
        <w:ind w:left="720" w:hanging="720"/>
        <w:rPr>
          <w:rFonts w:ascii="Source Sans Pro" w:eastAsia="Times New Roman" w:hAnsi="Source Sans Pro" w:cs="Times New Roman"/>
          <w:sz w:val="23"/>
          <w:szCs w:val="23"/>
          <w:lang w:val="en-GB" w:eastAsia="en-GB"/>
        </w:rPr>
      </w:pPr>
    </w:p>
    <w:p w14:paraId="04087661" w14:textId="77777777" w:rsidR="00BB524A" w:rsidRDefault="00BB524A" w:rsidP="00BB524A">
      <w:pPr>
        <w:ind w:left="720" w:hanging="720"/>
        <w:rPr>
          <w:rFonts w:ascii="Source Sans Pro" w:eastAsia="Times New Roman" w:hAnsi="Source Sans Pro" w:cs="Times New Roman"/>
          <w:sz w:val="23"/>
          <w:szCs w:val="23"/>
          <w:lang w:val="en-GB" w:eastAsia="en-GB"/>
        </w:rPr>
      </w:pPr>
      <w:r w:rsidRPr="00716C1E">
        <w:rPr>
          <w:rFonts w:ascii="Source Sans Pro" w:eastAsia="Times New Roman" w:hAnsi="Source Sans Pro" w:cs="Times New Roman"/>
          <w:sz w:val="23"/>
          <w:szCs w:val="23"/>
          <w:lang w:val="en-GB" w:eastAsia="en-GB"/>
        </w:rPr>
        <w:lastRenderedPageBreak/>
        <w:t>Farrell, Amy. (2013). Juror Perceptions of the Legitimacy of Legal Authorities and Decision Making in Criminal Cases. Law &amp; Social Inquiry, 38(3), 773-803.</w:t>
      </w:r>
    </w:p>
    <w:p w14:paraId="53B20CDA" w14:textId="77777777" w:rsidR="00BB524A" w:rsidRDefault="00BB524A" w:rsidP="00BB524A">
      <w:pPr>
        <w:ind w:left="720" w:hanging="720"/>
        <w:rPr>
          <w:rFonts w:ascii="Source Sans Pro" w:eastAsia="Times New Roman" w:hAnsi="Source Sans Pro" w:cs="Times New Roman"/>
          <w:sz w:val="23"/>
          <w:szCs w:val="23"/>
          <w:lang w:val="en-GB" w:eastAsia="en-GB"/>
        </w:rPr>
      </w:pPr>
    </w:p>
    <w:p w14:paraId="70A3E813" w14:textId="77777777" w:rsidR="00BB524A" w:rsidRDefault="00BB524A" w:rsidP="00BB524A">
      <w:pPr>
        <w:ind w:left="720" w:hanging="720"/>
        <w:rPr>
          <w:rFonts w:ascii="Source Sans Pro" w:eastAsia="Times New Roman" w:hAnsi="Source Sans Pro" w:cs="Times New Roman"/>
          <w:sz w:val="23"/>
          <w:szCs w:val="23"/>
          <w:lang w:eastAsia="en-GB"/>
        </w:rPr>
      </w:pPr>
      <w:r w:rsidRPr="003212AD">
        <w:rPr>
          <w:rFonts w:ascii="Source Sans Pro" w:eastAsia="Times New Roman" w:hAnsi="Source Sans Pro" w:cs="Times New Roman"/>
          <w:sz w:val="23"/>
          <w:szCs w:val="23"/>
          <w:lang w:eastAsia="en-GB"/>
        </w:rPr>
        <w:t>Saks, Michael J.</w:t>
      </w:r>
      <w:r>
        <w:rPr>
          <w:rFonts w:ascii="Source Sans Pro" w:eastAsia="Times New Roman" w:hAnsi="Source Sans Pro" w:cs="Times New Roman"/>
          <w:sz w:val="23"/>
          <w:szCs w:val="23"/>
          <w:lang w:eastAsia="en-GB"/>
        </w:rPr>
        <w:t>, Weighner, Mollie Marti</w:t>
      </w:r>
      <w:r w:rsidRPr="003212AD">
        <w:rPr>
          <w:rFonts w:ascii="Source Sans Pro" w:eastAsia="Times New Roman" w:hAnsi="Source Sans Pro" w:cs="Times New Roman"/>
          <w:sz w:val="23"/>
          <w:szCs w:val="23"/>
          <w:lang w:eastAsia="en-GB"/>
        </w:rPr>
        <w:t>(1997). A Meta-Analysis of the effects of jury size. </w:t>
      </w:r>
      <w:r w:rsidRPr="003212AD">
        <w:rPr>
          <w:rFonts w:ascii="Source Sans Pro" w:eastAsia="Times New Roman" w:hAnsi="Source Sans Pro" w:cs="Times New Roman"/>
          <w:i/>
          <w:iCs/>
          <w:sz w:val="23"/>
          <w:szCs w:val="23"/>
          <w:lang w:eastAsia="en-GB"/>
        </w:rPr>
        <w:t>Law and Human Behavior,</w:t>
      </w:r>
      <w:r w:rsidRPr="003212AD">
        <w:rPr>
          <w:rFonts w:ascii="Source Sans Pro" w:eastAsia="Times New Roman" w:hAnsi="Source Sans Pro" w:cs="Times New Roman"/>
          <w:sz w:val="23"/>
          <w:szCs w:val="23"/>
          <w:lang w:eastAsia="en-GB"/>
        </w:rPr>
        <w:t> </w:t>
      </w:r>
      <w:r w:rsidRPr="003212AD">
        <w:rPr>
          <w:rFonts w:ascii="Source Sans Pro" w:eastAsia="Times New Roman" w:hAnsi="Source Sans Pro" w:cs="Times New Roman"/>
          <w:i/>
          <w:iCs/>
          <w:sz w:val="23"/>
          <w:szCs w:val="23"/>
          <w:lang w:eastAsia="en-GB"/>
        </w:rPr>
        <w:t>21</w:t>
      </w:r>
      <w:r w:rsidRPr="003212AD">
        <w:rPr>
          <w:rFonts w:ascii="Source Sans Pro" w:eastAsia="Times New Roman" w:hAnsi="Source Sans Pro" w:cs="Times New Roman"/>
          <w:sz w:val="23"/>
          <w:szCs w:val="23"/>
          <w:lang w:eastAsia="en-GB"/>
        </w:rPr>
        <w:t>(5), 451-468</w:t>
      </w:r>
    </w:p>
    <w:p w14:paraId="5B0B1BC9" w14:textId="77777777" w:rsidR="00BB524A" w:rsidRDefault="00BB524A" w:rsidP="00BB524A">
      <w:pPr>
        <w:ind w:left="720" w:hanging="720"/>
        <w:rPr>
          <w:rFonts w:ascii="Source Sans Pro" w:eastAsia="Times New Roman" w:hAnsi="Source Sans Pro" w:cs="Times New Roman"/>
          <w:sz w:val="23"/>
          <w:szCs w:val="23"/>
          <w:lang w:eastAsia="en-GB"/>
        </w:rPr>
      </w:pPr>
    </w:p>
    <w:p w14:paraId="5435C3A9" w14:textId="77777777" w:rsidR="00BB524A" w:rsidRDefault="00BB524A" w:rsidP="00BB524A">
      <w:pPr>
        <w:ind w:left="720" w:hanging="720"/>
        <w:rPr>
          <w:rFonts w:ascii="Source Sans Pro" w:eastAsia="Times New Roman" w:hAnsi="Source Sans Pro" w:cs="Times New Roman"/>
          <w:sz w:val="23"/>
          <w:szCs w:val="23"/>
          <w:lang w:eastAsia="en-GB"/>
        </w:rPr>
      </w:pPr>
      <w:r w:rsidRPr="002D7BC5">
        <w:rPr>
          <w:rFonts w:ascii="Source Sans Pro" w:eastAsia="Times New Roman" w:hAnsi="Source Sans Pro" w:cs="Times New Roman"/>
          <w:sz w:val="23"/>
          <w:szCs w:val="23"/>
          <w:lang w:eastAsia="en-GB"/>
        </w:rPr>
        <w:t>MacCoun, R. (1989). Experimental Research on Jury Decision-Making. </w:t>
      </w:r>
      <w:r w:rsidRPr="002D7BC5">
        <w:rPr>
          <w:rFonts w:ascii="Source Sans Pro" w:eastAsia="Times New Roman" w:hAnsi="Source Sans Pro" w:cs="Times New Roman"/>
          <w:i/>
          <w:iCs/>
          <w:sz w:val="23"/>
          <w:szCs w:val="23"/>
          <w:lang w:eastAsia="en-GB"/>
        </w:rPr>
        <w:t>Science,</w:t>
      </w:r>
      <w:r w:rsidRPr="002D7BC5">
        <w:rPr>
          <w:rFonts w:ascii="Source Sans Pro" w:eastAsia="Times New Roman" w:hAnsi="Source Sans Pro" w:cs="Times New Roman"/>
          <w:sz w:val="23"/>
          <w:szCs w:val="23"/>
          <w:lang w:eastAsia="en-GB"/>
        </w:rPr>
        <w:t> </w:t>
      </w:r>
      <w:r w:rsidRPr="002D7BC5">
        <w:rPr>
          <w:rFonts w:ascii="Source Sans Pro" w:eastAsia="Times New Roman" w:hAnsi="Source Sans Pro" w:cs="Times New Roman"/>
          <w:i/>
          <w:iCs/>
          <w:sz w:val="23"/>
          <w:szCs w:val="23"/>
          <w:lang w:eastAsia="en-GB"/>
        </w:rPr>
        <w:t>244</w:t>
      </w:r>
      <w:r w:rsidRPr="002D7BC5">
        <w:rPr>
          <w:rFonts w:ascii="Source Sans Pro" w:eastAsia="Times New Roman" w:hAnsi="Source Sans Pro" w:cs="Times New Roman"/>
          <w:sz w:val="23"/>
          <w:szCs w:val="23"/>
          <w:lang w:eastAsia="en-GB"/>
        </w:rPr>
        <w:t>(4908), 1046-1050.</w:t>
      </w:r>
    </w:p>
    <w:p w14:paraId="2DA01BD6" w14:textId="77777777" w:rsidR="00BB524A" w:rsidRDefault="00BB524A" w:rsidP="00BB524A">
      <w:pPr>
        <w:ind w:left="720" w:hanging="720"/>
        <w:rPr>
          <w:rFonts w:ascii="Source Sans Pro" w:eastAsia="Times New Roman" w:hAnsi="Source Sans Pro" w:cs="Times New Roman"/>
          <w:sz w:val="23"/>
          <w:szCs w:val="23"/>
          <w:lang w:eastAsia="en-GB"/>
        </w:rPr>
      </w:pPr>
    </w:p>
    <w:p w14:paraId="7258BABA" w14:textId="77777777" w:rsidR="00BB524A" w:rsidRDefault="00BB524A" w:rsidP="00BB524A">
      <w:pPr>
        <w:ind w:left="720" w:hanging="720"/>
        <w:rPr>
          <w:rFonts w:ascii="Source Sans Pro" w:eastAsia="Times New Roman" w:hAnsi="Source Sans Pro" w:cs="Times New Roman"/>
          <w:sz w:val="23"/>
          <w:szCs w:val="23"/>
          <w:lang w:eastAsia="en-GB"/>
        </w:rPr>
      </w:pPr>
      <w:r w:rsidRPr="00EE0DAC">
        <w:rPr>
          <w:rFonts w:ascii="Source Sans Pro" w:eastAsia="Times New Roman" w:hAnsi="Source Sans Pro" w:cs="Times New Roman"/>
          <w:sz w:val="23"/>
          <w:szCs w:val="23"/>
          <w:lang w:eastAsia="en-GB"/>
        </w:rPr>
        <w:t>Lassiter, G., Geers, A., Handley, I., &amp; Weiland, P. (2002). Videotaped interrogations and confessions: A simple change in camera perspective alters verdicts in simulated trials. </w:t>
      </w:r>
      <w:r w:rsidRPr="00EE0DAC">
        <w:rPr>
          <w:rFonts w:ascii="Source Sans Pro" w:eastAsia="Times New Roman" w:hAnsi="Source Sans Pro" w:cs="Times New Roman"/>
          <w:i/>
          <w:iCs/>
          <w:sz w:val="23"/>
          <w:szCs w:val="23"/>
          <w:lang w:eastAsia="en-GB"/>
        </w:rPr>
        <w:t>Journal of Applied Psychology,</w:t>
      </w:r>
      <w:r w:rsidRPr="00EE0DAC">
        <w:rPr>
          <w:rFonts w:ascii="Source Sans Pro" w:eastAsia="Times New Roman" w:hAnsi="Source Sans Pro" w:cs="Times New Roman"/>
          <w:sz w:val="23"/>
          <w:szCs w:val="23"/>
          <w:lang w:eastAsia="en-GB"/>
        </w:rPr>
        <w:t> </w:t>
      </w:r>
      <w:r w:rsidRPr="00EE0DAC">
        <w:rPr>
          <w:rFonts w:ascii="Source Sans Pro" w:eastAsia="Times New Roman" w:hAnsi="Source Sans Pro" w:cs="Times New Roman"/>
          <w:i/>
          <w:iCs/>
          <w:sz w:val="23"/>
          <w:szCs w:val="23"/>
          <w:lang w:eastAsia="en-GB"/>
        </w:rPr>
        <w:t>87</w:t>
      </w:r>
      <w:r w:rsidRPr="00EE0DAC">
        <w:rPr>
          <w:rFonts w:ascii="Source Sans Pro" w:eastAsia="Times New Roman" w:hAnsi="Source Sans Pro" w:cs="Times New Roman"/>
          <w:sz w:val="23"/>
          <w:szCs w:val="23"/>
          <w:lang w:eastAsia="en-GB"/>
        </w:rPr>
        <w:t>(5), 867-874.</w:t>
      </w:r>
    </w:p>
    <w:p w14:paraId="5100778B" w14:textId="77777777" w:rsidR="00BB524A" w:rsidRDefault="00BB524A" w:rsidP="00BB524A">
      <w:pPr>
        <w:ind w:left="720" w:hanging="720"/>
        <w:rPr>
          <w:rFonts w:ascii="Source Sans Pro" w:eastAsia="Times New Roman" w:hAnsi="Source Sans Pro" w:cs="Times New Roman"/>
          <w:sz w:val="23"/>
          <w:szCs w:val="23"/>
          <w:lang w:eastAsia="en-GB"/>
        </w:rPr>
      </w:pPr>
    </w:p>
    <w:p w14:paraId="19F6E0A5" w14:textId="77777777" w:rsidR="00BB524A" w:rsidRDefault="00BB524A" w:rsidP="00BB524A">
      <w:pPr>
        <w:ind w:left="720" w:hanging="720"/>
        <w:rPr>
          <w:rFonts w:ascii="Source Sans Pro" w:eastAsia="Times New Roman" w:hAnsi="Source Sans Pro" w:cs="Times New Roman"/>
          <w:sz w:val="23"/>
          <w:szCs w:val="23"/>
          <w:lang w:eastAsia="en-GB"/>
        </w:rPr>
      </w:pPr>
      <w:r w:rsidRPr="005C0239">
        <w:rPr>
          <w:rFonts w:ascii="Source Sans Pro" w:eastAsia="Times New Roman" w:hAnsi="Source Sans Pro" w:cs="Times New Roman"/>
          <w:sz w:val="23"/>
          <w:szCs w:val="23"/>
          <w:lang w:eastAsia="en-GB"/>
        </w:rPr>
        <w:t>Sixth Amendment -- No-Impeachment Rule -- Racially Biased Statements in Jury Deliberations -- Peña-Rodriguez v. Colorado. (2017). </w:t>
      </w:r>
      <w:r w:rsidRPr="005C0239">
        <w:rPr>
          <w:rFonts w:ascii="Source Sans Pro" w:eastAsia="Times New Roman" w:hAnsi="Source Sans Pro" w:cs="Times New Roman"/>
          <w:i/>
          <w:iCs/>
          <w:sz w:val="23"/>
          <w:szCs w:val="23"/>
          <w:lang w:eastAsia="en-GB"/>
        </w:rPr>
        <w:t>Harvard Law Review,</w:t>
      </w:r>
      <w:r w:rsidRPr="005C0239">
        <w:rPr>
          <w:rFonts w:ascii="Source Sans Pro" w:eastAsia="Times New Roman" w:hAnsi="Source Sans Pro" w:cs="Times New Roman"/>
          <w:sz w:val="23"/>
          <w:szCs w:val="23"/>
          <w:lang w:eastAsia="en-GB"/>
        </w:rPr>
        <w:t> </w:t>
      </w:r>
      <w:r w:rsidRPr="005C0239">
        <w:rPr>
          <w:rFonts w:ascii="Source Sans Pro" w:eastAsia="Times New Roman" w:hAnsi="Source Sans Pro" w:cs="Times New Roman"/>
          <w:i/>
          <w:iCs/>
          <w:sz w:val="23"/>
          <w:szCs w:val="23"/>
          <w:lang w:eastAsia="en-GB"/>
        </w:rPr>
        <w:t>131</w:t>
      </w:r>
      <w:r w:rsidRPr="005C0239">
        <w:rPr>
          <w:rFonts w:ascii="Source Sans Pro" w:eastAsia="Times New Roman" w:hAnsi="Source Sans Pro" w:cs="Times New Roman"/>
          <w:sz w:val="23"/>
          <w:szCs w:val="23"/>
          <w:lang w:eastAsia="en-GB"/>
        </w:rPr>
        <w:t>(1), 273-283.</w:t>
      </w:r>
    </w:p>
    <w:p w14:paraId="2F14E8EB" w14:textId="77777777" w:rsidR="00BB524A" w:rsidRDefault="00BB524A" w:rsidP="00BB524A">
      <w:pPr>
        <w:ind w:left="720" w:hanging="720"/>
        <w:rPr>
          <w:rFonts w:ascii="Source Sans Pro" w:eastAsia="Times New Roman" w:hAnsi="Source Sans Pro" w:cs="Times New Roman"/>
          <w:sz w:val="23"/>
          <w:szCs w:val="23"/>
          <w:lang w:eastAsia="en-GB"/>
        </w:rPr>
      </w:pPr>
    </w:p>
    <w:p w14:paraId="50384414" w14:textId="77777777" w:rsidR="00BB524A" w:rsidRDefault="00BB524A" w:rsidP="00BB524A">
      <w:pPr>
        <w:ind w:left="720" w:hanging="720"/>
      </w:pPr>
      <w:r w:rsidRPr="00A35961">
        <w:rPr>
          <w:rFonts w:ascii="Source Sans Pro" w:eastAsia="Times New Roman" w:hAnsi="Source Sans Pro" w:cs="Times New Roman"/>
          <w:sz w:val="23"/>
          <w:szCs w:val="23"/>
          <w:lang w:eastAsia="en-GB"/>
        </w:rPr>
        <w:t>Criminal Justice and Courts Act 2015 Chapter 2, part 3, section 74, 550.</w:t>
      </w:r>
      <w:r>
        <w:rPr>
          <w:rFonts w:ascii="Source Sans Pro" w:eastAsia="Times New Roman" w:hAnsi="Source Sans Pro" w:cs="Times New Roman"/>
          <w:sz w:val="23"/>
          <w:szCs w:val="23"/>
          <w:lang w:eastAsia="en-GB"/>
        </w:rPr>
        <w:t xml:space="preserve"> </w:t>
      </w:r>
      <w:hyperlink r:id="rId5" w:history="1">
        <w:r>
          <w:rPr>
            <w:rStyle w:val="Hyperlink"/>
          </w:rPr>
          <w:t>https://www.legislation.gov.uk/ukpga/2015/2/section/74/notes</w:t>
        </w:r>
      </w:hyperlink>
      <w:r>
        <w:t xml:space="preserve"> </w:t>
      </w:r>
    </w:p>
    <w:p w14:paraId="1998A2C3" w14:textId="77777777" w:rsidR="00BB524A" w:rsidRDefault="00BB524A" w:rsidP="00BB524A">
      <w:pPr>
        <w:ind w:left="720" w:hanging="720"/>
      </w:pPr>
    </w:p>
    <w:p w14:paraId="0FA8D11C" w14:textId="77777777" w:rsidR="00BB524A" w:rsidRDefault="00BB524A" w:rsidP="00BB524A">
      <w:pPr>
        <w:ind w:left="720" w:hanging="720"/>
        <w:rPr>
          <w:rFonts w:ascii="Source Sans Pro" w:eastAsia="Times New Roman" w:hAnsi="Source Sans Pro" w:cs="Times New Roman"/>
          <w:sz w:val="23"/>
          <w:szCs w:val="23"/>
          <w:lang w:val="en-GB" w:eastAsia="en-GB"/>
        </w:rPr>
      </w:pPr>
      <w:r w:rsidRPr="00656357">
        <w:rPr>
          <w:rFonts w:ascii="Source Sans Pro" w:eastAsia="Times New Roman" w:hAnsi="Source Sans Pro" w:cs="Times New Roman"/>
          <w:sz w:val="23"/>
          <w:szCs w:val="23"/>
          <w:lang w:eastAsia="en-GB"/>
        </w:rPr>
        <w:lastRenderedPageBreak/>
        <w:t>Landsman, S., &amp; Rakos, R. F. (1994). A preliminary inquiry into the effect of potentially biasing information on judges and jurors in civil litigation. </w:t>
      </w:r>
      <w:r w:rsidRPr="00656357">
        <w:rPr>
          <w:rFonts w:ascii="Source Sans Pro" w:eastAsia="Times New Roman" w:hAnsi="Source Sans Pro" w:cs="Times New Roman"/>
          <w:i/>
          <w:iCs/>
          <w:sz w:val="23"/>
          <w:szCs w:val="23"/>
          <w:lang w:eastAsia="en-GB"/>
        </w:rPr>
        <w:t>Behavioral Sciences &amp; the Law, 12</w:t>
      </w:r>
      <w:r w:rsidRPr="00656357">
        <w:rPr>
          <w:rFonts w:ascii="Source Sans Pro" w:eastAsia="Times New Roman" w:hAnsi="Source Sans Pro" w:cs="Times New Roman"/>
          <w:sz w:val="23"/>
          <w:szCs w:val="23"/>
          <w:lang w:eastAsia="en-GB"/>
        </w:rPr>
        <w:t>(2), 113–126. </w:t>
      </w:r>
      <w:hyperlink r:id="rId6" w:tgtFrame="_blank" w:history="1">
        <w:r w:rsidRPr="00656357">
          <w:rPr>
            <w:rStyle w:val="Hyperlink"/>
            <w:rFonts w:ascii="Source Sans Pro" w:eastAsia="Times New Roman" w:hAnsi="Source Sans Pro" w:cs="Times New Roman"/>
            <w:sz w:val="23"/>
            <w:szCs w:val="23"/>
            <w:lang w:eastAsia="en-GB"/>
          </w:rPr>
          <w:t>https://doi.org/10.1002/bsl.2370120203</w:t>
        </w:r>
      </w:hyperlink>
    </w:p>
    <w:p w14:paraId="311595F2" w14:textId="77777777" w:rsidR="00BB524A" w:rsidRDefault="00BB524A" w:rsidP="00BB524A">
      <w:pPr>
        <w:ind w:left="720" w:hanging="720"/>
        <w:rPr>
          <w:rFonts w:ascii="Source Sans Pro" w:eastAsia="Times New Roman" w:hAnsi="Source Sans Pro" w:cs="Times New Roman"/>
          <w:sz w:val="23"/>
          <w:szCs w:val="23"/>
          <w:lang w:eastAsia="en-GB"/>
        </w:rPr>
      </w:pPr>
    </w:p>
    <w:p w14:paraId="4ECC9FBA" w14:textId="002546B1" w:rsidR="00BB524A" w:rsidRDefault="00BB524A" w:rsidP="00BB524A">
      <w:pPr>
        <w:ind w:left="720" w:hanging="720"/>
        <w:rPr>
          <w:rFonts w:ascii="Source Sans Pro" w:eastAsia="Times New Roman" w:hAnsi="Source Sans Pro" w:cs="Times New Roman"/>
          <w:sz w:val="23"/>
          <w:szCs w:val="23"/>
          <w:lang w:eastAsia="en-GB"/>
        </w:rPr>
      </w:pPr>
      <w:r w:rsidRPr="00561C1E">
        <w:rPr>
          <w:rFonts w:ascii="Source Sans Pro" w:eastAsia="Times New Roman" w:hAnsi="Source Sans Pro" w:cs="Times New Roman"/>
          <w:sz w:val="23"/>
          <w:szCs w:val="23"/>
          <w:lang w:eastAsia="en-GB"/>
        </w:rPr>
        <w:t>Rachlinski, J., Johnson, S., Wistrich, A., Guthrie, C. (2009). Does unconscious racial bias affect trial judges? Notre Dame Law Review, 84, 1195–1246.</w:t>
      </w:r>
    </w:p>
    <w:p w14:paraId="1B188062" w14:textId="77777777" w:rsidR="00BB524A" w:rsidRDefault="00BB524A" w:rsidP="00BB524A">
      <w:pPr>
        <w:ind w:left="720" w:hanging="720"/>
        <w:rPr>
          <w:rFonts w:ascii="Source Sans Pro" w:eastAsia="Times New Roman" w:hAnsi="Source Sans Pro" w:cs="Times New Roman"/>
          <w:sz w:val="23"/>
          <w:szCs w:val="23"/>
          <w:lang w:eastAsia="en-GB"/>
        </w:rPr>
      </w:pPr>
    </w:p>
    <w:p w14:paraId="1601F2F7" w14:textId="77777777" w:rsidR="00BB524A" w:rsidRDefault="00BB524A" w:rsidP="00BB524A">
      <w:pPr>
        <w:ind w:left="720" w:hanging="720"/>
        <w:rPr>
          <w:rFonts w:ascii="Source Sans Pro" w:eastAsia="Times New Roman" w:hAnsi="Source Sans Pro" w:cs="Times New Roman"/>
          <w:sz w:val="23"/>
          <w:szCs w:val="23"/>
          <w:lang w:eastAsia="en-GB"/>
        </w:rPr>
      </w:pPr>
      <w:r w:rsidRPr="00EA7C30">
        <w:rPr>
          <w:rFonts w:ascii="Source Sans Pro" w:eastAsia="Times New Roman" w:hAnsi="Source Sans Pro" w:cs="Times New Roman"/>
          <w:sz w:val="23"/>
          <w:szCs w:val="23"/>
          <w:lang w:eastAsia="en-GB"/>
        </w:rPr>
        <w:t>Vidmar, N. (2011). The Psychology of Trial Judging. </w:t>
      </w:r>
      <w:r w:rsidRPr="00EA7C30">
        <w:rPr>
          <w:rFonts w:ascii="Source Sans Pro" w:eastAsia="Times New Roman" w:hAnsi="Source Sans Pro" w:cs="Times New Roman"/>
          <w:i/>
          <w:iCs/>
          <w:sz w:val="23"/>
          <w:szCs w:val="23"/>
          <w:lang w:eastAsia="en-GB"/>
        </w:rPr>
        <w:t>Current Directions in Psychological Science,</w:t>
      </w:r>
      <w:r w:rsidRPr="00EA7C30">
        <w:rPr>
          <w:rFonts w:ascii="Source Sans Pro" w:eastAsia="Times New Roman" w:hAnsi="Source Sans Pro" w:cs="Times New Roman"/>
          <w:sz w:val="23"/>
          <w:szCs w:val="23"/>
          <w:lang w:eastAsia="en-GB"/>
        </w:rPr>
        <w:t> </w:t>
      </w:r>
      <w:r w:rsidRPr="00EA7C30">
        <w:rPr>
          <w:rFonts w:ascii="Source Sans Pro" w:eastAsia="Times New Roman" w:hAnsi="Source Sans Pro" w:cs="Times New Roman"/>
          <w:i/>
          <w:iCs/>
          <w:sz w:val="23"/>
          <w:szCs w:val="23"/>
          <w:lang w:eastAsia="en-GB"/>
        </w:rPr>
        <w:t>20</w:t>
      </w:r>
      <w:r w:rsidRPr="00EA7C30">
        <w:rPr>
          <w:rFonts w:ascii="Source Sans Pro" w:eastAsia="Times New Roman" w:hAnsi="Source Sans Pro" w:cs="Times New Roman"/>
          <w:sz w:val="23"/>
          <w:szCs w:val="23"/>
          <w:lang w:eastAsia="en-GB"/>
        </w:rPr>
        <w:t>(1), 58-62.</w:t>
      </w:r>
      <w:r>
        <w:rPr>
          <w:rFonts w:ascii="Source Sans Pro" w:eastAsia="Times New Roman" w:hAnsi="Source Sans Pro" w:cs="Times New Roman"/>
          <w:sz w:val="23"/>
          <w:szCs w:val="23"/>
          <w:lang w:eastAsia="en-GB"/>
        </w:rPr>
        <w:tab/>
      </w:r>
      <w:r>
        <w:rPr>
          <w:rFonts w:ascii="Source Sans Pro" w:eastAsia="Times New Roman" w:hAnsi="Source Sans Pro" w:cs="Times New Roman"/>
          <w:sz w:val="23"/>
          <w:szCs w:val="23"/>
          <w:lang w:eastAsia="en-GB"/>
        </w:rPr>
        <w:tab/>
      </w:r>
    </w:p>
    <w:p w14:paraId="63D2AC85" w14:textId="77777777" w:rsidR="00BB524A" w:rsidRPr="008F1E93" w:rsidRDefault="00BB524A" w:rsidP="00BB524A">
      <w:pPr>
        <w:ind w:left="720" w:hanging="720"/>
        <w:rPr>
          <w:rFonts w:ascii="Source Sans Pro" w:eastAsia="Times New Roman" w:hAnsi="Source Sans Pro" w:cs="Times New Roman"/>
          <w:sz w:val="23"/>
          <w:szCs w:val="23"/>
          <w:lang w:eastAsia="en-GB"/>
        </w:rPr>
      </w:pPr>
      <w:r w:rsidRPr="008F1E93">
        <w:rPr>
          <w:rFonts w:ascii="Source Sans Pro" w:eastAsia="Times New Roman" w:hAnsi="Source Sans Pro" w:cs="Times New Roman"/>
          <w:sz w:val="23"/>
          <w:szCs w:val="23"/>
          <w:lang w:eastAsia="en-GB"/>
        </w:rPr>
        <w:t xml:space="preserve">United States. Congress. (1967). Congressional Record: Proceedings and Debates of the 90th Congress, First Session, Volume 113, Part 14, Government Printing Office. </w:t>
      </w:r>
    </w:p>
    <w:p w14:paraId="24314C66"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124CB5FB"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23EE1841" w14:textId="77777777" w:rsidR="00BB524A" w:rsidRPr="005E7D5B" w:rsidRDefault="00BB524A" w:rsidP="00BB524A">
      <w:pPr>
        <w:ind w:left="720" w:hanging="720"/>
        <w:rPr>
          <w:rFonts w:ascii="Source Sans Pro" w:eastAsia="Times New Roman" w:hAnsi="Source Sans Pro" w:cs="Times New Roman"/>
          <w:sz w:val="23"/>
          <w:szCs w:val="23"/>
          <w:lang w:val="en-GB" w:eastAsia="en-GB"/>
        </w:rPr>
      </w:pPr>
    </w:p>
    <w:p w14:paraId="149F3B11" w14:textId="77777777" w:rsidR="00BB524A" w:rsidRDefault="00BB524A" w:rsidP="00BC7659">
      <w:pPr>
        <w:ind w:firstLine="720"/>
      </w:pPr>
    </w:p>
    <w:p w14:paraId="791F3D02" w14:textId="77777777" w:rsidR="00BB524A" w:rsidRDefault="00BB524A" w:rsidP="00BC7659">
      <w:pPr>
        <w:ind w:firstLine="720"/>
      </w:pPr>
    </w:p>
    <w:p w14:paraId="5CD7524F" w14:textId="3BA9B8B1" w:rsidR="00BC7659" w:rsidRDefault="00BC7659" w:rsidP="00BC7659">
      <w:pPr>
        <w:ind w:firstLine="720"/>
      </w:pPr>
      <w:r w:rsidRPr="00EB5624">
        <w:t>Thomas, Cheryl. (201</w:t>
      </w:r>
      <w:r>
        <w:t>0</w:t>
      </w:r>
      <w:r w:rsidRPr="00EB5624">
        <w:t xml:space="preserve">). </w:t>
      </w:r>
      <w:r>
        <w:t>Are juries fair?</w:t>
      </w:r>
      <w:r w:rsidRPr="00EB5624">
        <w:t xml:space="preserve"> </w:t>
      </w:r>
      <w:r>
        <w:t xml:space="preserve">Ministry of Justice Research </w:t>
      </w:r>
      <w:r w:rsidRPr="00EB5624">
        <w:t>(1)</w:t>
      </w:r>
      <w:r>
        <w:t>, ISBN: 978 1 84099 326 4</w:t>
      </w:r>
    </w:p>
    <w:p w14:paraId="7D2057DA" w14:textId="77777777" w:rsidR="00BC7659" w:rsidRDefault="00BC7659"/>
    <w:sectPr w:rsidR="00BC7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24"/>
    <w:rsid w:val="000F5C5A"/>
    <w:rsid w:val="001D7279"/>
    <w:rsid w:val="00770E4E"/>
    <w:rsid w:val="00A031F3"/>
    <w:rsid w:val="00A22698"/>
    <w:rsid w:val="00AB574D"/>
    <w:rsid w:val="00B7106A"/>
    <w:rsid w:val="00BB524A"/>
    <w:rsid w:val="00BC7659"/>
    <w:rsid w:val="00C129FE"/>
    <w:rsid w:val="00C77FBC"/>
    <w:rsid w:val="00D93DBA"/>
    <w:rsid w:val="00EB5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0AF21"/>
  <w15:chartTrackingRefBased/>
  <w15:docId w15:val="{1ACB1B13-2D94-45D2-AEC4-B18098FA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659"/>
    <w:pPr>
      <w:spacing w:line="480" w:lineRule="auto"/>
    </w:pPr>
    <w:rPr>
      <w:rFonts w:ascii="Times New Roman" w:eastAsiaTheme="minorEastAsia" w:hAnsi="Times New Roman"/>
      <w:kern w:val="24"/>
      <w:sz w:val="24"/>
      <w:szCs w:val="2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2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net.apa.org/doi/10.1002/bsl.2370120203" TargetMode="External"/><Relationship Id="rId5" Type="http://schemas.openxmlformats.org/officeDocument/2006/relationships/hyperlink" Target="https://www.legislation.gov.uk/ukpga/2015/2/section/74/notes" TargetMode="External"/><Relationship Id="rId4" Type="http://schemas.openxmlformats.org/officeDocument/2006/relationships/hyperlink" Target="https://search.proquest.com/docview/20416617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10</Pages>
  <Words>2370</Words>
  <Characters>13514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Poláčková</dc:creator>
  <cp:keywords/>
  <dc:description/>
  <cp:lastModifiedBy>Markéta Poláčková</cp:lastModifiedBy>
  <cp:revision>2</cp:revision>
  <dcterms:created xsi:type="dcterms:W3CDTF">2020-07-18T21:31:00Z</dcterms:created>
  <dcterms:modified xsi:type="dcterms:W3CDTF">2020-07-19T00:01:00Z</dcterms:modified>
</cp:coreProperties>
</file>