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3F4C2C6" w:rsidP="0C9EA76E" w:rsidRDefault="13F4C2C6" w14:paraId="1F70921D" w14:textId="3F7C419F">
      <w:pPr>
        <w:pStyle w:val="Normal"/>
        <w:bidi w:val="0"/>
        <w:rPr>
          <w:rFonts w:ascii="Arial" w:hAnsi="Arial" w:eastAsia="Arial" w:cs="Arial" w:asciiTheme="minorAscii" w:hAnsiTheme="minorAscii" w:eastAsiaTheme="minorAscii" w:cstheme="minorAscii"/>
        </w:rPr>
      </w:pPr>
      <w:r w:rsidRPr="0C9EA76E" w:rsidR="13F4C2C6">
        <w:rPr>
          <w:rFonts w:ascii="Arial" w:hAnsi="Arial" w:eastAsia="Arial" w:cs="Arial" w:asciiTheme="minorAscii" w:hAnsiTheme="minorAscii" w:eastAsiaTheme="minorAscii" w:cstheme="minorAscii"/>
        </w:rPr>
        <w:t xml:space="preserve">                                                                                            </w:t>
      </w:r>
    </w:p>
    <w:p w:rsidR="0C9EA76E" w:rsidP="0C9EA76E" w:rsidRDefault="0C9EA76E" w14:paraId="3DAD558B" w14:textId="22AEBC7D">
      <w:pPr>
        <w:bidi w:val="0"/>
        <w:rPr>
          <w:rFonts w:ascii="Arial" w:hAnsi="Arial" w:eastAsia="Arial" w:cs="Arial" w:asciiTheme="minorAscii" w:hAnsiTheme="minorAscii" w:eastAsiaTheme="minorAscii" w:cstheme="minorAscii"/>
        </w:rPr>
      </w:pPr>
    </w:p>
    <w:p w:rsidR="0C9EA76E" w:rsidP="0C9EA76E" w:rsidRDefault="0C9EA76E" w14:paraId="1D58E5C1" w14:textId="121F467F">
      <w:pPr>
        <w:bidi w:val="0"/>
        <w:rPr>
          <w:rFonts w:ascii="Arial" w:hAnsi="Arial" w:eastAsia="Arial" w:cs="Arial" w:asciiTheme="minorAscii" w:hAnsiTheme="minorAscii" w:eastAsiaTheme="minorAscii" w:cstheme="minorAscii"/>
        </w:rPr>
      </w:pPr>
    </w:p>
    <w:p w:rsidR="0C9EA76E" w:rsidP="0C9EA76E" w:rsidRDefault="0C9EA76E" w14:paraId="02E830C4" w14:textId="0016323B">
      <w:pPr>
        <w:bidi w:val="0"/>
        <w:rPr>
          <w:rFonts w:ascii="Arial" w:hAnsi="Arial" w:eastAsia="Arial" w:cs="Arial" w:asciiTheme="minorAscii" w:hAnsiTheme="minorAscii" w:eastAsiaTheme="minorAscii" w:cstheme="minorAscii"/>
        </w:rPr>
      </w:pPr>
    </w:p>
    <w:p w:rsidR="0C9EA76E" w:rsidP="0C9EA76E" w:rsidRDefault="0C9EA76E" w14:paraId="16A8684A" w14:textId="742F8DAC">
      <w:pPr>
        <w:bidi w:val="0"/>
        <w:rPr>
          <w:rFonts w:ascii="Arial" w:hAnsi="Arial" w:eastAsia="Arial" w:cs="Arial" w:asciiTheme="minorAscii" w:hAnsiTheme="minorAscii" w:eastAsiaTheme="minorAscii" w:cstheme="minorAscii"/>
        </w:rPr>
      </w:pPr>
    </w:p>
    <w:tbl>
      <w:tblPr>
        <w:tblStyle w:val="TableGrid"/>
        <w:bidiVisual w:val="0"/>
        <w:tblW w:w="0" w:type="auto"/>
        <w:tblLook w:val="0600" w:firstRow="0" w:lastRow="0" w:firstColumn="0" w:lastColumn="0" w:noHBand="1" w:noVBand="1"/>
      </w:tblPr>
      <w:tblGrid>
        <w:gridCol w:w="1980"/>
        <w:gridCol w:w="7380"/>
      </w:tblGrid>
      <w:tr w:rsidR="0C9EA76E" w:rsidTr="0C9EA76E" w14:paraId="5F4DF390">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66CCADC8" w14:textId="46110007">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Student Name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011D997A" w14:textId="249946E2">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Aayushkumar Harishbhai Parmar</w:t>
            </w:r>
          </w:p>
        </w:tc>
      </w:tr>
      <w:tr w:rsidR="0C9EA76E" w:rsidTr="0C9EA76E" w14:paraId="430C4FB7">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58446632" w14:textId="2A79F87F">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Student ID</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25A2517A" w14:textId="39E46590">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2517971</w:t>
            </w:r>
          </w:p>
        </w:tc>
      </w:tr>
      <w:tr w:rsidR="0C9EA76E" w:rsidTr="0C9EA76E" w14:paraId="1BA27781">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2610355A" w14:textId="279A8CBE">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Module Code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B164D37" w:rsidP="0C9EA76E" w:rsidRDefault="4B164D37" w14:paraId="0575C65D" w14:textId="72BC3BD1">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4B164D37">
              <w:rPr>
                <w:rFonts w:ascii="Arial" w:hAnsi="Arial" w:eastAsia="Arial" w:cs="Arial" w:asciiTheme="minorAscii" w:hAnsiTheme="minorAscii" w:eastAsiaTheme="minorAscii" w:cstheme="minorAscii"/>
                <w:b w:val="1"/>
                <w:bCs w:val="1"/>
                <w:noProof w:val="0"/>
                <w:sz w:val="24"/>
                <w:szCs w:val="24"/>
                <w:lang w:val="en-GB"/>
              </w:rPr>
              <w:t>LCHS7006</w:t>
            </w:r>
          </w:p>
        </w:tc>
      </w:tr>
      <w:tr w:rsidR="0C9EA76E" w:rsidTr="0C9EA76E" w14:paraId="33F9964D">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54862A21" w14:textId="4085FA91">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Module Title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368CFB8" w:rsidP="0C9EA76E" w:rsidRDefault="6368CFB8" w14:paraId="6ADD7CC3" w14:textId="52108D36">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6368CFB8">
              <w:rPr>
                <w:rFonts w:ascii="Arial" w:hAnsi="Arial" w:eastAsia="Arial" w:cs="Arial" w:asciiTheme="minorAscii" w:hAnsiTheme="minorAscii" w:eastAsiaTheme="minorAscii" w:cstheme="minorAscii"/>
                <w:b w:val="1"/>
                <w:bCs w:val="1"/>
                <w:noProof w:val="0"/>
                <w:sz w:val="24"/>
                <w:szCs w:val="24"/>
                <w:lang w:val="en-GB"/>
              </w:rPr>
              <w:t>Quality Assurance and Service Improvements</w:t>
            </w:r>
          </w:p>
        </w:tc>
      </w:tr>
      <w:tr w:rsidR="0C9EA76E" w:rsidTr="0C9EA76E" w14:paraId="5820BC79">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579F6699" w14:textId="16869C42">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Lecturer’s Name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C57F5ED" w:rsidP="0C9EA76E" w:rsidRDefault="6C57F5ED" w14:paraId="0DCBBFA4" w14:textId="0B956BFB">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6C57F5ED">
              <w:rPr>
                <w:rFonts w:ascii="Arial" w:hAnsi="Arial" w:eastAsia="Arial" w:cs="Arial" w:asciiTheme="minorAscii" w:hAnsiTheme="minorAscii" w:eastAsiaTheme="minorAscii" w:cstheme="minorAscii"/>
                <w:b w:val="1"/>
                <w:bCs w:val="1"/>
                <w:noProof w:val="0"/>
                <w:sz w:val="24"/>
                <w:szCs w:val="24"/>
                <w:lang w:val="en-GB"/>
              </w:rPr>
              <w:t>Dilhara Mampitiya</w:t>
            </w:r>
          </w:p>
        </w:tc>
      </w:tr>
      <w:tr w:rsidR="0C9EA76E" w:rsidTr="0C9EA76E" w14:paraId="4D8FD82E">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C9EA76E" w:rsidP="0C9EA76E" w:rsidRDefault="0C9EA76E" w14:paraId="73DA993D" w14:textId="097FFA9A">
            <w:pPr>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sz w:val="24"/>
                <w:szCs w:val="24"/>
                <w:lang w:val="en-GB"/>
              </w:rPr>
            </w:pPr>
            <w:r w:rsidRPr="0C9EA76E" w:rsidR="0C9EA76E">
              <w:rPr>
                <w:rFonts w:ascii="Arial" w:hAnsi="Arial" w:eastAsia="Arial" w:cs="Arial" w:asciiTheme="minorAscii" w:hAnsiTheme="minorAscii" w:eastAsiaTheme="minorAscii" w:cstheme="minorAscii"/>
                <w:b w:val="1"/>
                <w:bCs w:val="1"/>
                <w:sz w:val="24"/>
                <w:szCs w:val="24"/>
                <w:lang w:val="en-GB"/>
              </w:rPr>
              <w:t>Assignment Title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26026A9" w:rsidP="0C9EA76E" w:rsidRDefault="326026A9" w14:paraId="21E4B342" w14:textId="1A2CA8F5">
            <w:pPr>
              <w:pStyle w:val="Normal"/>
              <w:bidi w:val="0"/>
              <w:spacing w:before="0" w:beforeAutospacing="off" w:after="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0C9EA76E" w:rsidR="326026A9">
              <w:rPr>
                <w:rFonts w:ascii="Arial" w:hAnsi="Arial" w:eastAsia="Arial" w:cs="Arial" w:asciiTheme="minorAscii" w:hAnsiTheme="minorAscii" w:eastAsiaTheme="minorAscii" w:cstheme="minorAscii"/>
                <w:b w:val="1"/>
                <w:bCs w:val="1"/>
                <w:noProof w:val="0"/>
                <w:sz w:val="24"/>
                <w:szCs w:val="24"/>
                <w:lang w:val="en-GB"/>
              </w:rPr>
              <w:t>Component 2 – Service Improvement Report</w:t>
            </w:r>
          </w:p>
        </w:tc>
      </w:tr>
    </w:tbl>
    <w:p w:rsidR="0C9EA76E" w:rsidP="0C9EA76E" w:rsidRDefault="0C9EA76E" w14:paraId="63D7D385" w14:textId="75D909EA">
      <w:pPr>
        <w:bidi w:val="0"/>
        <w:spacing w:line="360" w:lineRule="auto"/>
        <w:jc w:val="left"/>
        <w:rPr>
          <w:rFonts w:ascii="Arial" w:hAnsi="Arial" w:eastAsia="Arial" w:cs="Arial" w:asciiTheme="minorAscii" w:hAnsiTheme="minorAscii" w:eastAsiaTheme="minorAscii" w:cstheme="minorAscii"/>
        </w:rPr>
      </w:pPr>
    </w:p>
    <w:p w:rsidR="0C9EA76E" w:rsidP="0C9EA76E" w:rsidRDefault="0C9EA76E" w14:paraId="419EC7EF" w14:textId="26D4C5A9">
      <w:pPr>
        <w:bidi w:val="0"/>
        <w:spacing w:before="0" w:beforeAutospacing="off" w:after="0" w:afterAutospacing="off" w:line="360" w:lineRule="auto"/>
        <w:jc w:val="both"/>
        <w:rPr>
          <w:rFonts w:ascii="Arial" w:hAnsi="Arial" w:eastAsia="Arial" w:cs="Arial" w:asciiTheme="minorAscii" w:hAnsiTheme="minorAscii" w:eastAsiaTheme="minorAscii" w:cstheme="minorAscii"/>
          <w:noProof w:val="0"/>
          <w:sz w:val="24"/>
          <w:szCs w:val="24"/>
          <w:lang w:val="en-GB"/>
        </w:rPr>
      </w:pPr>
    </w:p>
    <w:p w:rsidR="0C9EA76E" w:rsidP="0C9EA76E" w:rsidRDefault="0C9EA76E" w14:paraId="78356172" w14:textId="6DDEA36D">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rPr>
      </w:pPr>
    </w:p>
    <w:p w:rsidR="0C9EA76E" w:rsidP="0C9EA76E" w:rsidRDefault="0C9EA76E" w14:paraId="00644D63" w14:textId="54C04AAE">
      <w:pPr>
        <w:rPr>
          <w:rFonts w:ascii="Arial" w:hAnsi="Arial" w:eastAsia="Arial" w:cs="Arial" w:asciiTheme="minorAscii" w:hAnsiTheme="minorAscii" w:eastAsiaTheme="minorAscii" w:cstheme="minorAscii"/>
        </w:rPr>
      </w:pPr>
    </w:p>
    <w:p w:rsidR="0C9EA76E" w:rsidP="0C9EA76E" w:rsidRDefault="0C9EA76E" w14:paraId="5DA9AC97" w14:textId="4BBAECD5">
      <w:pPr>
        <w:rPr>
          <w:rFonts w:ascii="Arial" w:hAnsi="Arial" w:eastAsia="Arial" w:cs="Arial" w:asciiTheme="minorAscii" w:hAnsiTheme="minorAscii" w:eastAsiaTheme="minorAscii" w:cstheme="minorAscii"/>
        </w:rPr>
      </w:pPr>
    </w:p>
    <w:p w:rsidR="0C9EA76E" w:rsidP="0C9EA76E" w:rsidRDefault="0C9EA76E" w14:paraId="1DE09808" w14:textId="7502448E">
      <w:pPr>
        <w:rPr>
          <w:rFonts w:ascii="Arial" w:hAnsi="Arial" w:eastAsia="Arial" w:cs="Arial" w:asciiTheme="minorAscii" w:hAnsiTheme="minorAscii" w:eastAsiaTheme="minorAscii" w:cstheme="minorAscii"/>
        </w:rPr>
      </w:pPr>
    </w:p>
    <w:p w:rsidR="0C9EA76E" w:rsidP="0C9EA76E" w:rsidRDefault="0C9EA76E" w14:paraId="3BB14096" w14:textId="3609F022">
      <w:pPr>
        <w:rPr>
          <w:rFonts w:ascii="Arial" w:hAnsi="Arial" w:eastAsia="Arial" w:cs="Arial" w:asciiTheme="minorAscii" w:hAnsiTheme="minorAscii" w:eastAsiaTheme="minorAscii" w:cstheme="minorAscii"/>
        </w:rPr>
      </w:pPr>
    </w:p>
    <w:p w:rsidR="0C9EA76E" w:rsidP="0C9EA76E" w:rsidRDefault="0C9EA76E" w14:paraId="4B23BC7F" w14:textId="72BB2216">
      <w:pPr>
        <w:rPr>
          <w:rFonts w:ascii="Arial" w:hAnsi="Arial" w:eastAsia="Arial" w:cs="Arial" w:asciiTheme="minorAscii" w:hAnsiTheme="minorAscii" w:eastAsiaTheme="minorAscii" w:cstheme="minorAscii"/>
        </w:rPr>
      </w:pPr>
    </w:p>
    <w:p w:rsidR="0C9EA76E" w:rsidP="0C9EA76E" w:rsidRDefault="0C9EA76E" w14:paraId="116C5CBB" w14:textId="4D83E86F">
      <w:pPr>
        <w:rPr>
          <w:rFonts w:ascii="Arial" w:hAnsi="Arial" w:eastAsia="Arial" w:cs="Arial" w:asciiTheme="minorAscii" w:hAnsiTheme="minorAscii" w:eastAsiaTheme="minorAscii" w:cstheme="minorAscii"/>
        </w:rPr>
      </w:pPr>
    </w:p>
    <w:p w:rsidR="0C9EA76E" w:rsidP="0C9EA76E" w:rsidRDefault="0C9EA76E" w14:paraId="0C086462" w14:textId="09C7AE59">
      <w:pPr>
        <w:rPr>
          <w:rFonts w:ascii="Arial" w:hAnsi="Arial" w:eastAsia="Arial" w:cs="Arial" w:asciiTheme="minorAscii" w:hAnsiTheme="minorAscii" w:eastAsiaTheme="minorAscii" w:cstheme="minorAscii"/>
        </w:rPr>
      </w:pPr>
    </w:p>
    <w:p w:rsidR="0C9EA76E" w:rsidP="0C9EA76E" w:rsidRDefault="0C9EA76E" w14:paraId="73DB4D5C" w14:textId="25DA2222">
      <w:pPr>
        <w:rPr>
          <w:rFonts w:ascii="Arial" w:hAnsi="Arial" w:eastAsia="Arial" w:cs="Arial" w:asciiTheme="minorAscii" w:hAnsiTheme="minorAscii" w:eastAsiaTheme="minorAscii" w:cstheme="minorAscii"/>
        </w:rPr>
      </w:pPr>
    </w:p>
    <w:p w:rsidR="0C9EA76E" w:rsidP="0C9EA76E" w:rsidRDefault="0C9EA76E" w14:paraId="3957E24F" w14:textId="7DB19CC2">
      <w:pPr>
        <w:rPr>
          <w:rFonts w:ascii="Arial" w:hAnsi="Arial" w:eastAsia="Arial" w:cs="Arial" w:asciiTheme="minorAscii" w:hAnsiTheme="minorAscii" w:eastAsiaTheme="minorAscii" w:cstheme="minorAscii"/>
        </w:rPr>
      </w:pPr>
    </w:p>
    <w:p w:rsidR="0C9EA76E" w:rsidP="0C9EA76E" w:rsidRDefault="0C9EA76E" w14:paraId="37AEBA4A" w14:textId="56635A2C">
      <w:pPr>
        <w:rPr>
          <w:rFonts w:ascii="Arial" w:hAnsi="Arial" w:eastAsia="Arial" w:cs="Arial" w:asciiTheme="minorAscii" w:hAnsiTheme="minorAscii" w:eastAsiaTheme="minorAscii" w:cstheme="minorAscii"/>
        </w:rPr>
      </w:pPr>
    </w:p>
    <w:p w:rsidR="6C71916A" w:rsidP="0C9EA76E" w:rsidRDefault="6C71916A" w14:paraId="208D36BC" w14:textId="05EE8F65">
      <w:pPr>
        <w:pStyle w:val="Heading1"/>
        <w:spacing w:before="322" w:beforeAutospacing="off" w:after="322" w:afterAutospacing="off"/>
      </w:pPr>
      <w:r w:rsidRPr="4B42FC9B" w:rsidR="4CEAE7F5">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Table of Contents</w:t>
      </w:r>
    </w:p>
    <w:p w:rsidR="4B42FC9B" w:rsidP="4B42FC9B" w:rsidRDefault="4B42FC9B" w14:paraId="3F25D24A" w14:textId="1EA2007C">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4"/>
          <w:szCs w:val="24"/>
          <w:lang w:val="en-US"/>
        </w:rPr>
      </w:pPr>
    </w:p>
    <w:tbl>
      <w:tblPr>
        <w:tblStyle w:val="TableNormal"/>
        <w:bidiVisual w:val="0"/>
        <w:tblW w:w="0" w:type="auto"/>
        <w:tblLook w:val="06A0" w:firstRow="1" w:lastRow="0" w:firstColumn="1" w:lastColumn="0" w:noHBand="1" w:noVBand="1"/>
      </w:tblPr>
      <w:tblGrid>
        <w:gridCol w:w="6068"/>
        <w:gridCol w:w="2565"/>
      </w:tblGrid>
      <w:tr w:rsidR="4B42FC9B" w:rsidTr="4B42FC9B" w14:paraId="06A5F244">
        <w:trPr>
          <w:trHeight w:val="300"/>
        </w:trPr>
        <w:tc>
          <w:tcPr>
            <w:tcW w:w="6068" w:type="dxa"/>
            <w:tcMar/>
            <w:vAlign w:val="center"/>
          </w:tcPr>
          <w:p w:rsidR="4B42FC9B" w:rsidP="4B42FC9B" w:rsidRDefault="4B42FC9B" w14:paraId="73E71E58" w14:textId="108C5F85">
            <w:pPr>
              <w:spacing w:before="0" w:beforeAutospacing="off" w:after="0" w:afterAutospacing="off"/>
              <w:jc w:val="center"/>
              <w:rPr>
                <w:rFonts w:ascii="Arial" w:hAnsi="Arial" w:eastAsia="Arial" w:cs="Arial" w:asciiTheme="minorAscii" w:hAnsiTheme="minorAscii" w:eastAsiaTheme="minorAscii" w:cstheme="minorAscii"/>
                <w:b w:val="1"/>
                <w:bCs w:val="1"/>
              </w:rPr>
            </w:pPr>
            <w:r w:rsidRPr="4B42FC9B" w:rsidR="4B42FC9B">
              <w:rPr>
                <w:rFonts w:ascii="Arial" w:hAnsi="Arial" w:eastAsia="Arial" w:cs="Arial" w:asciiTheme="minorAscii" w:hAnsiTheme="minorAscii" w:eastAsiaTheme="minorAscii" w:cstheme="minorAscii"/>
                <w:b w:val="1"/>
                <w:bCs w:val="1"/>
              </w:rPr>
              <w:t>Section</w:t>
            </w:r>
          </w:p>
        </w:tc>
        <w:tc>
          <w:tcPr>
            <w:tcW w:w="2565" w:type="dxa"/>
            <w:tcMar/>
            <w:vAlign w:val="center"/>
          </w:tcPr>
          <w:p w:rsidR="4B42FC9B" w:rsidP="4B42FC9B" w:rsidRDefault="4B42FC9B" w14:paraId="73392745" w14:textId="462DCC6B">
            <w:pPr>
              <w:spacing w:before="0" w:beforeAutospacing="off" w:after="0" w:afterAutospacing="off"/>
              <w:jc w:val="center"/>
              <w:rPr>
                <w:rFonts w:ascii="Arial" w:hAnsi="Arial" w:eastAsia="Arial" w:cs="Arial" w:asciiTheme="minorAscii" w:hAnsiTheme="minorAscii" w:eastAsiaTheme="minorAscii" w:cstheme="minorAscii"/>
                <w:b w:val="1"/>
                <w:bCs w:val="1"/>
              </w:rPr>
            </w:pPr>
            <w:r w:rsidRPr="4B42FC9B" w:rsidR="4B42FC9B">
              <w:rPr>
                <w:rFonts w:ascii="Arial" w:hAnsi="Arial" w:eastAsia="Arial" w:cs="Arial" w:asciiTheme="minorAscii" w:hAnsiTheme="minorAscii" w:eastAsiaTheme="minorAscii" w:cstheme="minorAscii"/>
                <w:b w:val="1"/>
                <w:bCs w:val="1"/>
              </w:rPr>
              <w:t>Pag</w:t>
            </w:r>
            <w:r w:rsidRPr="4B42FC9B" w:rsidR="7B47D628">
              <w:rPr>
                <w:rFonts w:ascii="Arial" w:hAnsi="Arial" w:eastAsia="Arial" w:cs="Arial" w:asciiTheme="minorAscii" w:hAnsiTheme="minorAscii" w:eastAsiaTheme="minorAscii" w:cstheme="minorAscii"/>
                <w:b w:val="1"/>
                <w:bCs w:val="1"/>
              </w:rPr>
              <w:t>e</w:t>
            </w:r>
          </w:p>
        </w:tc>
      </w:tr>
      <w:tr w:rsidR="4B42FC9B" w:rsidTr="4B42FC9B" w14:paraId="3613041A">
        <w:trPr>
          <w:trHeight w:val="300"/>
        </w:trPr>
        <w:tc>
          <w:tcPr>
            <w:tcW w:w="6068" w:type="dxa"/>
            <w:tcMar/>
            <w:vAlign w:val="center"/>
          </w:tcPr>
          <w:p w:rsidR="4B42FC9B" w:rsidP="4B42FC9B" w:rsidRDefault="4B42FC9B" w14:paraId="504D01B6" w14:textId="4B18AD58">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Abbreviations</w:t>
            </w:r>
          </w:p>
        </w:tc>
        <w:tc>
          <w:tcPr>
            <w:tcW w:w="2565" w:type="dxa"/>
            <w:tcMar/>
            <w:vAlign w:val="center"/>
          </w:tcPr>
          <w:p w:rsidR="4B42FC9B" w:rsidP="4B42FC9B" w:rsidRDefault="4B42FC9B" w14:paraId="2F1DF52B" w14:textId="58B0CCAC">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w:t>
            </w:r>
          </w:p>
        </w:tc>
      </w:tr>
      <w:tr w:rsidR="4B42FC9B" w:rsidTr="4B42FC9B" w14:paraId="11F92882">
        <w:trPr>
          <w:trHeight w:val="300"/>
        </w:trPr>
        <w:tc>
          <w:tcPr>
            <w:tcW w:w="6068" w:type="dxa"/>
            <w:tcMar/>
            <w:vAlign w:val="center"/>
          </w:tcPr>
          <w:p w:rsidR="4B42FC9B" w:rsidP="4B42FC9B" w:rsidRDefault="4B42FC9B" w14:paraId="5A0DA6BE" w14:textId="5F29BED5">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 Introduction</w:t>
            </w:r>
          </w:p>
        </w:tc>
        <w:tc>
          <w:tcPr>
            <w:tcW w:w="2565" w:type="dxa"/>
            <w:tcMar/>
            <w:vAlign w:val="center"/>
          </w:tcPr>
          <w:p w:rsidR="4B42FC9B" w:rsidP="4B42FC9B" w:rsidRDefault="4B42FC9B" w14:paraId="0687A30F" w14:textId="17F61024">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4</w:t>
            </w:r>
          </w:p>
        </w:tc>
      </w:tr>
      <w:tr w:rsidR="4B42FC9B" w:rsidTr="4B42FC9B" w14:paraId="72F484A0">
        <w:trPr>
          <w:trHeight w:val="300"/>
        </w:trPr>
        <w:tc>
          <w:tcPr>
            <w:tcW w:w="6068" w:type="dxa"/>
            <w:tcMar/>
            <w:vAlign w:val="center"/>
          </w:tcPr>
          <w:p w:rsidR="4B42FC9B" w:rsidP="4B42FC9B" w:rsidRDefault="4B42FC9B" w14:paraId="0E661B72" w14:textId="17561C9B">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 Main Body</w:t>
            </w:r>
          </w:p>
        </w:tc>
        <w:tc>
          <w:tcPr>
            <w:tcW w:w="2565" w:type="dxa"/>
            <w:tcMar/>
            <w:vAlign w:val="center"/>
          </w:tcPr>
          <w:p w:rsidR="4B42FC9B" w:rsidP="4B42FC9B" w:rsidRDefault="4B42FC9B" w14:paraId="2466C4AA" w14:textId="37BBE2AF">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5</w:t>
            </w:r>
          </w:p>
        </w:tc>
      </w:tr>
      <w:tr w:rsidR="4B42FC9B" w:rsidTr="4B42FC9B" w14:paraId="21DEA580">
        <w:trPr>
          <w:trHeight w:val="300"/>
        </w:trPr>
        <w:tc>
          <w:tcPr>
            <w:tcW w:w="6068" w:type="dxa"/>
            <w:tcMar/>
            <w:vAlign w:val="center"/>
          </w:tcPr>
          <w:p w:rsidR="4B42FC9B" w:rsidP="4B42FC9B" w:rsidRDefault="4B42FC9B" w14:paraId="13CF2322" w14:textId="63955552">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2.1 Donabedian Model</w:t>
            </w:r>
          </w:p>
        </w:tc>
        <w:tc>
          <w:tcPr>
            <w:tcW w:w="2565" w:type="dxa"/>
            <w:tcMar/>
            <w:vAlign w:val="center"/>
          </w:tcPr>
          <w:p w:rsidR="4B42FC9B" w:rsidP="4B42FC9B" w:rsidRDefault="4B42FC9B" w14:paraId="7704C6FB" w14:textId="23588DFE">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5</w:t>
            </w:r>
          </w:p>
        </w:tc>
      </w:tr>
      <w:tr w:rsidR="4B42FC9B" w:rsidTr="4B42FC9B" w14:paraId="6265661F">
        <w:trPr>
          <w:trHeight w:val="300"/>
        </w:trPr>
        <w:tc>
          <w:tcPr>
            <w:tcW w:w="6068" w:type="dxa"/>
            <w:tcMar/>
            <w:vAlign w:val="center"/>
          </w:tcPr>
          <w:p w:rsidR="4B42FC9B" w:rsidP="4B42FC9B" w:rsidRDefault="4B42FC9B" w14:paraId="3F281343" w14:textId="2F0FA354">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2.2 Fishbone Root-Cause Analysis</w:t>
            </w:r>
          </w:p>
        </w:tc>
        <w:tc>
          <w:tcPr>
            <w:tcW w:w="2565" w:type="dxa"/>
            <w:tcMar/>
            <w:vAlign w:val="center"/>
          </w:tcPr>
          <w:p w:rsidR="4B42FC9B" w:rsidP="4B42FC9B" w:rsidRDefault="4B42FC9B" w14:paraId="7C1FBB33" w14:textId="262E2092">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6</w:t>
            </w:r>
          </w:p>
        </w:tc>
      </w:tr>
      <w:tr w:rsidR="4B42FC9B" w:rsidTr="4B42FC9B" w14:paraId="006A6A8B">
        <w:trPr>
          <w:trHeight w:val="300"/>
        </w:trPr>
        <w:tc>
          <w:tcPr>
            <w:tcW w:w="6068" w:type="dxa"/>
            <w:tcMar/>
            <w:vAlign w:val="center"/>
          </w:tcPr>
          <w:p w:rsidR="4B42FC9B" w:rsidP="4B42FC9B" w:rsidRDefault="4B42FC9B" w14:paraId="04E1D816" w14:textId="55D6CAB3">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2.3 Five Whys Analysis</w:t>
            </w:r>
          </w:p>
        </w:tc>
        <w:tc>
          <w:tcPr>
            <w:tcW w:w="2565" w:type="dxa"/>
            <w:tcMar/>
            <w:vAlign w:val="center"/>
          </w:tcPr>
          <w:p w:rsidR="0FD00FF0" w:rsidP="4B42FC9B" w:rsidRDefault="0FD00FF0" w14:paraId="24B0D9BF" w14:textId="5C6D7EF6">
            <w:pPr>
              <w:spacing w:before="0" w:beforeAutospacing="off" w:after="0" w:afterAutospacing="off"/>
              <w:jc w:val="right"/>
            </w:pPr>
            <w:r w:rsidRPr="4B42FC9B" w:rsidR="0FD00FF0">
              <w:rPr>
                <w:rFonts w:ascii="Arial" w:hAnsi="Arial" w:eastAsia="Arial" w:cs="Arial" w:asciiTheme="minorAscii" w:hAnsiTheme="minorAscii" w:eastAsiaTheme="minorAscii" w:cstheme="minorAscii"/>
                <w:b w:val="0"/>
                <w:bCs w:val="0"/>
              </w:rPr>
              <w:t>8</w:t>
            </w:r>
          </w:p>
        </w:tc>
      </w:tr>
      <w:tr w:rsidR="4B42FC9B" w:rsidTr="4B42FC9B" w14:paraId="0F57A53A">
        <w:trPr>
          <w:trHeight w:val="300"/>
        </w:trPr>
        <w:tc>
          <w:tcPr>
            <w:tcW w:w="6068" w:type="dxa"/>
            <w:tcMar/>
            <w:vAlign w:val="center"/>
          </w:tcPr>
          <w:p w:rsidR="4B42FC9B" w:rsidP="4B42FC9B" w:rsidRDefault="4B42FC9B" w14:paraId="7A71343B" w14:textId="57847BAE">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2.4 Systems Theory</w:t>
            </w:r>
          </w:p>
        </w:tc>
        <w:tc>
          <w:tcPr>
            <w:tcW w:w="2565" w:type="dxa"/>
            <w:tcMar/>
            <w:vAlign w:val="center"/>
          </w:tcPr>
          <w:p w:rsidR="45F4FAB2" w:rsidP="4B42FC9B" w:rsidRDefault="45F4FAB2" w14:paraId="40DD9382" w14:textId="71751774">
            <w:pPr>
              <w:spacing w:before="0" w:beforeAutospacing="off" w:after="0" w:afterAutospacing="off"/>
              <w:jc w:val="right"/>
            </w:pPr>
            <w:r w:rsidRPr="4B42FC9B" w:rsidR="45F4FAB2">
              <w:rPr>
                <w:rFonts w:ascii="Arial" w:hAnsi="Arial" w:eastAsia="Arial" w:cs="Arial" w:asciiTheme="minorAscii" w:hAnsiTheme="minorAscii" w:eastAsiaTheme="minorAscii" w:cstheme="minorAscii"/>
                <w:b w:val="0"/>
                <w:bCs w:val="0"/>
              </w:rPr>
              <w:t>8</w:t>
            </w:r>
          </w:p>
        </w:tc>
      </w:tr>
      <w:tr w:rsidR="4B42FC9B" w:rsidTr="4B42FC9B" w14:paraId="4C02324F">
        <w:trPr>
          <w:trHeight w:val="300"/>
        </w:trPr>
        <w:tc>
          <w:tcPr>
            <w:tcW w:w="6068" w:type="dxa"/>
            <w:tcMar/>
            <w:vAlign w:val="center"/>
          </w:tcPr>
          <w:p w:rsidR="4B42FC9B" w:rsidP="4B42FC9B" w:rsidRDefault="4B42FC9B" w14:paraId="78D3BCAB" w14:textId="168BBCCE">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2.5 Swiss Cheese Model</w:t>
            </w:r>
          </w:p>
        </w:tc>
        <w:tc>
          <w:tcPr>
            <w:tcW w:w="2565" w:type="dxa"/>
            <w:tcMar/>
            <w:vAlign w:val="center"/>
          </w:tcPr>
          <w:p w:rsidR="0059F16D" w:rsidP="4B42FC9B" w:rsidRDefault="0059F16D" w14:paraId="6D616C33" w14:textId="649BA889">
            <w:pPr>
              <w:spacing w:before="0" w:beforeAutospacing="off" w:after="0" w:afterAutospacing="off"/>
              <w:jc w:val="right"/>
            </w:pPr>
            <w:r w:rsidRPr="4B42FC9B" w:rsidR="0059F16D">
              <w:rPr>
                <w:rFonts w:ascii="Arial" w:hAnsi="Arial" w:eastAsia="Arial" w:cs="Arial" w:asciiTheme="minorAscii" w:hAnsiTheme="minorAscii" w:eastAsiaTheme="minorAscii" w:cstheme="minorAscii"/>
                <w:b w:val="0"/>
                <w:bCs w:val="0"/>
              </w:rPr>
              <w:t>9</w:t>
            </w:r>
          </w:p>
        </w:tc>
      </w:tr>
      <w:tr w:rsidR="4B42FC9B" w:rsidTr="4B42FC9B" w14:paraId="17ACD78A">
        <w:trPr>
          <w:trHeight w:val="300"/>
        </w:trPr>
        <w:tc>
          <w:tcPr>
            <w:tcW w:w="6068" w:type="dxa"/>
            <w:tcMar/>
            <w:vAlign w:val="center"/>
          </w:tcPr>
          <w:p w:rsidR="4B42FC9B" w:rsidP="4B42FC9B" w:rsidRDefault="4B42FC9B" w14:paraId="34E31264" w14:textId="40C2361C">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2.6 SWOT Analysis</w:t>
            </w:r>
          </w:p>
        </w:tc>
        <w:tc>
          <w:tcPr>
            <w:tcW w:w="2565" w:type="dxa"/>
            <w:tcMar/>
            <w:vAlign w:val="center"/>
          </w:tcPr>
          <w:p w:rsidR="1DF84624" w:rsidP="4B42FC9B" w:rsidRDefault="1DF84624" w14:paraId="785C12BC" w14:textId="420C3E0C">
            <w:pPr>
              <w:spacing w:before="0" w:beforeAutospacing="off" w:after="0" w:afterAutospacing="off"/>
              <w:jc w:val="right"/>
            </w:pPr>
            <w:r w:rsidRPr="4B42FC9B" w:rsidR="1DF84624">
              <w:rPr>
                <w:rFonts w:ascii="Arial" w:hAnsi="Arial" w:eastAsia="Arial" w:cs="Arial" w:asciiTheme="minorAscii" w:hAnsiTheme="minorAscii" w:eastAsiaTheme="minorAscii" w:cstheme="minorAscii"/>
                <w:b w:val="0"/>
                <w:bCs w:val="0"/>
              </w:rPr>
              <w:t>9</w:t>
            </w:r>
          </w:p>
        </w:tc>
      </w:tr>
      <w:tr w:rsidR="4B42FC9B" w:rsidTr="4B42FC9B" w14:paraId="1511B2A4">
        <w:trPr>
          <w:trHeight w:val="300"/>
        </w:trPr>
        <w:tc>
          <w:tcPr>
            <w:tcW w:w="6068" w:type="dxa"/>
            <w:tcMar/>
            <w:vAlign w:val="center"/>
          </w:tcPr>
          <w:p w:rsidR="4B42FC9B" w:rsidP="4B42FC9B" w:rsidRDefault="4B42FC9B" w14:paraId="5089597D" w14:textId="664D93A6">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2.7 Real-World Quality-Improvement Learning</w:t>
            </w:r>
          </w:p>
        </w:tc>
        <w:tc>
          <w:tcPr>
            <w:tcW w:w="2565" w:type="dxa"/>
            <w:tcMar/>
            <w:vAlign w:val="center"/>
          </w:tcPr>
          <w:p w:rsidR="25A4A206" w:rsidP="4B42FC9B" w:rsidRDefault="25A4A206" w14:paraId="685A9BD5" w14:textId="457CDCDB">
            <w:pPr>
              <w:spacing w:before="0" w:beforeAutospacing="off" w:after="0" w:afterAutospacing="off"/>
              <w:jc w:val="right"/>
            </w:pPr>
            <w:r w:rsidRPr="4B42FC9B" w:rsidR="25A4A206">
              <w:rPr>
                <w:rFonts w:ascii="Arial" w:hAnsi="Arial" w:eastAsia="Arial" w:cs="Arial" w:asciiTheme="minorAscii" w:hAnsiTheme="minorAscii" w:eastAsiaTheme="minorAscii" w:cstheme="minorAscii"/>
                <w:b w:val="0"/>
                <w:bCs w:val="0"/>
              </w:rPr>
              <w:t>10</w:t>
            </w:r>
          </w:p>
        </w:tc>
      </w:tr>
      <w:tr w:rsidR="4B42FC9B" w:rsidTr="4B42FC9B" w14:paraId="42B15C4F">
        <w:trPr>
          <w:trHeight w:val="300"/>
        </w:trPr>
        <w:tc>
          <w:tcPr>
            <w:tcW w:w="6068" w:type="dxa"/>
            <w:tcMar/>
            <w:vAlign w:val="center"/>
          </w:tcPr>
          <w:p w:rsidR="4B42FC9B" w:rsidP="4B42FC9B" w:rsidRDefault="4B42FC9B" w14:paraId="16251B0D" w14:textId="6B4F8DC2">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 Recommendations and Service Improvement Strategy</w:t>
            </w:r>
          </w:p>
        </w:tc>
        <w:tc>
          <w:tcPr>
            <w:tcW w:w="2565" w:type="dxa"/>
            <w:tcMar/>
            <w:vAlign w:val="center"/>
          </w:tcPr>
          <w:p w:rsidR="4B42FC9B" w:rsidP="4B42FC9B" w:rsidRDefault="4B42FC9B" w14:paraId="13229CDE" w14:textId="31F8E5CA">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02D06E45">
              <w:rPr>
                <w:rFonts w:ascii="Arial" w:hAnsi="Arial" w:eastAsia="Arial" w:cs="Arial" w:asciiTheme="minorAscii" w:hAnsiTheme="minorAscii" w:eastAsiaTheme="minorAscii" w:cstheme="minorAscii"/>
                <w:b w:val="0"/>
                <w:bCs w:val="0"/>
              </w:rPr>
              <w:t>2</w:t>
            </w:r>
          </w:p>
        </w:tc>
      </w:tr>
      <w:tr w:rsidR="4B42FC9B" w:rsidTr="4B42FC9B" w14:paraId="5FC8E4B1">
        <w:trPr>
          <w:trHeight w:val="300"/>
        </w:trPr>
        <w:tc>
          <w:tcPr>
            <w:tcW w:w="6068" w:type="dxa"/>
            <w:tcMar/>
            <w:vAlign w:val="center"/>
          </w:tcPr>
          <w:p w:rsidR="4B42FC9B" w:rsidP="4B42FC9B" w:rsidRDefault="4B42FC9B" w14:paraId="56D5A345" w14:textId="2D0121C7">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3.1 Strengthen Patient-Safety Governance</w:t>
            </w:r>
          </w:p>
        </w:tc>
        <w:tc>
          <w:tcPr>
            <w:tcW w:w="2565" w:type="dxa"/>
            <w:tcMar/>
            <w:vAlign w:val="center"/>
          </w:tcPr>
          <w:p w:rsidR="4B42FC9B" w:rsidP="4B42FC9B" w:rsidRDefault="4B42FC9B" w14:paraId="34E9DAF4" w14:textId="2E9C5EB8">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74445E7E">
              <w:rPr>
                <w:rFonts w:ascii="Arial" w:hAnsi="Arial" w:eastAsia="Arial" w:cs="Arial" w:asciiTheme="minorAscii" w:hAnsiTheme="minorAscii" w:eastAsiaTheme="minorAscii" w:cstheme="minorAscii"/>
                <w:b w:val="0"/>
                <w:bCs w:val="0"/>
              </w:rPr>
              <w:t>2</w:t>
            </w:r>
          </w:p>
        </w:tc>
      </w:tr>
      <w:tr w:rsidR="4B42FC9B" w:rsidTr="4B42FC9B" w14:paraId="4473BB84">
        <w:trPr>
          <w:trHeight w:val="300"/>
        </w:trPr>
        <w:tc>
          <w:tcPr>
            <w:tcW w:w="6068" w:type="dxa"/>
            <w:tcMar/>
            <w:vAlign w:val="center"/>
          </w:tcPr>
          <w:p w:rsidR="4B42FC9B" w:rsidP="4B42FC9B" w:rsidRDefault="4B42FC9B" w14:paraId="5F0677F6" w14:textId="0ADAE9C8">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3.2 Improve Workforce Capacity and Competence</w:t>
            </w:r>
          </w:p>
        </w:tc>
        <w:tc>
          <w:tcPr>
            <w:tcW w:w="2565" w:type="dxa"/>
            <w:tcMar/>
            <w:vAlign w:val="center"/>
          </w:tcPr>
          <w:p w:rsidR="4B42FC9B" w:rsidP="4B42FC9B" w:rsidRDefault="4B42FC9B" w14:paraId="7EDCA695" w14:textId="2AF839EE">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37325F24">
              <w:rPr>
                <w:rFonts w:ascii="Arial" w:hAnsi="Arial" w:eastAsia="Arial" w:cs="Arial" w:asciiTheme="minorAscii" w:hAnsiTheme="minorAscii" w:eastAsiaTheme="minorAscii" w:cstheme="minorAscii"/>
                <w:b w:val="0"/>
                <w:bCs w:val="0"/>
              </w:rPr>
              <w:t>3</w:t>
            </w:r>
          </w:p>
        </w:tc>
      </w:tr>
      <w:tr w:rsidR="4B42FC9B" w:rsidTr="4B42FC9B" w14:paraId="0D2C4D08">
        <w:trPr>
          <w:trHeight w:val="300"/>
        </w:trPr>
        <w:tc>
          <w:tcPr>
            <w:tcW w:w="6068" w:type="dxa"/>
            <w:tcMar/>
            <w:vAlign w:val="center"/>
          </w:tcPr>
          <w:p w:rsidR="4B42FC9B" w:rsidP="4B42FC9B" w:rsidRDefault="4B42FC9B" w14:paraId="43B29BA9" w14:textId="5D73EA55">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3.3 Build an Open and Patient-Centred Safety Culture</w:t>
            </w:r>
          </w:p>
        </w:tc>
        <w:tc>
          <w:tcPr>
            <w:tcW w:w="2565" w:type="dxa"/>
            <w:tcMar/>
            <w:vAlign w:val="center"/>
          </w:tcPr>
          <w:p w:rsidR="4B42FC9B" w:rsidP="4B42FC9B" w:rsidRDefault="4B42FC9B" w14:paraId="7ACC28FB" w14:textId="76483EC7">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6E0411D9">
              <w:rPr>
                <w:rFonts w:ascii="Arial" w:hAnsi="Arial" w:eastAsia="Arial" w:cs="Arial" w:asciiTheme="minorAscii" w:hAnsiTheme="minorAscii" w:eastAsiaTheme="minorAscii" w:cstheme="minorAscii"/>
                <w:b w:val="0"/>
                <w:bCs w:val="0"/>
              </w:rPr>
              <w:t>3</w:t>
            </w:r>
          </w:p>
        </w:tc>
      </w:tr>
      <w:tr w:rsidR="4B42FC9B" w:rsidTr="4B42FC9B" w14:paraId="0A9B36CF">
        <w:trPr>
          <w:trHeight w:val="300"/>
        </w:trPr>
        <w:tc>
          <w:tcPr>
            <w:tcW w:w="6068" w:type="dxa"/>
            <w:tcMar/>
            <w:vAlign w:val="center"/>
          </w:tcPr>
          <w:p w:rsidR="4B42FC9B" w:rsidP="4B42FC9B" w:rsidRDefault="4B42FC9B" w14:paraId="7FAE8614" w14:textId="50C0AFEF">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3.4 Use PDSA as the Main Implementation Method</w:t>
            </w:r>
          </w:p>
        </w:tc>
        <w:tc>
          <w:tcPr>
            <w:tcW w:w="2565" w:type="dxa"/>
            <w:tcMar/>
            <w:vAlign w:val="center"/>
          </w:tcPr>
          <w:p w:rsidR="4B42FC9B" w:rsidP="4B42FC9B" w:rsidRDefault="4B42FC9B" w14:paraId="43B0312B" w14:textId="084BBC71">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351151E6">
              <w:rPr>
                <w:rFonts w:ascii="Arial" w:hAnsi="Arial" w:eastAsia="Arial" w:cs="Arial" w:asciiTheme="minorAscii" w:hAnsiTheme="minorAscii" w:eastAsiaTheme="minorAscii" w:cstheme="minorAscii"/>
                <w:b w:val="0"/>
                <w:bCs w:val="0"/>
              </w:rPr>
              <w:t>4</w:t>
            </w:r>
          </w:p>
        </w:tc>
      </w:tr>
      <w:tr w:rsidR="4B42FC9B" w:rsidTr="4B42FC9B" w14:paraId="014F91D9">
        <w:trPr>
          <w:trHeight w:val="300"/>
        </w:trPr>
        <w:tc>
          <w:tcPr>
            <w:tcW w:w="6068" w:type="dxa"/>
            <w:tcMar/>
            <w:vAlign w:val="center"/>
          </w:tcPr>
          <w:p w:rsidR="4B42FC9B" w:rsidP="4B42FC9B" w:rsidRDefault="4B42FC9B" w14:paraId="69187137" w14:textId="760DD8AE">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3.5 Use Lean and Six Sigma Selectively</w:t>
            </w:r>
          </w:p>
        </w:tc>
        <w:tc>
          <w:tcPr>
            <w:tcW w:w="2565" w:type="dxa"/>
            <w:tcMar/>
            <w:vAlign w:val="center"/>
          </w:tcPr>
          <w:p w:rsidR="4B42FC9B" w:rsidP="4B42FC9B" w:rsidRDefault="4B42FC9B" w14:paraId="6EF806F6" w14:textId="6C7499D6">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6CFA5C94">
              <w:rPr>
                <w:rFonts w:ascii="Arial" w:hAnsi="Arial" w:eastAsia="Arial" w:cs="Arial" w:asciiTheme="minorAscii" w:hAnsiTheme="minorAscii" w:eastAsiaTheme="minorAscii" w:cstheme="minorAscii"/>
                <w:b w:val="0"/>
                <w:bCs w:val="0"/>
              </w:rPr>
              <w:t>4</w:t>
            </w:r>
          </w:p>
        </w:tc>
      </w:tr>
      <w:tr w:rsidR="4B42FC9B" w:rsidTr="4B42FC9B" w14:paraId="0C14B25C">
        <w:trPr>
          <w:trHeight w:val="300"/>
        </w:trPr>
        <w:tc>
          <w:tcPr>
            <w:tcW w:w="6068" w:type="dxa"/>
            <w:tcMar/>
            <w:vAlign w:val="center"/>
          </w:tcPr>
          <w:p w:rsidR="4B42FC9B" w:rsidP="4B42FC9B" w:rsidRDefault="4B42FC9B" w14:paraId="6FB09F1C" w14:textId="3785F1E9">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3.6 Implementation, Measurement and Sustainability</w:t>
            </w:r>
          </w:p>
        </w:tc>
        <w:tc>
          <w:tcPr>
            <w:tcW w:w="2565" w:type="dxa"/>
            <w:tcMar/>
            <w:vAlign w:val="center"/>
          </w:tcPr>
          <w:p w:rsidR="4B42FC9B" w:rsidP="4B42FC9B" w:rsidRDefault="4B42FC9B" w14:paraId="13F670A0" w14:textId="3EECEFFE">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0B6F8FC5">
              <w:rPr>
                <w:rFonts w:ascii="Arial" w:hAnsi="Arial" w:eastAsia="Arial" w:cs="Arial" w:asciiTheme="minorAscii" w:hAnsiTheme="minorAscii" w:eastAsiaTheme="minorAscii" w:cstheme="minorAscii"/>
                <w:b w:val="0"/>
                <w:bCs w:val="0"/>
              </w:rPr>
              <w:t>5</w:t>
            </w:r>
          </w:p>
        </w:tc>
      </w:tr>
      <w:tr w:rsidR="4B42FC9B" w:rsidTr="4B42FC9B" w14:paraId="15F4DC98">
        <w:trPr>
          <w:trHeight w:val="300"/>
        </w:trPr>
        <w:tc>
          <w:tcPr>
            <w:tcW w:w="6068" w:type="dxa"/>
            <w:tcMar/>
            <w:vAlign w:val="center"/>
          </w:tcPr>
          <w:p w:rsidR="4B42FC9B" w:rsidP="4B42FC9B" w:rsidRDefault="4B42FC9B" w14:paraId="2AFD4A12" w14:textId="00D01614">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4. Conclusion</w:t>
            </w:r>
          </w:p>
        </w:tc>
        <w:tc>
          <w:tcPr>
            <w:tcW w:w="2565" w:type="dxa"/>
            <w:tcMar/>
            <w:vAlign w:val="center"/>
          </w:tcPr>
          <w:p w:rsidR="4B42FC9B" w:rsidP="4B42FC9B" w:rsidRDefault="4B42FC9B" w14:paraId="05E3445A" w14:textId="4768C9A8">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2F9A8FC3">
              <w:rPr>
                <w:rFonts w:ascii="Arial" w:hAnsi="Arial" w:eastAsia="Arial" w:cs="Arial" w:asciiTheme="minorAscii" w:hAnsiTheme="minorAscii" w:eastAsiaTheme="minorAscii" w:cstheme="minorAscii"/>
                <w:b w:val="0"/>
                <w:bCs w:val="0"/>
              </w:rPr>
              <w:t>6</w:t>
            </w:r>
          </w:p>
        </w:tc>
      </w:tr>
      <w:tr w:rsidR="4B42FC9B" w:rsidTr="4B42FC9B" w14:paraId="402ED2B4">
        <w:trPr>
          <w:trHeight w:val="300"/>
        </w:trPr>
        <w:tc>
          <w:tcPr>
            <w:tcW w:w="6068" w:type="dxa"/>
            <w:tcMar/>
            <w:vAlign w:val="center"/>
          </w:tcPr>
          <w:p w:rsidR="4B42FC9B" w:rsidP="4B42FC9B" w:rsidRDefault="4B42FC9B" w14:paraId="68C86BE2" w14:textId="7DAFC76F">
            <w:pPr>
              <w:spacing w:before="0" w:beforeAutospacing="off" w:after="0" w:afterAutospacing="off"/>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5. Reference List</w:t>
            </w:r>
          </w:p>
        </w:tc>
        <w:tc>
          <w:tcPr>
            <w:tcW w:w="2565" w:type="dxa"/>
            <w:tcMar/>
            <w:vAlign w:val="center"/>
          </w:tcPr>
          <w:p w:rsidR="4B42FC9B" w:rsidP="4B42FC9B" w:rsidRDefault="4B42FC9B" w14:paraId="5FC1B8C9" w14:textId="30EBD39B">
            <w:pPr>
              <w:spacing w:before="0" w:beforeAutospacing="off" w:after="0" w:afterAutospacing="off"/>
              <w:jc w:val="right"/>
              <w:rPr>
                <w:rFonts w:ascii="Arial" w:hAnsi="Arial" w:eastAsia="Arial" w:cs="Arial" w:asciiTheme="minorAscii" w:hAnsiTheme="minorAscii" w:eastAsiaTheme="minorAscii" w:cstheme="minorAscii"/>
                <w:b w:val="0"/>
                <w:bCs w:val="0"/>
              </w:rPr>
            </w:pPr>
            <w:r w:rsidRPr="4B42FC9B" w:rsidR="4B42FC9B">
              <w:rPr>
                <w:rFonts w:ascii="Arial" w:hAnsi="Arial" w:eastAsia="Arial" w:cs="Arial" w:asciiTheme="minorAscii" w:hAnsiTheme="minorAscii" w:eastAsiaTheme="minorAscii" w:cstheme="minorAscii"/>
                <w:b w:val="0"/>
                <w:bCs w:val="0"/>
              </w:rPr>
              <w:t>1</w:t>
            </w:r>
            <w:r w:rsidRPr="4B42FC9B" w:rsidR="0DCF6639">
              <w:rPr>
                <w:rFonts w:ascii="Arial" w:hAnsi="Arial" w:eastAsia="Arial" w:cs="Arial" w:asciiTheme="minorAscii" w:hAnsiTheme="minorAscii" w:eastAsiaTheme="minorAscii" w:cstheme="minorAscii"/>
                <w:b w:val="0"/>
                <w:bCs w:val="0"/>
              </w:rPr>
              <w:t>7</w:t>
            </w:r>
          </w:p>
        </w:tc>
      </w:tr>
    </w:tbl>
    <w:p w:rsidR="4B42FC9B" w:rsidP="4B42FC9B" w:rsidRDefault="4B42FC9B" w14:paraId="60DF419B" w14:textId="0314BA44">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0827D23C" w14:textId="5AF625C9">
      <w:pPr>
        <w:rPr>
          <w:rFonts w:ascii="Arial" w:hAnsi="Arial" w:eastAsia="Arial" w:cs="Arial" w:asciiTheme="minorAscii" w:hAnsiTheme="minorAscii" w:eastAsiaTheme="minorAscii" w:cstheme="minorAscii"/>
        </w:rPr>
      </w:pPr>
    </w:p>
    <w:p w:rsidR="0C9EA76E" w:rsidP="0C9EA76E" w:rsidRDefault="0C9EA76E" w14:paraId="1E24D9E3" w14:textId="28813494">
      <w:pPr>
        <w:rPr>
          <w:rFonts w:ascii="Arial" w:hAnsi="Arial" w:eastAsia="Arial" w:cs="Arial" w:asciiTheme="minorAscii" w:hAnsiTheme="minorAscii" w:eastAsiaTheme="minorAscii" w:cstheme="minorAscii"/>
        </w:rPr>
      </w:pPr>
    </w:p>
    <w:p w:rsidR="0C9EA76E" w:rsidP="0C9EA76E" w:rsidRDefault="0C9EA76E" w14:paraId="748B8706" w14:textId="0DD2D86B">
      <w:pPr>
        <w:rPr>
          <w:rFonts w:ascii="Arial" w:hAnsi="Arial" w:eastAsia="Arial" w:cs="Arial" w:asciiTheme="minorAscii" w:hAnsiTheme="minorAscii" w:eastAsiaTheme="minorAscii" w:cstheme="minorAscii"/>
        </w:rPr>
      </w:pPr>
    </w:p>
    <w:p w:rsidR="0C9EA76E" w:rsidP="0C9EA76E" w:rsidRDefault="0C9EA76E" w14:paraId="0F785986" w14:textId="62F71453">
      <w:pPr>
        <w:rPr>
          <w:rFonts w:ascii="Arial" w:hAnsi="Arial" w:eastAsia="Arial" w:cs="Arial" w:asciiTheme="minorAscii" w:hAnsiTheme="minorAscii" w:eastAsiaTheme="minorAscii" w:cstheme="minorAscii"/>
        </w:rPr>
      </w:pPr>
    </w:p>
    <w:p w:rsidR="0C9EA76E" w:rsidP="0C9EA76E" w:rsidRDefault="0C9EA76E" w14:paraId="75397D2B" w14:textId="6410A797">
      <w:pPr>
        <w:rPr>
          <w:rFonts w:ascii="Arial" w:hAnsi="Arial" w:eastAsia="Arial" w:cs="Arial" w:asciiTheme="minorAscii" w:hAnsiTheme="minorAscii" w:eastAsiaTheme="minorAscii" w:cstheme="minorAscii"/>
        </w:rPr>
      </w:pPr>
    </w:p>
    <w:p w:rsidR="0C9EA76E" w:rsidP="0C9EA76E" w:rsidRDefault="0C9EA76E" w14:paraId="0B54C19A" w14:textId="4E6DA150">
      <w:pPr>
        <w:rPr>
          <w:rFonts w:ascii="Arial" w:hAnsi="Arial" w:eastAsia="Arial" w:cs="Arial" w:asciiTheme="minorAscii" w:hAnsiTheme="minorAscii" w:eastAsiaTheme="minorAscii" w:cstheme="minorAscii"/>
        </w:rPr>
      </w:pPr>
    </w:p>
    <w:p w:rsidR="0C9EA76E" w:rsidP="0C9EA76E" w:rsidRDefault="0C9EA76E" w14:paraId="33275382" w14:textId="5FBC6322">
      <w:pPr>
        <w:rPr>
          <w:rFonts w:ascii="Arial" w:hAnsi="Arial" w:eastAsia="Arial" w:cs="Arial" w:asciiTheme="minorAscii" w:hAnsiTheme="minorAscii" w:eastAsiaTheme="minorAscii" w:cstheme="minorAscii"/>
        </w:rPr>
      </w:pPr>
    </w:p>
    <w:p w:rsidR="0C9EA76E" w:rsidP="0C9EA76E" w:rsidRDefault="0C9EA76E" w14:paraId="2CFBD23B" w14:textId="29CDE8D0">
      <w:pPr>
        <w:rPr>
          <w:rFonts w:ascii="Arial" w:hAnsi="Arial" w:eastAsia="Arial" w:cs="Arial" w:asciiTheme="minorAscii" w:hAnsiTheme="minorAscii" w:eastAsiaTheme="minorAscii" w:cstheme="minorAscii"/>
        </w:rPr>
      </w:pPr>
    </w:p>
    <w:p w:rsidR="0C9EA76E" w:rsidP="0C9EA76E" w:rsidRDefault="0C9EA76E" w14:paraId="3F636960" w14:textId="13B04017">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6A87605D" w14:textId="20EBA66E">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08BE69FA" w14:textId="019AA7BD">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1FC0FDB6" w:rsidP="0C9EA76E" w:rsidRDefault="1FC0FDB6" w14:paraId="06C88B16" w14:textId="6BED8D45">
      <w:pPr>
        <w:pStyle w:val="Normal"/>
        <w:rPr>
          <w:noProof w:val="0"/>
          <w:lang w:val="en-US"/>
        </w:rPr>
      </w:pPr>
      <w:r w:rsidRPr="0C9EA76E" w:rsidR="1FC0FDB6">
        <w:rPr>
          <w:b w:val="1"/>
          <w:bCs w:val="1"/>
          <w:noProof w:val="0"/>
          <w:lang w:val="en-US"/>
        </w:rPr>
        <w:t>Abbreviations</w:t>
      </w:r>
      <w:r w:rsidRPr="0C9EA76E" w:rsidR="1FC0FDB6">
        <w:rPr>
          <w:noProof w:val="0"/>
          <w:lang w:val="en-US"/>
        </w:rPr>
        <w:t>:</w:t>
      </w:r>
    </w:p>
    <w:p w:rsidR="0C9EA76E" w:rsidP="0C9EA76E" w:rsidRDefault="0C9EA76E" w14:paraId="2E354B35" w14:textId="68E82B47">
      <w:pPr>
        <w:pStyle w:val="Normal"/>
        <w:rPr>
          <w:noProof w:val="0"/>
          <w:lang w:val="en-US"/>
        </w:rPr>
      </w:pPr>
    </w:p>
    <w:tbl>
      <w:tblPr>
        <w:tblStyle w:val="TableGrid"/>
        <w:tblW w:w="0" w:type="auto"/>
        <w:tblLook w:val="06A0" w:firstRow="1" w:lastRow="0" w:firstColumn="1" w:lastColumn="0" w:noHBand="1" w:noVBand="1"/>
      </w:tblPr>
      <w:tblGrid>
        <w:gridCol w:w="2190"/>
        <w:gridCol w:w="6345"/>
      </w:tblGrid>
      <w:tr w:rsidR="0C9EA76E" w:rsidTr="0C9EA76E" w14:paraId="4AE8BBFB">
        <w:trPr>
          <w:trHeight w:val="555"/>
        </w:trPr>
        <w:tc>
          <w:tcPr>
            <w:tcW w:w="2190" w:type="dxa"/>
            <w:tcMar/>
          </w:tcPr>
          <w:p w:rsidR="708D6834" w:rsidP="0C9EA76E" w:rsidRDefault="708D6834" w14:paraId="41F2936F" w14:textId="408C4ED1">
            <w:pPr>
              <w:pStyle w:val="Normal"/>
              <w:rPr>
                <w:rFonts w:ascii="Arial" w:hAnsi="Arial" w:eastAsia="Arial" w:cs="Arial"/>
                <w:b w:val="1"/>
                <w:bCs w:val="1"/>
                <w:noProof w:val="0"/>
                <w:sz w:val="24"/>
                <w:szCs w:val="24"/>
                <w:lang w:val="en-US"/>
              </w:rPr>
            </w:pPr>
            <w:r w:rsidRPr="0C9EA76E" w:rsidR="708D6834">
              <w:rPr>
                <w:rFonts w:ascii="Arial" w:hAnsi="Arial" w:eastAsia="Arial" w:cs="Arial"/>
                <w:b w:val="1"/>
                <w:bCs w:val="1"/>
                <w:noProof w:val="0"/>
                <w:sz w:val="24"/>
                <w:szCs w:val="24"/>
                <w:lang w:val="en-US"/>
              </w:rPr>
              <w:t>Abbreviation</w:t>
            </w:r>
          </w:p>
        </w:tc>
        <w:tc>
          <w:tcPr>
            <w:tcW w:w="6345" w:type="dxa"/>
            <w:tcMar/>
          </w:tcPr>
          <w:p w:rsidR="708D6834" w:rsidP="0C9EA76E" w:rsidRDefault="708D6834" w14:paraId="677FF0CA" w14:textId="68E163CC">
            <w:pPr>
              <w:pStyle w:val="Normal"/>
              <w:rPr>
                <w:rFonts w:ascii="Arial" w:hAnsi="Arial" w:eastAsia="Arial" w:cs="Arial"/>
                <w:b w:val="1"/>
                <w:bCs w:val="1"/>
                <w:noProof w:val="0"/>
                <w:sz w:val="24"/>
                <w:szCs w:val="24"/>
                <w:lang w:val="en-US"/>
              </w:rPr>
            </w:pPr>
            <w:r w:rsidRPr="0C9EA76E" w:rsidR="708D6834">
              <w:rPr>
                <w:rFonts w:ascii="Arial" w:hAnsi="Arial" w:eastAsia="Arial" w:cs="Arial"/>
                <w:b w:val="1"/>
                <w:bCs w:val="1"/>
                <w:noProof w:val="0"/>
                <w:sz w:val="24"/>
                <w:szCs w:val="24"/>
                <w:lang w:val="en-US"/>
              </w:rPr>
              <w:t>Meaning</w:t>
            </w:r>
          </w:p>
        </w:tc>
      </w:tr>
      <w:tr w:rsidR="0C9EA76E" w:rsidTr="0C9EA76E" w14:paraId="5DE7C349">
        <w:trPr>
          <w:trHeight w:val="555"/>
        </w:trPr>
        <w:tc>
          <w:tcPr>
            <w:tcW w:w="2190" w:type="dxa"/>
            <w:tcMar/>
          </w:tcPr>
          <w:p w:rsidR="708D6834" w:rsidP="0C9EA76E" w:rsidRDefault="708D6834" w14:paraId="7F1F0B46" w14:textId="4940F07F">
            <w:pPr>
              <w:pStyle w:val="Normal"/>
            </w:pPr>
            <w:r w:rsidRPr="0C9EA76E" w:rsidR="708D6834">
              <w:rPr>
                <w:rFonts w:ascii="Arial" w:hAnsi="Arial" w:eastAsia="Arial" w:cs="Arial"/>
                <w:noProof w:val="0"/>
                <w:sz w:val="24"/>
                <w:szCs w:val="24"/>
                <w:lang w:val="en-US"/>
              </w:rPr>
              <w:t>CQC</w:t>
            </w:r>
          </w:p>
        </w:tc>
        <w:tc>
          <w:tcPr>
            <w:tcW w:w="6345" w:type="dxa"/>
            <w:tcMar/>
          </w:tcPr>
          <w:p w:rsidR="708D6834" w:rsidP="0C9EA76E" w:rsidRDefault="708D6834" w14:paraId="76763A19" w14:textId="2F45D3F4">
            <w:pPr>
              <w:pStyle w:val="Normal"/>
            </w:pPr>
            <w:r w:rsidRPr="0C9EA76E" w:rsidR="708D6834">
              <w:rPr>
                <w:rFonts w:ascii="Arial" w:hAnsi="Arial" w:eastAsia="Arial" w:cs="Arial"/>
                <w:noProof w:val="0"/>
                <w:sz w:val="24"/>
                <w:szCs w:val="24"/>
                <w:lang w:val="en-US"/>
              </w:rPr>
              <w:t>Care Quality Commission</w:t>
            </w:r>
          </w:p>
        </w:tc>
      </w:tr>
      <w:tr w:rsidR="0C9EA76E" w:rsidTr="0C9EA76E" w14:paraId="36A1521B">
        <w:trPr>
          <w:trHeight w:val="570"/>
        </w:trPr>
        <w:tc>
          <w:tcPr>
            <w:tcW w:w="2190" w:type="dxa"/>
            <w:tcMar/>
          </w:tcPr>
          <w:p w:rsidR="708D6834" w:rsidP="0C9EA76E" w:rsidRDefault="708D6834" w14:paraId="37D20CF1" w14:textId="2CB8D427">
            <w:pPr>
              <w:pStyle w:val="Normal"/>
            </w:pPr>
            <w:r w:rsidRPr="0C9EA76E" w:rsidR="708D6834">
              <w:rPr>
                <w:rFonts w:ascii="Arial" w:hAnsi="Arial" w:eastAsia="Arial" w:cs="Arial"/>
                <w:noProof w:val="0"/>
                <w:sz w:val="24"/>
                <w:szCs w:val="24"/>
                <w:lang w:val="en-US"/>
              </w:rPr>
              <w:t>DMAIC</w:t>
            </w:r>
          </w:p>
        </w:tc>
        <w:tc>
          <w:tcPr>
            <w:tcW w:w="6345" w:type="dxa"/>
            <w:tcMar/>
          </w:tcPr>
          <w:p w:rsidR="708D6834" w:rsidP="0C9EA76E" w:rsidRDefault="708D6834" w14:paraId="15D60C1E" w14:textId="38EB88C2">
            <w:pPr>
              <w:pStyle w:val="Normal"/>
            </w:pPr>
            <w:r w:rsidRPr="0C9EA76E" w:rsidR="708D6834">
              <w:rPr>
                <w:rFonts w:ascii="Arial" w:hAnsi="Arial" w:eastAsia="Arial" w:cs="Arial"/>
                <w:noProof w:val="0"/>
                <w:sz w:val="24"/>
                <w:szCs w:val="24"/>
                <w:lang w:val="en-US"/>
              </w:rPr>
              <w:t>Define, Measure, Analyse, Improve and Control</w:t>
            </w:r>
          </w:p>
        </w:tc>
      </w:tr>
      <w:tr w:rsidR="0C9EA76E" w:rsidTr="0C9EA76E" w14:paraId="7543B15D">
        <w:trPr>
          <w:trHeight w:val="690"/>
        </w:trPr>
        <w:tc>
          <w:tcPr>
            <w:tcW w:w="2190" w:type="dxa"/>
            <w:tcMar/>
          </w:tcPr>
          <w:p w:rsidR="708D6834" w:rsidP="0C9EA76E" w:rsidRDefault="708D6834" w14:paraId="595AC191" w14:textId="1B010B52">
            <w:pPr>
              <w:pStyle w:val="Normal"/>
            </w:pPr>
            <w:r w:rsidRPr="0C9EA76E" w:rsidR="708D6834">
              <w:rPr>
                <w:rFonts w:ascii="Arial" w:hAnsi="Arial" w:eastAsia="Arial" w:cs="Arial"/>
                <w:noProof w:val="0"/>
                <w:sz w:val="24"/>
                <w:szCs w:val="24"/>
                <w:lang w:val="en-US"/>
              </w:rPr>
              <w:t>NHS</w:t>
            </w:r>
          </w:p>
        </w:tc>
        <w:tc>
          <w:tcPr>
            <w:tcW w:w="6345" w:type="dxa"/>
            <w:tcMar/>
          </w:tcPr>
          <w:p w:rsidR="708D6834" w:rsidP="0C9EA76E" w:rsidRDefault="708D6834" w14:paraId="328E960C" w14:textId="20E4125A">
            <w:pPr>
              <w:pStyle w:val="Normal"/>
            </w:pPr>
            <w:r w:rsidRPr="0C9EA76E" w:rsidR="708D6834">
              <w:rPr>
                <w:rFonts w:ascii="Arial" w:hAnsi="Arial" w:eastAsia="Arial" w:cs="Arial"/>
                <w:noProof w:val="0"/>
                <w:sz w:val="24"/>
                <w:szCs w:val="24"/>
                <w:lang w:val="en-US"/>
              </w:rPr>
              <w:t>National Health Service</w:t>
            </w:r>
          </w:p>
        </w:tc>
      </w:tr>
      <w:tr w:rsidR="0C9EA76E" w:rsidTr="0C9EA76E" w14:paraId="433FD571">
        <w:trPr>
          <w:trHeight w:val="720"/>
        </w:trPr>
        <w:tc>
          <w:tcPr>
            <w:tcW w:w="2190" w:type="dxa"/>
            <w:tcMar/>
          </w:tcPr>
          <w:p w:rsidR="708D6834" w:rsidP="0C9EA76E" w:rsidRDefault="708D6834" w14:paraId="116B633C" w14:textId="71FA3F5A">
            <w:pPr>
              <w:pStyle w:val="Normal"/>
            </w:pPr>
            <w:r w:rsidRPr="0C9EA76E" w:rsidR="708D6834">
              <w:rPr>
                <w:rFonts w:ascii="Arial" w:hAnsi="Arial" w:eastAsia="Arial" w:cs="Arial"/>
                <w:noProof w:val="0"/>
                <w:sz w:val="24"/>
                <w:szCs w:val="24"/>
                <w:lang w:val="en-US"/>
              </w:rPr>
              <w:t>PDSA</w:t>
            </w:r>
          </w:p>
        </w:tc>
        <w:tc>
          <w:tcPr>
            <w:tcW w:w="6345" w:type="dxa"/>
            <w:tcMar/>
          </w:tcPr>
          <w:p w:rsidR="708D6834" w:rsidP="0C9EA76E" w:rsidRDefault="708D6834" w14:paraId="5C11ED5F" w14:textId="5B36A5A8">
            <w:pPr>
              <w:pStyle w:val="Normal"/>
            </w:pPr>
            <w:r w:rsidRPr="0C9EA76E" w:rsidR="708D6834">
              <w:rPr>
                <w:rFonts w:ascii="Arial" w:hAnsi="Arial" w:eastAsia="Arial" w:cs="Arial"/>
                <w:noProof w:val="0"/>
                <w:sz w:val="24"/>
                <w:szCs w:val="24"/>
                <w:lang w:val="en-US"/>
              </w:rPr>
              <w:t>Plan, Do, Study, Act</w:t>
            </w:r>
          </w:p>
        </w:tc>
      </w:tr>
      <w:tr w:rsidR="0C9EA76E" w:rsidTr="0C9EA76E" w14:paraId="1D1F1AA1">
        <w:trPr>
          <w:trHeight w:val="705"/>
        </w:trPr>
        <w:tc>
          <w:tcPr>
            <w:tcW w:w="2190" w:type="dxa"/>
            <w:tcMar/>
          </w:tcPr>
          <w:p w:rsidR="708D6834" w:rsidP="0C9EA76E" w:rsidRDefault="708D6834" w14:paraId="76750DAD" w14:textId="3310A02A">
            <w:pPr>
              <w:pStyle w:val="Normal"/>
            </w:pPr>
            <w:r w:rsidRPr="0C9EA76E" w:rsidR="708D6834">
              <w:rPr>
                <w:rFonts w:ascii="Arial" w:hAnsi="Arial" w:eastAsia="Arial" w:cs="Arial"/>
                <w:noProof w:val="0"/>
                <w:sz w:val="24"/>
                <w:szCs w:val="24"/>
                <w:lang w:val="en-US"/>
              </w:rPr>
              <w:t>PSIRF</w:t>
            </w:r>
          </w:p>
        </w:tc>
        <w:tc>
          <w:tcPr>
            <w:tcW w:w="6345" w:type="dxa"/>
            <w:tcMar/>
          </w:tcPr>
          <w:p w:rsidR="708D6834" w:rsidP="0C9EA76E" w:rsidRDefault="708D6834" w14:paraId="3FBA72D3" w14:textId="30B2D844">
            <w:pPr>
              <w:pStyle w:val="Normal"/>
            </w:pPr>
            <w:r w:rsidRPr="0C9EA76E" w:rsidR="708D6834">
              <w:rPr>
                <w:rFonts w:ascii="Arial" w:hAnsi="Arial" w:eastAsia="Arial" w:cs="Arial"/>
                <w:noProof w:val="0"/>
                <w:sz w:val="24"/>
                <w:szCs w:val="24"/>
                <w:lang w:val="en-US"/>
              </w:rPr>
              <w:t>Patient Safety Incident Response Framework</w:t>
            </w:r>
          </w:p>
        </w:tc>
      </w:tr>
      <w:tr w:rsidR="0C9EA76E" w:rsidTr="0C9EA76E" w14:paraId="13255369">
        <w:trPr>
          <w:trHeight w:val="600"/>
        </w:trPr>
        <w:tc>
          <w:tcPr>
            <w:tcW w:w="2190" w:type="dxa"/>
            <w:tcMar/>
          </w:tcPr>
          <w:p w:rsidR="708D6834" w:rsidP="0C9EA76E" w:rsidRDefault="708D6834" w14:paraId="73908C74" w14:textId="57839EBD">
            <w:pPr>
              <w:pStyle w:val="Normal"/>
            </w:pPr>
            <w:r w:rsidRPr="0C9EA76E" w:rsidR="708D6834">
              <w:rPr>
                <w:rFonts w:ascii="Arial" w:hAnsi="Arial" w:eastAsia="Arial" w:cs="Arial"/>
                <w:noProof w:val="0"/>
                <w:sz w:val="24"/>
                <w:szCs w:val="24"/>
                <w:lang w:val="en-US"/>
              </w:rPr>
              <w:t>RCA</w:t>
            </w:r>
          </w:p>
        </w:tc>
        <w:tc>
          <w:tcPr>
            <w:tcW w:w="6345" w:type="dxa"/>
            <w:tcMar/>
          </w:tcPr>
          <w:p w:rsidR="708D6834" w:rsidP="0C9EA76E" w:rsidRDefault="708D6834" w14:paraId="593645DB" w14:textId="68CADEF8">
            <w:pPr>
              <w:pStyle w:val="Normal"/>
            </w:pPr>
            <w:r w:rsidRPr="0C9EA76E" w:rsidR="708D6834">
              <w:rPr>
                <w:rFonts w:ascii="Arial" w:hAnsi="Arial" w:eastAsia="Arial" w:cs="Arial"/>
                <w:noProof w:val="0"/>
                <w:sz w:val="24"/>
                <w:szCs w:val="24"/>
                <w:lang w:val="en-US"/>
              </w:rPr>
              <w:t>Root Cause Analysis</w:t>
            </w:r>
          </w:p>
        </w:tc>
      </w:tr>
      <w:tr w:rsidR="0C9EA76E" w:rsidTr="0C9EA76E" w14:paraId="25B2CEB5">
        <w:trPr>
          <w:trHeight w:val="750"/>
        </w:trPr>
        <w:tc>
          <w:tcPr>
            <w:tcW w:w="2190" w:type="dxa"/>
            <w:tcMar/>
          </w:tcPr>
          <w:p w:rsidR="708D6834" w:rsidP="0C9EA76E" w:rsidRDefault="708D6834" w14:paraId="6F8D3A7D" w14:textId="1EC9752D">
            <w:pPr>
              <w:pStyle w:val="Normal"/>
            </w:pPr>
            <w:r w:rsidRPr="0C9EA76E" w:rsidR="708D6834">
              <w:rPr>
                <w:rFonts w:ascii="Arial" w:hAnsi="Arial" w:eastAsia="Arial" w:cs="Arial"/>
                <w:noProof w:val="0"/>
                <w:sz w:val="24"/>
                <w:szCs w:val="24"/>
                <w:lang w:val="en-US"/>
              </w:rPr>
              <w:t>SWOT</w:t>
            </w:r>
          </w:p>
        </w:tc>
        <w:tc>
          <w:tcPr>
            <w:tcW w:w="6345" w:type="dxa"/>
            <w:tcMar/>
          </w:tcPr>
          <w:p w:rsidR="708D6834" w:rsidP="0C9EA76E" w:rsidRDefault="708D6834" w14:paraId="29CCCD53" w14:textId="779E7E9D">
            <w:pPr>
              <w:pStyle w:val="Normal"/>
            </w:pPr>
            <w:r w:rsidRPr="0C9EA76E" w:rsidR="708D6834">
              <w:rPr>
                <w:rFonts w:ascii="Arial" w:hAnsi="Arial" w:eastAsia="Arial" w:cs="Arial"/>
                <w:noProof w:val="0"/>
                <w:sz w:val="24"/>
                <w:szCs w:val="24"/>
                <w:lang w:val="en-US"/>
              </w:rPr>
              <w:t>Strengths, Weaknesses, Opportunities and Threats</w:t>
            </w:r>
          </w:p>
        </w:tc>
      </w:tr>
    </w:tbl>
    <w:p w:rsidR="0C9EA76E" w:rsidP="0C9EA76E" w:rsidRDefault="0C9EA76E" w14:paraId="669D725B" w14:textId="496EAF5A">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4C1B9117" w14:textId="1EA2B089">
      <w:pPr>
        <w:pStyle w:val="Normal"/>
        <w:rPr>
          <w:noProof w:val="0"/>
          <w:lang w:val="en-US"/>
        </w:rPr>
      </w:pPr>
    </w:p>
    <w:p w:rsidR="0C9EA76E" w:rsidP="0C9EA76E" w:rsidRDefault="0C9EA76E" w14:paraId="3DF7E720" w14:textId="28C50057">
      <w:pPr>
        <w:pStyle w:val="Normal"/>
        <w:rPr>
          <w:noProof w:val="0"/>
          <w:lang w:val="en-US"/>
        </w:rPr>
      </w:pPr>
    </w:p>
    <w:p w:rsidR="6C71916A" w:rsidP="0C9EA76E" w:rsidRDefault="6C71916A" w14:paraId="419AB2DA" w14:textId="51E38256">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1. Introduction</w:t>
      </w:r>
    </w:p>
    <w:p w:rsidR="6C71916A" w:rsidP="0C9EA76E" w:rsidRDefault="6C71916A" w14:paraId="29EAA542" w14:textId="6E9F7FF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Quality is a fundamental dimension of health and social care because services are expected to be safe, effective, person-centred, timely and responsive to people's needs. When quality systems fail, the consequences can include avoidable harm, loss of dignity, poorer outcomes and loss of public confidence. The Mid Staffordshire NHS Foundation Trust case is therefore an important service-improvement case because the failures were not confined to one clinical decision or one member of staff. They involved interacting weaknesses in staffing, leadership, organisational culture, clinical governance, performance management, communication and external oversight.</w:t>
      </w:r>
    </w:p>
    <w:p w:rsidR="6C71916A" w:rsidP="0C9EA76E" w:rsidRDefault="6C71916A" w14:paraId="3F4861B5" w14:textId="08A37BC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The quality concern examined in this report is the failure to provide consistently safe and compassionate care at Stafford Hospital during the period broadly examined by the Francis Inquiry, particularly between 2005 and 2009. The Healthcare Commission identified serious concerns about standards of care and unusually high mortality indicators, while patient and family accounts described neglect of basic needs. The Francis Inquiry subsequently examined why warning signs were not acted upon by the Trust and by organisations responsible for commissioning, performance management and regulation (Healthcare Commission, 2009; Francis, 2013). The public inquiry made 290 recommendations, demonstrating the breadth of the system failure rather than identifying a single defective process (Francis, 2013). The inquiry examined the roles of commissioning, supervisory and regulatory organisations in monitoring the Trust between 2005 and 2009. </w:t>
      </w:r>
    </w:p>
    <w:p w:rsidR="6C71916A" w:rsidP="0C9EA76E" w:rsidRDefault="6C71916A" w14:paraId="2F30734D" w14:textId="36D40D2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scale of the mortality concern requires careful interpretation. Contemporary analysis reported estimates of approximately 400–1,200 excess deaths between 2005 and 2008, but an excess-death statistical estimate must not be presented as a confirmed number of avoidable deaths caused by poor care. The figure reflected a comparison between observed and expected mortality and was itself contested in its interpretation (Dyer, 2011). The Francis Inquiry and subsequent analysis demonstrate why mortality indicators should trigger investigation and triangulation with clinical and patient-experience evidence rather than being treated as direct proof of causation.</w:t>
      </w:r>
    </w:p>
    <w:p w:rsidR="6C71916A" w:rsidP="0C9EA76E" w:rsidRDefault="6C71916A" w14:paraId="19EBD447" w14:textId="24AD0C0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presentation underpinning this report identified several important failures: vulnerable patients experienced poor food and fluid provision, unanswered call bells and missed observations; staffing and operational posts were reduced during a period of financial pressure; and the Trust Board placed substantial attention on Foundation Trust status and financial balance (Francis, 2013). The case also involved weaknesses in complaints handling and communication. These factors are significant because quality is produced by a system: inadequate structures can make safe processes difficult, while weak processes can contribute to poor outcomes.</w:t>
      </w:r>
    </w:p>
    <w:p w:rsidR="6C71916A" w:rsidP="0C9EA76E" w:rsidRDefault="6C71916A" w14:paraId="28B5F69F" w14:textId="70E9B3B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purpose of this report is therefore to critically analyse the quality concern and develop a practical service-improvement response. The Donabedian Model is used to connect organisational structures, care processes and patient outcomes. A Fishbone Diagram and Five Whys analysis are used to examine root causes, while Systems Theory and the Swiss Cheese Model are used to explain interactions between organisational and regulatory barriers. SWOT analysis then considers strategic conditions for improvement. Finally, recommendations are developed using PDSA, Lean and Six Sigma principles, with an implementation timetable and measurable indicators. The approach is consistent with the contemporary NHS emphasis on system-based learning, patient involvement and continuous improvement within the Patient Safety Incident Response Framework (PSIRF) (NHS England, 2022).</w:t>
      </w:r>
    </w:p>
    <w:p w:rsidR="0C9EA76E" w:rsidP="0C9EA76E" w:rsidRDefault="0C9EA76E" w14:paraId="51463AAB" w14:textId="60B09CE5">
      <w:pPr>
        <w:rPr>
          <w:rFonts w:ascii="Arial" w:hAnsi="Arial" w:eastAsia="Arial" w:cs="Arial" w:asciiTheme="minorAscii" w:hAnsiTheme="minorAscii" w:eastAsiaTheme="minorAscii" w:cstheme="minorAscii"/>
          <w:color w:val="000000" w:themeColor="text1" w:themeTint="FF" w:themeShade="FF"/>
        </w:rPr>
      </w:pPr>
    </w:p>
    <w:p w:rsidR="6C71916A" w:rsidP="0C9EA76E" w:rsidRDefault="6C71916A" w14:paraId="23DE0C8E" w14:textId="1BE1197E">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2. Main Body</w:t>
      </w:r>
    </w:p>
    <w:p w:rsidR="6C71916A" w:rsidP="0C9EA76E" w:rsidRDefault="6C71916A" w14:paraId="60D59349" w14:textId="4BC799B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Mid Staffordshire case should be understood as a quality-management failure at several levels. At the frontline, patients experienced failures in fundamental care. At organisational level, staffing, leadership, governance and performance priorities were insufficiently aligned with patient safety. At system level, information was fragmented across commissioners and regulators, meaning that warning signals did not generate sufficiently effective intervention (Francis, 2013; Walshe, 2013). This layered interpretation is important because a service-improvement plan that focuses only on frontline staff would not address the conditions that allowed poor care to persist.</w:t>
      </w:r>
    </w:p>
    <w:p w:rsidR="6C71916A" w:rsidP="0C9EA76E" w:rsidRDefault="6C71916A" w14:paraId="03843D30" w14:textId="613186AB">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2.1 Donabedian Model</w:t>
      </w:r>
    </w:p>
    <w:p w:rsidR="6C71916A" w:rsidP="0C9EA76E" w:rsidRDefault="6C71916A" w14:paraId="3069567F" w14:textId="0EDEAB2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Donabedian's (1988) structure-process-outcome framework provides a useful starting point. Structure includes staffing, resources, organisational arrangements, leadership and the environment in which care is delivered. At Mid Staffordshire, financial pressure and workforce reductions affected the structural capacity of the organisation. Alberti (2009) and Francis (2013) documented concerns about staffing and emergency care. The presentation also identified the loss of around 150 nursing and operational posts as an important structural pressure. Structural weakness does not automatically cause unsafe care, but it increases risk when workload, skill mix and acuity are not appropriately managed.</w:t>
      </w:r>
    </w:p>
    <w:p w:rsidR="6C71916A" w:rsidP="0C9EA76E" w:rsidRDefault="6C71916A" w14:paraId="54CB4D6A" w14:textId="3B0AAAE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Process concerns relate to what staff and organisations actually do. Evidence from the case included missed observations, poor responses to call bells, inadequate nutrition and hydration, poor cleanliness and failures to respond effectively to complaints (Healthcare Commission, 2009; Patients Association, 2009). The problem was therefore not simply that resources were limited; processes for recognising deterioration, escalating risk, listening to patients and learning from complaints were also inadequate. Outcomes included poor patient experience, clinical harm and elevated mortality indicators. Donabedian's framework is useful because it connects these dimensions, but it does not by itself explain the organisational culture and interdependencies that produced them. It should therefore be combined with systems approaches.</w:t>
      </w:r>
    </w:p>
    <w:p w:rsidR="6C71916A" w:rsidP="0C9EA76E" w:rsidRDefault="6C71916A" w14:paraId="680992F8" w14:textId="0435D926">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2.2 Fishbone Root-Cause Analysis</w:t>
      </w:r>
    </w:p>
    <w:p w:rsidR="6C71916A" w:rsidP="0C9EA76E" w:rsidRDefault="6C71916A" w14:paraId="58BEA196" w14:textId="2B401B45">
      <w:pPr>
        <w:spacing w:before="240" w:beforeAutospacing="off" w:after="240" w:afterAutospacing="off"/>
      </w:pPr>
      <w:r w:rsidRPr="4B42FC9B" w:rsidR="4CEAE7F5">
        <w:rPr>
          <w:rFonts w:ascii="Arial" w:hAnsi="Arial" w:eastAsia="Arial" w:cs="Arial" w:asciiTheme="minorAscii" w:hAnsiTheme="minorAscii" w:eastAsiaTheme="minorAscii" w:cstheme="minorAscii"/>
          <w:noProof w:val="0"/>
          <w:sz w:val="24"/>
          <w:szCs w:val="24"/>
          <w:lang w:val="en-US"/>
        </w:rPr>
        <w:t>The Fishbone or Ishikawa approach is appropriate because the case has multiple contributory causes. The major categories are people, management, methods, communication, environment and measurement. Under people, the relevant causes include inadequate staffing, low morale, workload pressure and insufficient clinical leadership. Under management, the causes include excessive attention to financial balance and Foundation Trust objectives and inadequate Board challenge. Under methods, there were weaknesses in risk assessment, complaints management, auditing and escalation. Communication problems included inadequate listening to patients, weak upward escalation and poor information sharing between organisations. Environmental causes included pressure within emergency care and poor ward conditions. Measurement problems included the risk of giving greater weight to financial and target indicators than to patient-experience and safety information (Francis, 2013; Walshe, 2013).</w:t>
      </w:r>
    </w:p>
    <w:p w:rsidR="2A53606D" w:rsidP="4B42FC9B" w:rsidRDefault="2A53606D" w14:paraId="6845ED3F" w14:textId="1A37E00E">
      <w:pPr>
        <w:pStyle w:val="Normal"/>
        <w:spacing w:before="240" w:beforeAutospacing="off" w:after="240" w:afterAutospacing="off"/>
      </w:pPr>
      <w:r w:rsidR="2A53606D">
        <w:drawing>
          <wp:inline wp14:editId="68817E39" wp14:anchorId="76FFA1C4">
            <wp:extent cx="5505165" cy="5322269"/>
            <wp:effectExtent l="0" t="0" r="0" b="0"/>
            <wp:docPr id="10812039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1203954" name="Picture 1081203954"/>
                    <pic:cNvPicPr/>
                  </pic:nvPicPr>
                  <pic:blipFill>
                    <a:blip xmlns:r="http://schemas.openxmlformats.org/officeDocument/2006/relationships" r:embed="rId569366330">
                      <a:extLst>
                        <a:ext uri="{28A0092B-C50C-407E-A947-70E740481C1C}">
                          <a14:useLocalDpi xmlns:a14="http://schemas.microsoft.com/office/drawing/2010/main"/>
                        </a:ext>
                      </a:extLst>
                    </a:blip>
                    <a:stretch>
                      <a:fillRect/>
                    </a:stretch>
                  </pic:blipFill>
                  <pic:spPr>
                    <a:xfrm>
                      <a:off x="0" y="0"/>
                      <a:ext cx="5505165" cy="5322269"/>
                    </a:xfrm>
                    <a:prstGeom prst="rect">
                      <a:avLst/>
                    </a:prstGeom>
                  </pic:spPr>
                </pic:pic>
              </a:graphicData>
            </a:graphic>
          </wp:inline>
        </w:drawing>
      </w:r>
    </w:p>
    <w:p w:rsidR="4CEAE7F5" w:rsidP="4B42FC9B" w:rsidRDefault="4CEAE7F5" w14:paraId="71A2CC72" w14:textId="3F12C7E7">
      <w:pPr>
        <w:spacing w:before="240" w:beforeAutospacing="off" w:after="240" w:afterAutospacing="off"/>
      </w:pPr>
      <w:r w:rsidRPr="4B42FC9B" w:rsidR="4CEAE7F5">
        <w:rPr>
          <w:rFonts w:ascii="Arial" w:hAnsi="Arial" w:eastAsia="Arial" w:cs="Arial" w:asciiTheme="minorAscii" w:hAnsiTheme="minorAscii" w:eastAsiaTheme="minorAscii" w:cstheme="minorAscii"/>
          <w:noProof w:val="0"/>
          <w:sz w:val="24"/>
          <w:szCs w:val="24"/>
          <w:lang w:val="en-US"/>
        </w:rPr>
        <w:t xml:space="preserve">The strength of Fishbone analysis is that it discourages a single-cause explanation. Its limitation is that </w:t>
      </w:r>
      <w:r w:rsidRPr="4B42FC9B" w:rsidR="4CEAE7F5">
        <w:rPr>
          <w:rFonts w:ascii="Arial" w:hAnsi="Arial" w:eastAsia="Arial" w:cs="Arial" w:asciiTheme="minorAscii" w:hAnsiTheme="minorAscii" w:eastAsiaTheme="minorAscii" w:cstheme="minorAscii"/>
          <w:noProof w:val="0"/>
          <w:sz w:val="24"/>
          <w:szCs w:val="24"/>
          <w:lang w:val="en-US"/>
        </w:rPr>
        <w:t>categorisation</w:t>
      </w:r>
      <w:r w:rsidRPr="4B42FC9B" w:rsidR="4CEAE7F5">
        <w:rPr>
          <w:rFonts w:ascii="Arial" w:hAnsi="Arial" w:eastAsia="Arial" w:cs="Arial" w:asciiTheme="minorAscii" w:hAnsiTheme="minorAscii" w:eastAsiaTheme="minorAscii" w:cstheme="minorAscii"/>
          <w:noProof w:val="0"/>
          <w:sz w:val="24"/>
          <w:szCs w:val="24"/>
          <w:lang w:val="en-US"/>
        </w:rPr>
        <w:t xml:space="preserve"> can become descriptive rather than causal unless relationships between causes are examined. In this case, staffing cannot be separated from financial decisions, and financial decisions cannot be separated from governance and </w:t>
      </w:r>
      <w:r w:rsidRPr="4B42FC9B" w:rsidR="4CEAE7F5">
        <w:rPr>
          <w:rFonts w:ascii="Arial" w:hAnsi="Arial" w:eastAsia="Arial" w:cs="Arial" w:asciiTheme="minorAscii" w:hAnsiTheme="minorAscii" w:eastAsiaTheme="minorAscii" w:cstheme="minorAscii"/>
          <w:noProof w:val="0"/>
          <w:sz w:val="24"/>
          <w:szCs w:val="24"/>
          <w:lang w:val="en-US"/>
        </w:rPr>
        <w:t>organisational</w:t>
      </w:r>
      <w:r w:rsidRPr="4B42FC9B" w:rsidR="4CEAE7F5">
        <w:rPr>
          <w:rFonts w:ascii="Arial" w:hAnsi="Arial" w:eastAsia="Arial" w:cs="Arial" w:asciiTheme="minorAscii" w:hAnsiTheme="minorAscii" w:eastAsiaTheme="minorAscii" w:cstheme="minorAscii"/>
          <w:noProof w:val="0"/>
          <w:sz w:val="24"/>
          <w:szCs w:val="24"/>
          <w:lang w:val="en-US"/>
        </w:rPr>
        <w:t xml:space="preserve"> priorities. The Fishbone analysis therefore </w:t>
      </w:r>
      <w:r w:rsidRPr="4B42FC9B" w:rsidR="4CEAE7F5">
        <w:rPr>
          <w:rFonts w:ascii="Arial" w:hAnsi="Arial" w:eastAsia="Arial" w:cs="Arial" w:asciiTheme="minorAscii" w:hAnsiTheme="minorAscii" w:eastAsiaTheme="minorAscii" w:cstheme="minorAscii"/>
          <w:noProof w:val="0"/>
          <w:sz w:val="24"/>
          <w:szCs w:val="24"/>
          <w:lang w:val="en-US"/>
        </w:rPr>
        <w:t>identifies</w:t>
      </w:r>
      <w:r w:rsidRPr="4B42FC9B" w:rsidR="4CEAE7F5">
        <w:rPr>
          <w:rFonts w:ascii="Arial" w:hAnsi="Arial" w:eastAsia="Arial" w:cs="Arial" w:asciiTheme="minorAscii" w:hAnsiTheme="minorAscii" w:eastAsiaTheme="minorAscii" w:cstheme="minorAscii"/>
          <w:noProof w:val="0"/>
          <w:sz w:val="24"/>
          <w:szCs w:val="24"/>
          <w:lang w:val="en-US"/>
        </w:rPr>
        <w:t xml:space="preserve"> </w:t>
      </w:r>
      <w:r w:rsidRPr="4B42FC9B" w:rsidR="4CEAE7F5">
        <w:rPr>
          <w:rFonts w:ascii="Arial" w:hAnsi="Arial" w:eastAsia="Arial" w:cs="Arial" w:asciiTheme="minorAscii" w:hAnsiTheme="minorAscii" w:eastAsiaTheme="minorAscii" w:cstheme="minorAscii"/>
          <w:noProof w:val="0"/>
          <w:sz w:val="24"/>
          <w:szCs w:val="24"/>
          <w:lang w:val="en-US"/>
        </w:rPr>
        <w:t>interacting</w:t>
      </w:r>
      <w:r w:rsidRPr="4B42FC9B" w:rsidR="4CEAE7F5">
        <w:rPr>
          <w:rFonts w:ascii="Arial" w:hAnsi="Arial" w:eastAsia="Arial" w:cs="Arial" w:asciiTheme="minorAscii" w:hAnsiTheme="minorAscii" w:eastAsiaTheme="minorAscii" w:cstheme="minorAscii"/>
          <w:noProof w:val="0"/>
          <w:sz w:val="24"/>
          <w:szCs w:val="24"/>
          <w:lang w:val="en-US"/>
        </w:rPr>
        <w:t xml:space="preserve"> causal pathways rather than a simple list of defects.</w:t>
      </w:r>
    </w:p>
    <w:p w:rsidR="0C9EA76E" w:rsidP="0C9EA76E" w:rsidRDefault="0C9EA76E" w14:paraId="798039B4" w14:textId="146FA13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19891F13" w14:textId="49A90DB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6C71916A" w:rsidP="0C9EA76E" w:rsidRDefault="6C71916A" w14:paraId="6C3E1986" w14:textId="659C542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2.3 Five Whys Analysis</w:t>
      </w:r>
    </w:p>
    <w:p w:rsidR="6C71916A" w:rsidP="0C9EA76E" w:rsidRDefault="6C71916A" w14:paraId="1904F145" w14:textId="3B19F85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Five Whys technique can extend the Fishbone analysis by following one causal pathway. The problem is defined as inconsistent delivery of safe basic care.</w:t>
      </w:r>
    </w:p>
    <w:p w:rsidR="6C71916A" w:rsidP="0C9EA76E" w:rsidRDefault="6C71916A" w14:paraId="347DF40D" w14:textId="7F0CBD9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1:</w:t>
      </w:r>
      <w:r w:rsidRPr="0C9EA76E" w:rsidR="6C71916A">
        <w:rPr>
          <w:rFonts w:ascii="Arial" w:hAnsi="Arial" w:eastAsia="Arial" w:cs="Arial" w:asciiTheme="minorAscii" w:hAnsiTheme="minorAscii" w:eastAsiaTheme="minorAscii" w:cstheme="minorAscii"/>
          <w:noProof w:val="0"/>
          <w:sz w:val="24"/>
          <w:szCs w:val="24"/>
          <w:lang w:val="en-US"/>
        </w:rPr>
        <w:t xml:space="preserve"> Why did care become inconsistent?</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staff were under pressure and essential observations, responses and assistance were sometimes missed.</w:t>
      </w:r>
    </w:p>
    <w:p w:rsidR="6C71916A" w:rsidP="0C9EA76E" w:rsidRDefault="6C71916A" w14:paraId="554B2B86" w14:textId="39272D1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2:</w:t>
      </w:r>
      <w:r w:rsidRPr="0C9EA76E" w:rsidR="6C71916A">
        <w:rPr>
          <w:rFonts w:ascii="Arial" w:hAnsi="Arial" w:eastAsia="Arial" w:cs="Arial" w:asciiTheme="minorAscii" w:hAnsiTheme="minorAscii" w:eastAsiaTheme="minorAscii" w:cstheme="minorAscii"/>
          <w:noProof w:val="0"/>
          <w:sz w:val="24"/>
          <w:szCs w:val="24"/>
          <w:lang w:val="en-US"/>
        </w:rPr>
        <w:t xml:space="preserve"> Why were staff unable to consistently meet these needs?</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staffing, workload, skill mix and support were insufficient in some circumstances.</w:t>
      </w:r>
    </w:p>
    <w:p w:rsidR="6C71916A" w:rsidP="0C9EA76E" w:rsidRDefault="6C71916A" w14:paraId="6C5B4FEB" w14:textId="486C639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3:</w:t>
      </w:r>
      <w:r w:rsidRPr="0C9EA76E" w:rsidR="6C71916A">
        <w:rPr>
          <w:rFonts w:ascii="Arial" w:hAnsi="Arial" w:eastAsia="Arial" w:cs="Arial" w:asciiTheme="minorAscii" w:hAnsiTheme="minorAscii" w:eastAsiaTheme="minorAscii" w:cstheme="minorAscii"/>
          <w:noProof w:val="0"/>
          <w:sz w:val="24"/>
          <w:szCs w:val="24"/>
          <w:lang w:val="en-US"/>
        </w:rPr>
        <w:t xml:space="preserve"> Why were these pressures allowed to persist?</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financial and organisational priorities influenced staffing and service decisions.</w:t>
      </w:r>
    </w:p>
    <w:p w:rsidR="6C71916A" w:rsidP="0C9EA76E" w:rsidRDefault="6C71916A" w14:paraId="3F1C6CE3" w14:textId="6204274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4:</w:t>
      </w:r>
      <w:r w:rsidRPr="0C9EA76E" w:rsidR="6C71916A">
        <w:rPr>
          <w:rFonts w:ascii="Arial" w:hAnsi="Arial" w:eastAsia="Arial" w:cs="Arial" w:asciiTheme="minorAscii" w:hAnsiTheme="minorAscii" w:eastAsiaTheme="minorAscii" w:cstheme="minorAscii"/>
          <w:noProof w:val="0"/>
          <w:sz w:val="24"/>
          <w:szCs w:val="24"/>
          <w:lang w:val="en-US"/>
        </w:rPr>
        <w:t xml:space="preserve"> Why did those priorities dominate?</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governance and leadership systems did not consistently place patient safety and patient experience above competing organisational objectives.</w:t>
      </w:r>
    </w:p>
    <w:p w:rsidR="6C71916A" w:rsidP="0C9EA76E" w:rsidRDefault="6C71916A" w14:paraId="4BF2DA4D" w14:textId="197D8DB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Why 5:</w:t>
      </w:r>
      <w:r w:rsidRPr="0C9EA76E" w:rsidR="6C71916A">
        <w:rPr>
          <w:rFonts w:ascii="Arial" w:hAnsi="Arial" w:eastAsia="Arial" w:cs="Arial" w:asciiTheme="minorAscii" w:hAnsiTheme="minorAscii" w:eastAsiaTheme="minorAscii" w:cstheme="minorAscii"/>
          <w:noProof w:val="0"/>
          <w:sz w:val="24"/>
          <w:szCs w:val="24"/>
          <w:lang w:val="en-US"/>
        </w:rPr>
        <w:t xml:space="preserve"> Why was the system unable to correct this?</w:t>
      </w:r>
      <w:r>
        <w:br/>
      </w:r>
      <w:r w:rsidRPr="0C9EA76E" w:rsidR="6C71916A">
        <w:rPr>
          <w:rFonts w:ascii="Arial" w:hAnsi="Arial" w:eastAsia="Arial" w:cs="Arial" w:asciiTheme="minorAscii" w:hAnsiTheme="minorAscii" w:eastAsiaTheme="minorAscii" w:cstheme="minorAscii"/>
          <w:noProof w:val="0"/>
          <w:sz w:val="24"/>
          <w:szCs w:val="24"/>
          <w:lang w:val="en-US"/>
        </w:rPr>
        <w:t xml:space="preserve"> Because information from patients, staff, mortality indicators, complaints and regulators was not sufficiently integrated, challenged or escalated.</w:t>
      </w:r>
    </w:p>
    <w:p w:rsidR="6C71916A" w:rsidP="0C9EA76E" w:rsidRDefault="6C71916A" w14:paraId="120720AE" w14:textId="0506B34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analysis identifies governance and organisational culture as deeper causes rather than treating missed care as an isolated frontline problem. However, Five Whys has limitations in complex healthcare. Card (2017) argues that linear root-cause reasoning can oversimplify systems in which several causal pathways operate simultaneously. Therefore, the Five Whys should be interpreted alongside the Fishbone, Donabedian and systems analyses rather than treated as proof of one root cause.</w:t>
      </w:r>
    </w:p>
    <w:p w:rsidR="6C71916A" w:rsidP="0C9EA76E" w:rsidRDefault="6C71916A" w14:paraId="372FEB06" w14:textId="25669F68">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2.4 Systems Theory</w:t>
      </w:r>
    </w:p>
    <w:p w:rsidR="6C71916A" w:rsidP="0C9EA76E" w:rsidRDefault="6C71916A" w14:paraId="17A90A10" w14:textId="3E3F9D2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Systems Theory is particularly relevant because healthcare quality emerges from interactions among people, processes, technologies, organisations and external institutions. The Mid Staffordshire Trust was not an isolated organisation: commissioners, the Strategic Health Authority, regulators and other bodies all formed part of the wider governance system. The Francis Inquiry identified numerous warning signs that should have prompted earlier action (Francis, 2013). Walshe (2013) argues that the case provides important lessons about regulation and governance because responsibilities and information were distributed across different organisations.</w:t>
      </w:r>
    </w:p>
    <w:p w:rsidR="6C71916A" w:rsidP="0C9EA76E" w:rsidRDefault="6C71916A" w14:paraId="2A3A4834" w14:textId="63C3CB0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A systems perspective explains why information can exist without producing action. Mortality statistics may be available to analysts, while complaints are known to patient-relations teams and staffing concerns are known to frontline staff. If these signals are not combined and discussed through an effective governance mechanism, the organisation can develop a collective blind spot. The current PSIRF approach addresses a similar risk by requiring links between patient safety, quality improvement, clinical governance and complaints, together with data-driven learning and stakeholder involvement (NHS England, 2022; NHS England, 2026).</w:t>
      </w:r>
    </w:p>
    <w:p w:rsidR="6C71916A" w:rsidP="0C9EA76E" w:rsidRDefault="6C71916A" w14:paraId="39ADF532" w14:textId="714BBAB5">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2.5 Swiss Cheese Model</w:t>
      </w:r>
    </w:p>
    <w:p w:rsidR="6C71916A" w:rsidP="0C9EA76E" w:rsidRDefault="6C71916A" w14:paraId="38BA3A74" w14:textId="2832EC1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Reason's (2000) Swiss Cheese Model explains how accidents occur when weaknesses in several defensive barriers align. At Mid Staffordshire, latent conditions included financial pressures, performance targets, organisational culture and weak governance. Defensive barriers included internal clinical governance, complaints systems, commissioners and external regulators. Active failures included missed observations, unanswered call bells and failures to provide basic care. The model is useful because it avoids blaming individual workers for system conditions that shaped their behaviour.</w:t>
      </w:r>
    </w:p>
    <w:p w:rsidR="6C71916A" w:rsidP="0C9EA76E" w:rsidRDefault="6C71916A" w14:paraId="4AD44EBB" w14:textId="7884CC4C">
      <w:pPr>
        <w:spacing w:before="240" w:beforeAutospacing="off" w:after="240" w:afterAutospacing="off"/>
      </w:pPr>
      <w:r w:rsidRPr="4B42FC9B" w:rsidR="4CEAE7F5">
        <w:rPr>
          <w:rFonts w:ascii="Arial" w:hAnsi="Arial" w:eastAsia="Arial" w:cs="Arial" w:asciiTheme="minorAscii" w:hAnsiTheme="minorAscii" w:eastAsiaTheme="minorAscii" w:cstheme="minorAscii"/>
          <w:noProof w:val="0"/>
          <w:sz w:val="24"/>
          <w:szCs w:val="24"/>
          <w:lang w:val="en-US"/>
        </w:rPr>
        <w:t>Its limitation is that the model can appear linear if used mechanically. Healthcare systems are dynamic and barriers influence each other. Nevertheless, when combined with Systems Theory, the model demonstrates that improvement must strengthen multiple barriers simultaneously: adequate staffing, reliable processes, effective escalation, patient voice, data surveillance and independent oversight.</w:t>
      </w:r>
    </w:p>
    <w:p w:rsidR="4B42FC9B" w:rsidP="4B42FC9B" w:rsidRDefault="4B42FC9B" w14:paraId="49AF00A0" w14:textId="207B288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4B42FC9B" w:rsidP="4B42FC9B" w:rsidRDefault="4B42FC9B" w14:paraId="12192D7B" w14:textId="19364D9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4B42FC9B" w:rsidP="4B42FC9B" w:rsidRDefault="4B42FC9B" w14:paraId="132375C6" w14:textId="13F080E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6C71916A" w:rsidP="0C9EA76E" w:rsidRDefault="6C71916A" w14:paraId="6C197CA7" w14:textId="367AF94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2.6 SWOT Analysis</w:t>
      </w:r>
    </w:p>
    <w:p w:rsidR="6C71916A" w:rsidP="0C9EA76E" w:rsidRDefault="6C71916A" w14:paraId="2FEC8BD5" w14:textId="762C173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A SWOT analysis provides a strategic overview of conditions that could support or hinder improvement.</w:t>
      </w:r>
    </w:p>
    <w:tbl>
      <w:tblPr>
        <w:tblStyle w:val="TableNormal"/>
        <w:bidiVisual w:val="0"/>
        <w:tblW w:w="0" w:type="auto"/>
        <w:tblLook w:val="06A0" w:firstRow="1" w:lastRow="0" w:firstColumn="1" w:lastColumn="0" w:noHBand="1" w:noVBand="1"/>
      </w:tblPr>
      <w:tblGrid>
        <w:gridCol w:w="4685"/>
        <w:gridCol w:w="4675"/>
      </w:tblGrid>
      <w:tr w:rsidR="0C9EA76E" w:rsidTr="0C9EA76E" w14:paraId="3DC24793">
        <w:trPr>
          <w:trHeight w:val="300"/>
        </w:trPr>
        <w:tc>
          <w:tcPr>
            <w:tcW w:w="4685" w:type="dxa"/>
            <w:tcMar/>
            <w:vAlign w:val="center"/>
          </w:tcPr>
          <w:p w:rsidR="0C9EA76E" w:rsidP="0C9EA76E" w:rsidRDefault="0C9EA76E" w14:paraId="77B622B7" w14:textId="7D496041">
            <w:pPr>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Strengths</w:t>
            </w:r>
          </w:p>
        </w:tc>
        <w:tc>
          <w:tcPr>
            <w:tcW w:w="4675" w:type="dxa"/>
            <w:tcMar/>
            <w:vAlign w:val="center"/>
          </w:tcPr>
          <w:p w:rsidR="0C9EA76E" w:rsidP="0C9EA76E" w:rsidRDefault="0C9EA76E" w14:paraId="0D4AE3C9" w14:textId="26EB0165">
            <w:pPr>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Weaknesses</w:t>
            </w:r>
          </w:p>
        </w:tc>
      </w:tr>
      <w:tr w:rsidR="0C9EA76E" w:rsidTr="0C9EA76E" w14:paraId="253631B9">
        <w:trPr>
          <w:trHeight w:val="300"/>
        </w:trPr>
        <w:tc>
          <w:tcPr>
            <w:tcW w:w="4685" w:type="dxa"/>
            <w:tcMar/>
            <w:vAlign w:val="center"/>
          </w:tcPr>
          <w:p w:rsidR="0C9EA76E" w:rsidP="0C9EA76E" w:rsidRDefault="0C9EA76E" w14:paraId="4928F43B" w14:textId="0B083901">
            <w:pPr>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Established NHS clinical governance infrastructure; professional standards; patient-safety expertise; national improvement resources.</w:t>
            </w:r>
          </w:p>
        </w:tc>
        <w:tc>
          <w:tcPr>
            <w:tcW w:w="4675" w:type="dxa"/>
            <w:tcMar/>
            <w:vAlign w:val="center"/>
          </w:tcPr>
          <w:p w:rsidR="0C9EA76E" w:rsidP="0C9EA76E" w:rsidRDefault="0C9EA76E" w14:paraId="6B31F46B" w14:textId="2ADCE016">
            <w:pPr>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Historical weaknesses in staff voice, fragmented governance, workforce pressure, target-driven decision-making and weak escalation.</w:t>
            </w:r>
          </w:p>
        </w:tc>
      </w:tr>
    </w:tbl>
    <w:tbl>
      <w:tblPr>
        <w:tblStyle w:val="TableNormal"/>
        <w:bidiVisual w:val="0"/>
        <w:tblW w:w="0" w:type="auto"/>
        <w:tblLook w:val="06A0" w:firstRow="1" w:lastRow="0" w:firstColumn="1" w:lastColumn="0" w:noHBand="1" w:noVBand="1"/>
      </w:tblPr>
      <w:tblGrid>
        <w:gridCol w:w="4641"/>
        <w:gridCol w:w="4719"/>
      </w:tblGrid>
      <w:tr w:rsidR="0C9EA76E" w:rsidTr="0C9EA76E" w14:paraId="3F7105A5">
        <w:trPr>
          <w:trHeight w:val="300"/>
        </w:trPr>
        <w:tc>
          <w:tcPr>
            <w:tcW w:w="4641" w:type="dxa"/>
            <w:tcMar/>
            <w:vAlign w:val="center"/>
          </w:tcPr>
          <w:p w:rsidR="0C9EA76E" w:rsidP="0C9EA76E" w:rsidRDefault="0C9EA76E" w14:paraId="75C34DA1" w14:textId="03C64690">
            <w:pPr>
              <w:bidi w:val="0"/>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Opportunities</w:t>
            </w:r>
          </w:p>
        </w:tc>
        <w:tc>
          <w:tcPr>
            <w:tcW w:w="4719" w:type="dxa"/>
            <w:tcMar/>
            <w:vAlign w:val="center"/>
          </w:tcPr>
          <w:p w:rsidR="0C9EA76E" w:rsidP="0C9EA76E" w:rsidRDefault="0C9EA76E" w14:paraId="7D973634" w14:textId="5C665655">
            <w:pPr>
              <w:bidi w:val="0"/>
              <w:spacing w:before="0" w:beforeAutospacing="off" w:after="0" w:afterAutospacing="off"/>
              <w:jc w:val="center"/>
              <w:rPr>
                <w:rFonts w:ascii="Arial" w:hAnsi="Arial" w:eastAsia="Arial" w:cs="Arial" w:asciiTheme="minorAscii" w:hAnsiTheme="minorAscii" w:eastAsiaTheme="minorAscii" w:cstheme="minorAscii"/>
                <w:b w:val="1"/>
                <w:bCs w:val="1"/>
              </w:rPr>
            </w:pPr>
            <w:r w:rsidRPr="0C9EA76E" w:rsidR="0C9EA76E">
              <w:rPr>
                <w:rFonts w:ascii="Arial" w:hAnsi="Arial" w:eastAsia="Arial" w:cs="Arial" w:asciiTheme="minorAscii" w:hAnsiTheme="minorAscii" w:eastAsiaTheme="minorAscii" w:cstheme="minorAscii"/>
                <w:b w:val="1"/>
                <w:bCs w:val="1"/>
              </w:rPr>
              <w:t>Threats</w:t>
            </w:r>
          </w:p>
        </w:tc>
      </w:tr>
      <w:tr w:rsidR="0C9EA76E" w:rsidTr="0C9EA76E" w14:paraId="07A726B0">
        <w:trPr>
          <w:trHeight w:val="300"/>
        </w:trPr>
        <w:tc>
          <w:tcPr>
            <w:tcW w:w="4641" w:type="dxa"/>
            <w:tcMar/>
            <w:vAlign w:val="center"/>
          </w:tcPr>
          <w:p w:rsidR="0C9EA76E" w:rsidP="0C9EA76E" w:rsidRDefault="0C9EA76E" w14:paraId="1919BECB" w14:textId="7AFCAFB3">
            <w:pPr>
              <w:bidi w:val="0"/>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PSIRF, patient safety partners, quality dashboards, staff engagement, improvement training and national learning networks.</w:t>
            </w:r>
          </w:p>
        </w:tc>
        <w:tc>
          <w:tcPr>
            <w:tcW w:w="4719" w:type="dxa"/>
            <w:tcMar/>
            <w:vAlign w:val="center"/>
          </w:tcPr>
          <w:p w:rsidR="0C9EA76E" w:rsidP="0C9EA76E" w:rsidRDefault="0C9EA76E" w14:paraId="4C404FEF" w14:textId="2446C0A3">
            <w:pPr>
              <w:bidi w:val="0"/>
              <w:spacing w:before="0" w:beforeAutospacing="off" w:after="0" w:afterAutospacing="off"/>
              <w:rPr>
                <w:rFonts w:ascii="Arial" w:hAnsi="Arial" w:eastAsia="Arial" w:cs="Arial" w:asciiTheme="minorAscii" w:hAnsiTheme="minorAscii" w:eastAsiaTheme="minorAscii" w:cstheme="minorAscii"/>
              </w:rPr>
            </w:pPr>
            <w:r w:rsidRPr="0C9EA76E" w:rsidR="0C9EA76E">
              <w:rPr>
                <w:rFonts w:ascii="Arial" w:hAnsi="Arial" w:eastAsia="Arial" w:cs="Arial" w:asciiTheme="minorAscii" w:hAnsiTheme="minorAscii" w:eastAsiaTheme="minorAscii" w:cstheme="minorAscii"/>
              </w:rPr>
              <w:t>Workforce shortages, financial constraints, rising demand, resistance to change and excessive emphasis on measurable targets.</w:t>
            </w:r>
          </w:p>
        </w:tc>
      </w:tr>
    </w:tbl>
    <w:p w:rsidR="6C71916A" w:rsidP="0C9EA76E" w:rsidRDefault="6C71916A" w14:paraId="4E4E07F7" w14:textId="7E0CED7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strength of SWOT is its simplicity and ability to support strategic discussion. Its limitation is that it can become subjective if statements are not supported by evidence (van Wijngaarden, Scholten and van Wijk, 2012). It should therefore be used as a synthesis of the preceding analysis rather than as an independent evidence base. Current NHS improvement work demonstrates that improvement capability is increasingly embedded across providers; NHS England's NHS IMPACT baseline reported that 95% of providers had an agreed improvement method or approach, although capability and staff training were less consistent (NHS England, 2023). This suggests that infrastructure alone is insufficient: organisations require practical capability and leadership to use improvement methods effectively.</w:t>
      </w:r>
    </w:p>
    <w:p w:rsidR="6C71916A" w:rsidP="0C9EA76E" w:rsidRDefault="6C71916A" w14:paraId="42FD721D" w14:textId="72BD78B6">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2.7 Real-World Quality-Improvement Learning</w:t>
      </w:r>
    </w:p>
    <w:p w:rsidR="6C71916A" w:rsidP="0C9EA76E" w:rsidRDefault="6C71916A" w14:paraId="6498F5A1" w14:textId="17F2C04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Real-world NHS examples demonstrate that improvement tools can produce measurable changes when they are clinically led and data driven. NHS England has reported the use of PDSA in an emergency safety-huddle programme, where the intervention was repeatedly reviewed and adapted to support consistency and escalation (NHS England, 2018). Another NHS case used PDSA cycles to reduce inappropriate urinary-catheter use and associated catheter-associated urinary tract infections (NHS England, 2018). These examples are relevant to Mid Staffordshire because they demonstrate how structured testing, measurement and frontline ownership can translate quality principles into practice.</w:t>
      </w:r>
    </w:p>
    <w:p w:rsidR="6C71916A" w:rsidP="0C9EA76E" w:rsidRDefault="6C71916A" w14:paraId="7DF612B5" w14:textId="340DD590">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Lean also has an NHS evidence base. NHS Improvement reported a Lean programme involving trusts such as Western Sussex Hospitals and Royal Bolton Hospital, with a focus on improving processes and reducing waste while maintaining patient value (NHS Improvement, 2018). These examples illustrate an important lesson for Mid Staffordshire: Lean should not mean reducing staffing simply to reduce cost. It should mean removing unnecessary process waste, duplication and delay while protecting safe staffing and clinical quality.</w:t>
      </w:r>
    </w:p>
    <w:p w:rsidR="6C71916A" w:rsidP="0C9EA76E" w:rsidRDefault="6C71916A" w14:paraId="6A76C013" w14:textId="0588BBD3">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Overall, the root-cause analysis indicates that the principal service-improvement priorities are strengthening governance, ensuring safe workforce capacity, improving staff and patient voice, integrating quality information and creating a learning culture. These priorities provide the basis for the recommendations below.</w:t>
      </w:r>
    </w:p>
    <w:p w:rsidR="0C9EA76E" w:rsidP="0C9EA76E" w:rsidRDefault="0C9EA76E" w14:paraId="7B1EEDB6" w14:textId="0151B13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3C66E02B" w14:textId="3E8BA22A">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79462402" w14:textId="48A8895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4E20BB0A" w14:textId="0BC8F6B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7DF53AEE" w14:textId="237AFA81">
      <w:pPr>
        <w:bidi w:val="0"/>
        <w:rPr>
          <w:rFonts w:ascii="Arial" w:hAnsi="Arial" w:eastAsia="Arial" w:cs="Arial" w:asciiTheme="minorAscii" w:hAnsiTheme="minorAscii" w:eastAsiaTheme="minorAscii" w:cstheme="minorAscii"/>
        </w:rPr>
      </w:pPr>
    </w:p>
    <w:p w:rsidR="6C71916A" w:rsidP="4B42FC9B" w:rsidRDefault="6C71916A" w14:paraId="5EBA765D" w14:textId="1647BE54">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4B42FC9B" w:rsidRDefault="6C71916A" w14:paraId="7AB8EA63" w14:textId="6FF1DC5C">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4B42FC9B" w:rsidRDefault="6C71916A" w14:paraId="527CE859" w14:textId="45B9A9C6">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4B42FC9B" w:rsidRDefault="6C71916A" w14:paraId="5EC31612" w14:textId="78B525DA">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4B42FC9B" w:rsidRDefault="6C71916A" w14:paraId="135B6504" w14:textId="562CFACE">
      <w:pPr>
        <w:pStyle w:val="Normal"/>
        <w:bidi w:val="0"/>
        <w:rPr>
          <w:noProof w:val="0"/>
          <w:lang w:val="en-US"/>
        </w:rPr>
      </w:pPr>
    </w:p>
    <w:p w:rsidR="6C71916A" w:rsidP="4B42FC9B" w:rsidRDefault="6C71916A" w14:paraId="7D96D195" w14:textId="72A441BB">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0C9EA76E" w:rsidRDefault="6C71916A" w14:paraId="4A940BE9" w14:textId="328995B6">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4B42FC9B" w:rsidR="4CEAE7F5">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3. Recommendations and Service Improvement Strategy</w:t>
      </w:r>
    </w:p>
    <w:p w:rsidR="6C71916A" w:rsidP="0C9EA76E" w:rsidRDefault="6C71916A" w14:paraId="53A8E78E" w14:textId="092F608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recommendations should address the interacting root causes rather than introduce isolated interventions. The overall aim should be to establish within 12 months a patient-safety management system that improves the reliability of fundamental care, strengthens staff and patient voice, and demonstrates measurable learning from safety data. The programme should be led by the Board but co-designed with frontline staff, patients and families.</w:t>
      </w:r>
    </w:p>
    <w:p w:rsidR="6C71916A" w:rsidP="0C9EA76E" w:rsidRDefault="6C71916A" w14:paraId="62833E93" w14:textId="1D111C37">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4B42FC9B" w:rsidR="4CEAE7F5">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3.1 Recommendation 1:</w:t>
      </w:r>
      <w:r w:rsidRPr="4B42FC9B" w:rsidR="4CEAE7F5">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 xml:space="preserve"> Strengthen Patient-Safety Governance</w:t>
      </w:r>
    </w:p>
    <w:p w:rsidR="6C71916A" w:rsidP="0C9EA76E" w:rsidRDefault="6C71916A" w14:paraId="087A1967" w14:textId="4189DCE7">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A Quality and Patient Safety Committee should report directly to the Board and meet monthly. Membership should include the medical director, chief nurse, quality lead, patient-safety specialist, ward representatives, a staff representative and patient/family representatives. The committee should review mortality indicators, incidents, complaints, staffing, missed observations, nutrition and hydration, infection indicators and patient experience together.</w:t>
      </w:r>
    </w:p>
    <w:p w:rsidR="6C71916A" w:rsidP="0C9EA76E" w:rsidRDefault="6C71916A" w14:paraId="59D64AD2" w14:textId="3D63BB00">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addresses the fragmented governance identified by Francis (2013). PSIRF requires integration between patient safety, quality improvement, clinical governance and complaints and promotes supportive oversight focused on improvement (NHS England, 2022; NHS England, 2026). The committee should maintain a concise monthly dashboard with named action owners and deadlines.</w:t>
      </w:r>
    </w:p>
    <w:p w:rsidR="6C71916A" w:rsidP="0C9EA76E" w:rsidRDefault="6C71916A" w14:paraId="717ACB7D" w14:textId="48ABE0AA">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3.2 Recommendation 2: Improve Workforce Capacity and Competence</w:t>
      </w:r>
    </w:p>
    <w:p w:rsidR="6C71916A" w:rsidP="0C9EA76E" w:rsidRDefault="6C71916A" w14:paraId="77E1ADC4" w14:textId="52DF643A">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organisation should undertake an acuity-based staffing and skill-mix review. Staffing decisions should consider patient dependency, workload, vacancies and supervision rather than financial targets alone. A clear escalation process should operate when staffing falls below locally agreed safe levels. New staff should receive structured induction and patient-safety training, while ward leaders should receive improvement training.</w:t>
      </w:r>
    </w:p>
    <w:p w:rsidR="6C71916A" w:rsidP="0C9EA76E" w:rsidRDefault="6C71916A" w14:paraId="43B14785" w14:textId="472581B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recommendation follows directly from the structural weaknesses identified through Donabedian analysis. Increasing staff numbers alone, however, will not guarantee better care. Workforce investment must be accompanied by reliable processes, leadership and measurement so that additional capacity produces safer practice.</w:t>
      </w:r>
    </w:p>
    <w:p w:rsidR="6C71916A" w:rsidP="0C9EA76E" w:rsidRDefault="6C71916A" w14:paraId="7A52CE5C" w14:textId="2C9F97FB">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3.3 Recommendation 3: Build an Open and Patient-Centred Safety Culture</w:t>
      </w:r>
    </w:p>
    <w:p w:rsidR="6C71916A" w:rsidP="0C9EA76E" w:rsidRDefault="6C71916A" w14:paraId="6401B531" w14:textId="46994619">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organisation should introduce daily multidisciplinary safety huddles, monthly patient-experience reviews and protected staff forums. Staff should have accessible routes for raising concerns without fear of retaliation, supported by Freedom to Speak Up arrangements and psychologically safe leadership. Patients and families should participate in service-design and review meetings.</w:t>
      </w:r>
    </w:p>
    <w:p w:rsidR="6C71916A" w:rsidP="0C9EA76E" w:rsidRDefault="6C71916A" w14:paraId="6AD23268" w14:textId="530679B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This addresses the failure to hear concerns identified in the Mid Staffordshire case. PSIRF places compassionate engagement with patients, families and staff at the centre of learning responses (NHS England, 2022). The Duty of Candour also reinforces openness when specified safety incidents occur. Leaders should demonstrate that concerns are welcomed, investigated and converted into visible actions.</w:t>
      </w:r>
    </w:p>
    <w:p w:rsidR="6C71916A" w:rsidP="0C9EA76E" w:rsidRDefault="6C71916A" w14:paraId="783E05AB" w14:textId="71F98798">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3.4 Recommendation 4: Use PDSA as the Main Implementation Method</w:t>
      </w:r>
    </w:p>
    <w:p w:rsidR="6C71916A" w:rsidP="0C9EA76E" w:rsidRDefault="6C71916A" w14:paraId="580F7E18" w14:textId="59220F4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PDSA should test a fundamental-care safety bundle on one pilot ward before wider spread. The bundle should include staffing escalation, safety huddles, observation checks, nutrition and hydration review, and call-bell response monitoring.</w:t>
      </w:r>
    </w:p>
    <w:p w:rsidR="6C71916A" w:rsidP="0C9EA76E" w:rsidRDefault="6C71916A" w14:paraId="752E756C" w14:textId="7A432A91">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Plan:</w:t>
      </w:r>
      <w:r w:rsidRPr="0C9EA76E" w:rsidR="6C71916A">
        <w:rPr>
          <w:rFonts w:ascii="Arial" w:hAnsi="Arial" w:eastAsia="Arial" w:cs="Arial" w:asciiTheme="minorAscii" w:hAnsiTheme="minorAscii" w:eastAsiaTheme="minorAscii" w:cstheme="minorAscii"/>
          <w:noProof w:val="0"/>
          <w:sz w:val="24"/>
          <w:szCs w:val="24"/>
          <w:lang w:val="en-US"/>
        </w:rPr>
        <w:t xml:space="preserve"> establish baseline data and agree an improvement aim.</w:t>
      </w:r>
    </w:p>
    <w:p w:rsidR="6C71916A" w:rsidP="0C9EA76E" w:rsidRDefault="6C71916A" w14:paraId="7445634B" w14:textId="7A82CCE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Do:</w:t>
      </w:r>
      <w:r w:rsidRPr="0C9EA76E" w:rsidR="6C71916A">
        <w:rPr>
          <w:rFonts w:ascii="Arial" w:hAnsi="Arial" w:eastAsia="Arial" w:cs="Arial" w:asciiTheme="minorAscii" w:hAnsiTheme="minorAscii" w:eastAsiaTheme="minorAscii" w:cstheme="minorAscii"/>
          <w:noProof w:val="0"/>
          <w:sz w:val="24"/>
          <w:szCs w:val="24"/>
          <w:lang w:val="en-US"/>
        </w:rPr>
        <w:t xml:space="preserve"> implement the bundle with a named clinical lead.</w:t>
      </w:r>
    </w:p>
    <w:p w:rsidR="6C71916A" w:rsidP="0C9EA76E" w:rsidRDefault="6C71916A" w14:paraId="75FD2117" w14:textId="17CE7FE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Study:</w:t>
      </w:r>
      <w:r w:rsidRPr="0C9EA76E" w:rsidR="6C71916A">
        <w:rPr>
          <w:rFonts w:ascii="Arial" w:hAnsi="Arial" w:eastAsia="Arial" w:cs="Arial" w:asciiTheme="minorAscii" w:hAnsiTheme="minorAscii" w:eastAsiaTheme="minorAscii" w:cstheme="minorAscii"/>
          <w:noProof w:val="0"/>
          <w:sz w:val="24"/>
          <w:szCs w:val="24"/>
          <w:lang w:val="en-US"/>
        </w:rPr>
        <w:t xml:space="preserve"> compare baseline and intervention data using run charts and staff feedback.</w:t>
      </w:r>
    </w:p>
    <w:p w:rsidR="6C71916A" w:rsidP="0C9EA76E" w:rsidRDefault="6C71916A" w14:paraId="4F1573D7" w14:textId="032C11C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b w:val="1"/>
          <w:bCs w:val="1"/>
          <w:noProof w:val="0"/>
          <w:sz w:val="24"/>
          <w:szCs w:val="24"/>
          <w:lang w:val="en-US"/>
        </w:rPr>
        <w:t>Act:</w:t>
      </w:r>
      <w:r w:rsidRPr="0C9EA76E" w:rsidR="6C71916A">
        <w:rPr>
          <w:rFonts w:ascii="Arial" w:hAnsi="Arial" w:eastAsia="Arial" w:cs="Arial" w:asciiTheme="minorAscii" w:hAnsiTheme="minorAscii" w:eastAsiaTheme="minorAscii" w:cstheme="minorAscii"/>
          <w:noProof w:val="0"/>
          <w:sz w:val="24"/>
          <w:szCs w:val="24"/>
          <w:lang w:val="en-US"/>
        </w:rPr>
        <w:t xml:space="preserve"> modify the intervention and begin a second cycle before wider spread.</w:t>
      </w:r>
    </w:p>
    <w:p w:rsidR="6C71916A" w:rsidP="0C9EA76E" w:rsidRDefault="6C71916A" w14:paraId="1AB0B923" w14:textId="3CF90588">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3.5 Recommendation 5: Use Lean and Six Sigma Selectively</w:t>
      </w:r>
    </w:p>
    <w:p w:rsidR="6C71916A" w:rsidP="0C9EA76E" w:rsidRDefault="6C71916A" w14:paraId="5E86CBC6" w14:textId="7FB756D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Lean should be applied where waste, duplication or delay contributes to risk. Process mapping should examine admission, observations, escalation and discharge, allowing staff to identify non-value-adding activities and redesign workflows. NHS Improvement has demonstrated the use of Lean across NHS trusts, including Western Sussex Hospitals and Royal Bolton Hospital (NHS Improvement, 2018). Importantly, Lean should not be interpreted as reducing staff simply to reduce expenditure; it should remove process waste while protecting safe staffing and clinical quality.</w:t>
      </w:r>
    </w:p>
    <w:p w:rsidR="6C71916A" w:rsidP="0C9EA76E" w:rsidRDefault="6C71916A" w14:paraId="2C102A80" w14:textId="2C6C3EC6">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Six Sigma should be reserved for processes with measurable variation, such as observation completion or response times. DMAIC—Define, Measure, Analyse, Improve and Control—can support systematic reduction of variation, but its resource and technical demands mean it should complement rather than dominate the programme.</w:t>
      </w:r>
    </w:p>
    <w:p w:rsidR="0C9EA76E" w:rsidP="0C9EA76E" w:rsidRDefault="0C9EA76E" w14:paraId="22366DB4" w14:textId="028BBE8F">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303B625E" w14:textId="610C1548">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03283E68" w14:textId="5EF8DDA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6C71916A" w:rsidP="0C9EA76E" w:rsidRDefault="6C71916A" w14:paraId="05A17776" w14:textId="139C497C">
      <w:pPr>
        <w:pStyle w:val="Heading2"/>
        <w:bidi w:val="0"/>
        <w:spacing w:before="299" w:beforeAutospacing="off" w:after="299" w:afterAutospacing="off"/>
      </w:pPr>
      <w:r w:rsidRPr="4B42FC9B" w:rsidR="4CEAE7F5">
        <w:rPr>
          <w:rFonts w:ascii="Arial" w:hAnsi="Arial" w:eastAsia="Arial" w:cs="Arial" w:asciiTheme="minorAscii" w:hAnsiTheme="minorAscii" w:eastAsiaTheme="minorAscii" w:cstheme="minorAscii"/>
          <w:b w:val="1"/>
          <w:bCs w:val="1"/>
          <w:noProof w:val="0"/>
          <w:color w:val="000000" w:themeColor="text1" w:themeTint="FF" w:themeShade="FF"/>
          <w:sz w:val="36"/>
          <w:szCs w:val="36"/>
          <w:lang w:val="en-US"/>
        </w:rPr>
        <w:t>3.6 Implementation, Measurement and Sustainability</w:t>
      </w:r>
    </w:p>
    <w:tbl>
      <w:tblPr>
        <w:tblStyle w:val="TableGrid"/>
        <w:bidiVisual w:val="0"/>
        <w:tblW w:w="0" w:type="auto"/>
        <w:tblLook w:val="06A0" w:firstRow="1" w:lastRow="0" w:firstColumn="1" w:lastColumn="0" w:noHBand="1" w:noVBand="1"/>
      </w:tblPr>
      <w:tblGrid>
        <w:gridCol w:w="2175"/>
        <w:gridCol w:w="4065"/>
        <w:gridCol w:w="3120"/>
      </w:tblGrid>
      <w:tr w:rsidR="4B42FC9B" w:rsidTr="4B42FC9B" w14:paraId="452A8BB0">
        <w:trPr>
          <w:trHeight w:val="300"/>
        </w:trPr>
        <w:tc>
          <w:tcPr>
            <w:tcW w:w="2175" w:type="dxa"/>
            <w:tcMar/>
          </w:tcPr>
          <w:p w:rsidR="37096941" w:rsidP="4B42FC9B" w:rsidRDefault="37096941" w14:paraId="436CE301" w14:textId="686D334B">
            <w:pPr>
              <w:pStyle w:val="Normal"/>
            </w:pPr>
            <w:r w:rsidRPr="4B42FC9B" w:rsidR="37096941">
              <w:rPr>
                <w:rFonts w:ascii="Arial" w:hAnsi="Arial" w:eastAsia="Arial" w:cs="Arial"/>
                <w:noProof w:val="0"/>
                <w:sz w:val="24"/>
                <w:szCs w:val="24"/>
                <w:lang w:val="en-US"/>
              </w:rPr>
              <w:t>Period</w:t>
            </w:r>
          </w:p>
        </w:tc>
        <w:tc>
          <w:tcPr>
            <w:tcW w:w="4065" w:type="dxa"/>
            <w:tcMar/>
          </w:tcPr>
          <w:p w:rsidR="37096941" w:rsidP="4B42FC9B" w:rsidRDefault="37096941" w14:paraId="6F780D82" w14:textId="73317189">
            <w:pPr>
              <w:pStyle w:val="Normal"/>
            </w:pPr>
            <w:r w:rsidRPr="4B42FC9B" w:rsidR="37096941">
              <w:rPr>
                <w:rFonts w:ascii="Arial" w:hAnsi="Arial" w:eastAsia="Arial" w:cs="Arial"/>
                <w:noProof w:val="0"/>
                <w:sz w:val="24"/>
                <w:szCs w:val="24"/>
                <w:lang w:val="en-US"/>
              </w:rPr>
              <w:t>Key actions</w:t>
            </w:r>
          </w:p>
        </w:tc>
        <w:tc>
          <w:tcPr>
            <w:tcW w:w="3120" w:type="dxa"/>
            <w:tcMar/>
          </w:tcPr>
          <w:p w:rsidR="37096941" w:rsidP="4B42FC9B" w:rsidRDefault="37096941" w14:paraId="0447C44C" w14:textId="3564F11F">
            <w:pPr>
              <w:pStyle w:val="Normal"/>
            </w:pPr>
            <w:r w:rsidRPr="4B42FC9B" w:rsidR="37096941">
              <w:rPr>
                <w:rFonts w:ascii="Arial" w:hAnsi="Arial" w:eastAsia="Arial" w:cs="Arial"/>
                <w:noProof w:val="0"/>
                <w:sz w:val="24"/>
                <w:szCs w:val="24"/>
                <w:lang w:val="en-US"/>
              </w:rPr>
              <w:t>Measures</w:t>
            </w:r>
          </w:p>
        </w:tc>
      </w:tr>
      <w:tr w:rsidR="4B42FC9B" w:rsidTr="4B42FC9B" w14:paraId="18626C0A">
        <w:trPr>
          <w:trHeight w:val="300"/>
        </w:trPr>
        <w:tc>
          <w:tcPr>
            <w:tcW w:w="2175" w:type="dxa"/>
            <w:tcMar/>
          </w:tcPr>
          <w:p w:rsidR="37096941" w:rsidP="4B42FC9B" w:rsidRDefault="37096941" w14:paraId="1D2E4C21" w14:textId="7CAAE5B6">
            <w:pPr>
              <w:pStyle w:val="Normal"/>
            </w:pPr>
            <w:r w:rsidRPr="4B42FC9B" w:rsidR="37096941">
              <w:rPr>
                <w:rFonts w:ascii="Arial" w:hAnsi="Arial" w:eastAsia="Arial" w:cs="Arial"/>
                <w:noProof w:val="0"/>
                <w:sz w:val="24"/>
                <w:szCs w:val="24"/>
                <w:lang w:val="en-US"/>
              </w:rPr>
              <w:t>Months 0–3</w:t>
            </w:r>
          </w:p>
        </w:tc>
        <w:tc>
          <w:tcPr>
            <w:tcW w:w="4065" w:type="dxa"/>
            <w:tcMar/>
          </w:tcPr>
          <w:p w:rsidR="37096941" w:rsidP="4B42FC9B" w:rsidRDefault="37096941" w14:paraId="3790360D" w14:textId="3E3ABFB3">
            <w:pPr>
              <w:pStyle w:val="Normal"/>
            </w:pPr>
            <w:r w:rsidRPr="4B42FC9B" w:rsidR="37096941">
              <w:rPr>
                <w:rFonts w:ascii="Arial" w:hAnsi="Arial" w:eastAsia="Arial" w:cs="Arial"/>
                <w:noProof w:val="0"/>
                <w:sz w:val="24"/>
                <w:szCs w:val="24"/>
                <w:lang w:val="en-US"/>
              </w:rPr>
              <w:t>Governance group, baseline data, staffing review and engagement</w:t>
            </w:r>
          </w:p>
        </w:tc>
        <w:tc>
          <w:tcPr>
            <w:tcW w:w="3120" w:type="dxa"/>
            <w:tcMar/>
          </w:tcPr>
          <w:p w:rsidR="37096941" w:rsidP="4B42FC9B" w:rsidRDefault="37096941" w14:paraId="0A54A65E" w14:textId="46CA55C7">
            <w:pPr>
              <w:pStyle w:val="Normal"/>
            </w:pPr>
            <w:r w:rsidRPr="4B42FC9B" w:rsidR="37096941">
              <w:rPr>
                <w:rFonts w:ascii="Arial" w:hAnsi="Arial" w:eastAsia="Arial" w:cs="Arial"/>
                <w:noProof w:val="0"/>
                <w:sz w:val="24"/>
                <w:szCs w:val="24"/>
                <w:lang w:val="en-US"/>
              </w:rPr>
              <w:t>Staffing gaps, incidents, complaints and patient experience.</w:t>
            </w:r>
          </w:p>
        </w:tc>
      </w:tr>
      <w:tr w:rsidR="4B42FC9B" w:rsidTr="4B42FC9B" w14:paraId="4B0B04D0">
        <w:trPr>
          <w:trHeight w:val="300"/>
        </w:trPr>
        <w:tc>
          <w:tcPr>
            <w:tcW w:w="2175" w:type="dxa"/>
            <w:tcMar/>
          </w:tcPr>
          <w:p w:rsidR="37096941" w:rsidP="4B42FC9B" w:rsidRDefault="37096941" w14:paraId="18E07EE0" w14:textId="5C744FE4">
            <w:pPr>
              <w:pStyle w:val="Normal"/>
            </w:pPr>
            <w:r w:rsidRPr="4B42FC9B" w:rsidR="37096941">
              <w:rPr>
                <w:rFonts w:ascii="Arial" w:hAnsi="Arial" w:eastAsia="Arial" w:cs="Arial"/>
                <w:noProof w:val="0"/>
                <w:sz w:val="24"/>
                <w:szCs w:val="24"/>
                <w:lang w:val="en-US"/>
              </w:rPr>
              <w:t>Months 3–6</w:t>
            </w:r>
          </w:p>
        </w:tc>
        <w:tc>
          <w:tcPr>
            <w:tcW w:w="4065" w:type="dxa"/>
            <w:tcMar/>
          </w:tcPr>
          <w:p w:rsidR="37096941" w:rsidP="4B42FC9B" w:rsidRDefault="37096941" w14:paraId="5DEBCEF4" w14:textId="13B3E80C">
            <w:pPr>
              <w:pStyle w:val="Normal"/>
            </w:pPr>
            <w:r w:rsidRPr="4B42FC9B" w:rsidR="37096941">
              <w:rPr>
                <w:rFonts w:ascii="Arial" w:hAnsi="Arial" w:eastAsia="Arial" w:cs="Arial"/>
                <w:noProof w:val="0"/>
                <w:sz w:val="24"/>
                <w:szCs w:val="24"/>
                <w:lang w:val="en-US"/>
              </w:rPr>
              <w:t>PDSA pilot, safety huddles and escalation.</w:t>
            </w:r>
          </w:p>
        </w:tc>
        <w:tc>
          <w:tcPr>
            <w:tcW w:w="3120" w:type="dxa"/>
            <w:tcMar/>
          </w:tcPr>
          <w:tbl>
            <w:tblPr>
              <w:tblStyle w:val="TableNormal"/>
              <w:bidiVisual w:val="0"/>
              <w:tblW w:w="0" w:type="auto"/>
              <w:tblLook w:val="06A0" w:firstRow="1" w:lastRow="0" w:firstColumn="1" w:lastColumn="0" w:noHBand="1" w:noVBand="1"/>
            </w:tblPr>
            <w:tblGrid>
              <w:gridCol w:w="2910"/>
            </w:tblGrid>
            <w:tr w:rsidR="4B42FC9B" w:rsidTr="4B42FC9B" w14:paraId="1BBC2B06">
              <w:trPr>
                <w:trHeight w:val="300"/>
              </w:trPr>
              <w:tc>
                <w:tcPr>
                  <w:tcW w:w="2910" w:type="dxa"/>
                  <w:tcMar/>
                  <w:vAlign w:val="center"/>
                </w:tcPr>
                <w:p w:rsidR="4B42FC9B" w:rsidRDefault="4B42FC9B" w14:paraId="4CC69BE8" w14:textId="33C8A7DE"/>
              </w:tc>
            </w:tr>
          </w:tbl>
          <w:tbl>
            <w:tblPr>
              <w:tblStyle w:val="TableNormal"/>
              <w:bidiVisual w:val="0"/>
              <w:tblW w:w="0" w:type="auto"/>
              <w:tblLook w:val="06A0" w:firstRow="1" w:lastRow="0" w:firstColumn="1" w:lastColumn="0" w:noHBand="1" w:noVBand="1"/>
            </w:tblPr>
            <w:tblGrid>
              <w:gridCol w:w="2910"/>
            </w:tblGrid>
            <w:tr w:rsidR="4B42FC9B" w:rsidTr="4B42FC9B" w14:paraId="05F7EA2D">
              <w:trPr>
                <w:trHeight w:val="300"/>
              </w:trPr>
              <w:tc>
                <w:tcPr>
                  <w:tcW w:w="2910" w:type="dxa"/>
                  <w:tcMar/>
                  <w:vAlign w:val="center"/>
                </w:tcPr>
                <w:p w:rsidR="4B42FC9B" w:rsidP="4B42FC9B" w:rsidRDefault="4B42FC9B" w14:paraId="34C6594C" w14:textId="11160E29">
                  <w:pPr>
                    <w:bidi w:val="0"/>
                    <w:spacing w:before="0" w:beforeAutospacing="off" w:after="0" w:afterAutospacing="off"/>
                  </w:pPr>
                  <w:r w:rsidR="4B42FC9B">
                    <w:rPr/>
                    <w:t>Missed observations, response times, incidents and staff feedback.</w:t>
                  </w:r>
                </w:p>
              </w:tc>
            </w:tr>
          </w:tbl>
          <w:p w:rsidR="4B42FC9B" w:rsidP="4B42FC9B" w:rsidRDefault="4B42FC9B" w14:paraId="55442DA6" w14:textId="4D4350F0">
            <w:pPr>
              <w:pStyle w:val="Normal"/>
              <w:bidi w:val="0"/>
              <w:rPr>
                <w:noProof w:val="0"/>
                <w:lang w:val="en-US"/>
              </w:rPr>
            </w:pPr>
          </w:p>
        </w:tc>
      </w:tr>
      <w:tr w:rsidR="4B42FC9B" w:rsidTr="4B42FC9B" w14:paraId="37E119E8">
        <w:trPr>
          <w:trHeight w:val="300"/>
        </w:trPr>
        <w:tc>
          <w:tcPr>
            <w:tcW w:w="2175" w:type="dxa"/>
            <w:tcMar/>
          </w:tcPr>
          <w:p w:rsidR="44CEFD11" w:rsidP="4B42FC9B" w:rsidRDefault="44CEFD11" w14:paraId="78DED70D" w14:textId="5DFCB1E1">
            <w:pPr>
              <w:pStyle w:val="Normal"/>
            </w:pPr>
            <w:r w:rsidRPr="4B42FC9B" w:rsidR="44CEFD11">
              <w:rPr>
                <w:rFonts w:ascii="Arial" w:hAnsi="Arial" w:eastAsia="Arial" w:cs="Arial"/>
                <w:noProof w:val="0"/>
                <w:sz w:val="24"/>
                <w:szCs w:val="24"/>
                <w:lang w:val="en-US"/>
              </w:rPr>
              <w:t>Months 6–9</w:t>
            </w:r>
          </w:p>
        </w:tc>
        <w:tc>
          <w:tcPr>
            <w:tcW w:w="4065" w:type="dxa"/>
            <w:tcMar/>
          </w:tcPr>
          <w:p w:rsidR="44CEFD11" w:rsidP="4B42FC9B" w:rsidRDefault="44CEFD11" w14:paraId="76B0F29E" w14:textId="1120DF2C">
            <w:pPr>
              <w:pStyle w:val="Normal"/>
            </w:pPr>
            <w:r w:rsidRPr="4B42FC9B" w:rsidR="44CEFD11">
              <w:rPr>
                <w:rFonts w:ascii="Arial" w:hAnsi="Arial" w:eastAsia="Arial" w:cs="Arial"/>
                <w:noProof w:val="0"/>
                <w:sz w:val="24"/>
                <w:szCs w:val="24"/>
                <w:lang w:val="en-US"/>
              </w:rPr>
              <w:t>Refine and spread successful changes; targeted Lean work.</w:t>
            </w:r>
          </w:p>
        </w:tc>
        <w:tc>
          <w:tcPr>
            <w:tcW w:w="3120" w:type="dxa"/>
            <w:tcMar/>
          </w:tcPr>
          <w:p w:rsidR="44CEFD11" w:rsidP="4B42FC9B" w:rsidRDefault="44CEFD11" w14:paraId="049F46DA" w14:textId="7C9E78EF">
            <w:pPr>
              <w:pStyle w:val="Normal"/>
            </w:pPr>
            <w:r w:rsidRPr="4B42FC9B" w:rsidR="44CEFD11">
              <w:rPr>
                <w:rFonts w:ascii="Arial" w:hAnsi="Arial" w:eastAsia="Arial" w:cs="Arial"/>
                <w:noProof w:val="0"/>
                <w:sz w:val="24"/>
                <w:szCs w:val="24"/>
                <w:lang w:val="en-US"/>
              </w:rPr>
              <w:t>Process reliability, variation and patient experience.</w:t>
            </w:r>
          </w:p>
        </w:tc>
      </w:tr>
      <w:tr w:rsidR="4B42FC9B" w:rsidTr="4B42FC9B" w14:paraId="5507FE8E">
        <w:trPr>
          <w:trHeight w:val="300"/>
        </w:trPr>
        <w:tc>
          <w:tcPr>
            <w:tcW w:w="2175" w:type="dxa"/>
            <w:tcMar/>
          </w:tcPr>
          <w:p w:rsidR="44CEFD11" w:rsidP="4B42FC9B" w:rsidRDefault="44CEFD11" w14:paraId="3D9A169E" w14:textId="10FC527D">
            <w:pPr>
              <w:pStyle w:val="Normal"/>
            </w:pPr>
            <w:r w:rsidRPr="4B42FC9B" w:rsidR="44CEFD11">
              <w:rPr>
                <w:rFonts w:ascii="Arial" w:hAnsi="Arial" w:eastAsia="Arial" w:cs="Arial"/>
                <w:noProof w:val="0"/>
                <w:sz w:val="24"/>
                <w:szCs w:val="24"/>
                <w:lang w:val="en-US"/>
              </w:rPr>
              <w:t>Months 9–12</w:t>
            </w:r>
          </w:p>
        </w:tc>
        <w:tc>
          <w:tcPr>
            <w:tcW w:w="4065" w:type="dxa"/>
            <w:tcMar/>
          </w:tcPr>
          <w:p w:rsidR="44CEFD11" w:rsidP="4B42FC9B" w:rsidRDefault="44CEFD11" w14:paraId="444D84A8" w14:textId="140CC8A1">
            <w:pPr>
              <w:pStyle w:val="Normal"/>
            </w:pPr>
            <w:r w:rsidRPr="4B42FC9B" w:rsidR="44CEFD11">
              <w:rPr>
                <w:rFonts w:ascii="Arial" w:hAnsi="Arial" w:eastAsia="Arial" w:cs="Arial"/>
                <w:noProof w:val="0"/>
                <w:sz w:val="24"/>
                <w:szCs w:val="24"/>
                <w:lang w:val="en-US"/>
              </w:rPr>
              <w:t>Evaluate outcomes; targeted Six Sigma; embed successful changes.</w:t>
            </w:r>
          </w:p>
        </w:tc>
        <w:tc>
          <w:tcPr>
            <w:tcW w:w="3120" w:type="dxa"/>
            <w:tcMar/>
          </w:tcPr>
          <w:p w:rsidR="44CEFD11" w:rsidP="4B42FC9B" w:rsidRDefault="44CEFD11" w14:paraId="17B6770F" w14:textId="6B4AFE4E">
            <w:pPr>
              <w:pStyle w:val="Normal"/>
            </w:pPr>
            <w:r w:rsidRPr="4B42FC9B" w:rsidR="44CEFD11">
              <w:rPr>
                <w:rFonts w:ascii="Arial" w:hAnsi="Arial" w:eastAsia="Arial" w:cs="Arial"/>
                <w:noProof w:val="0"/>
                <w:sz w:val="24"/>
                <w:szCs w:val="24"/>
                <w:lang w:val="en-US"/>
              </w:rPr>
              <w:t>Safety outcomes, complaints, staff experience and audit results.</w:t>
            </w:r>
          </w:p>
        </w:tc>
      </w:tr>
      <w:tr w:rsidR="4B42FC9B" w:rsidTr="4B42FC9B" w14:paraId="1F429CA0">
        <w:trPr>
          <w:trHeight w:val="300"/>
        </w:trPr>
        <w:tc>
          <w:tcPr>
            <w:tcW w:w="2175" w:type="dxa"/>
            <w:tcMar/>
          </w:tcPr>
          <w:p w:rsidR="44CEFD11" w:rsidP="4B42FC9B" w:rsidRDefault="44CEFD11" w14:paraId="3FC987E7" w14:textId="3F1879AA">
            <w:pPr>
              <w:pStyle w:val="Normal"/>
            </w:pPr>
            <w:r w:rsidRPr="4B42FC9B" w:rsidR="44CEFD11">
              <w:rPr>
                <w:rFonts w:ascii="Arial" w:hAnsi="Arial" w:eastAsia="Arial" w:cs="Arial"/>
                <w:noProof w:val="0"/>
                <w:sz w:val="24"/>
                <w:szCs w:val="24"/>
                <w:lang w:val="en-US"/>
              </w:rPr>
              <w:t>After 12 months</w:t>
            </w:r>
          </w:p>
        </w:tc>
        <w:tc>
          <w:tcPr>
            <w:tcW w:w="4065" w:type="dxa"/>
            <w:tcMar/>
          </w:tcPr>
          <w:p w:rsidR="44CEFD11" w:rsidP="4B42FC9B" w:rsidRDefault="44CEFD11" w14:paraId="1F8607B0" w14:textId="62BD4083">
            <w:pPr>
              <w:pStyle w:val="Normal"/>
            </w:pPr>
            <w:r w:rsidRPr="4B42FC9B" w:rsidR="44CEFD11">
              <w:rPr>
                <w:rFonts w:ascii="Arial" w:hAnsi="Arial" w:eastAsia="Arial" w:cs="Arial"/>
                <w:noProof w:val="0"/>
                <w:sz w:val="24"/>
                <w:szCs w:val="24"/>
                <w:lang w:val="en-US"/>
              </w:rPr>
              <w:t>Quarterly review and continuous PDSA cycles.</w:t>
            </w:r>
          </w:p>
        </w:tc>
        <w:tc>
          <w:tcPr>
            <w:tcW w:w="3120" w:type="dxa"/>
            <w:tcMar/>
          </w:tcPr>
          <w:p w:rsidR="44CEFD11" w:rsidP="4B42FC9B" w:rsidRDefault="44CEFD11" w14:paraId="2B295125" w14:textId="5A086979">
            <w:pPr>
              <w:pStyle w:val="Normal"/>
            </w:pPr>
            <w:r w:rsidRPr="4B42FC9B" w:rsidR="44CEFD11">
              <w:rPr>
                <w:rFonts w:ascii="Arial" w:hAnsi="Arial" w:eastAsia="Arial" w:cs="Arial"/>
                <w:noProof w:val="0"/>
                <w:sz w:val="24"/>
                <w:szCs w:val="24"/>
                <w:lang w:val="en-US"/>
              </w:rPr>
              <w:t>Trend data, SPC charts, learning actions and sustainability.</w:t>
            </w:r>
          </w:p>
        </w:tc>
      </w:tr>
    </w:tbl>
    <w:p w:rsidR="4B42FC9B" w:rsidP="4B42FC9B" w:rsidRDefault="4B42FC9B" w14:paraId="63D15668" w14:textId="2DBB4B1D">
      <w:pPr>
        <w:pStyle w:val="Normal"/>
        <w:suppressLineNumbers w:val="0"/>
        <w:bidi w:val="0"/>
        <w:spacing w:before="0" w:beforeAutospacing="off" w:after="160" w:afterAutospacing="off" w:line="279" w:lineRule="auto"/>
        <w:ind w:left="0" w:right="0"/>
        <w:jc w:val="left"/>
        <w:rPr>
          <w:noProof w:val="0"/>
          <w:lang w:val="en-US"/>
        </w:rPr>
      </w:pPr>
    </w:p>
    <w:p w:rsidR="6C71916A" w:rsidP="0C9EA76E" w:rsidRDefault="6C71916A" w14:paraId="3329C23D" w14:textId="0A350E6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Three categories of measures should be used. </w:t>
      </w:r>
      <w:r w:rsidRPr="0C9EA76E" w:rsidR="6C71916A">
        <w:rPr>
          <w:rFonts w:ascii="Arial" w:hAnsi="Arial" w:eastAsia="Arial" w:cs="Arial" w:asciiTheme="minorAscii" w:hAnsiTheme="minorAscii" w:eastAsiaTheme="minorAscii" w:cstheme="minorAscii"/>
          <w:b w:val="1"/>
          <w:bCs w:val="1"/>
          <w:noProof w:val="0"/>
          <w:sz w:val="24"/>
          <w:szCs w:val="24"/>
          <w:lang w:val="en-US"/>
        </w:rPr>
        <w:t>Outcome measures</w:t>
      </w:r>
      <w:r w:rsidRPr="0C9EA76E" w:rsidR="6C71916A">
        <w:rPr>
          <w:rFonts w:ascii="Arial" w:hAnsi="Arial" w:eastAsia="Arial" w:cs="Arial" w:asciiTheme="minorAscii" w:hAnsiTheme="minorAscii" w:eastAsiaTheme="minorAscii" w:cstheme="minorAscii"/>
          <w:noProof w:val="0"/>
          <w:sz w:val="24"/>
          <w:szCs w:val="24"/>
          <w:lang w:val="en-US"/>
        </w:rPr>
        <w:t xml:space="preserve"> should include safety incidents, mortality trends and patient experience. </w:t>
      </w:r>
      <w:r w:rsidRPr="0C9EA76E" w:rsidR="6C71916A">
        <w:rPr>
          <w:rFonts w:ascii="Arial" w:hAnsi="Arial" w:eastAsia="Arial" w:cs="Arial" w:asciiTheme="minorAscii" w:hAnsiTheme="minorAscii" w:eastAsiaTheme="minorAscii" w:cstheme="minorAscii"/>
          <w:b w:val="1"/>
          <w:bCs w:val="1"/>
          <w:noProof w:val="0"/>
          <w:sz w:val="24"/>
          <w:szCs w:val="24"/>
          <w:lang w:val="en-US"/>
        </w:rPr>
        <w:t>Process measures</w:t>
      </w:r>
      <w:r w:rsidRPr="0C9EA76E" w:rsidR="6C71916A">
        <w:rPr>
          <w:rFonts w:ascii="Arial" w:hAnsi="Arial" w:eastAsia="Arial" w:cs="Arial" w:asciiTheme="minorAscii" w:hAnsiTheme="minorAscii" w:eastAsiaTheme="minorAscii" w:cstheme="minorAscii"/>
          <w:noProof w:val="0"/>
          <w:sz w:val="24"/>
          <w:szCs w:val="24"/>
          <w:lang w:val="en-US"/>
        </w:rPr>
        <w:t xml:space="preserve"> should include observation completion, staffing escalation and response times. </w:t>
      </w:r>
      <w:r w:rsidRPr="0C9EA76E" w:rsidR="6C71916A">
        <w:rPr>
          <w:rFonts w:ascii="Arial" w:hAnsi="Arial" w:eastAsia="Arial" w:cs="Arial" w:asciiTheme="minorAscii" w:hAnsiTheme="minorAscii" w:eastAsiaTheme="minorAscii" w:cstheme="minorAscii"/>
          <w:b w:val="1"/>
          <w:bCs w:val="1"/>
          <w:noProof w:val="0"/>
          <w:sz w:val="24"/>
          <w:szCs w:val="24"/>
          <w:lang w:val="en-US"/>
        </w:rPr>
        <w:t>Balancing measures</w:t>
      </w:r>
      <w:r w:rsidRPr="0C9EA76E" w:rsidR="6C71916A">
        <w:rPr>
          <w:rFonts w:ascii="Arial" w:hAnsi="Arial" w:eastAsia="Arial" w:cs="Arial" w:asciiTheme="minorAscii" w:hAnsiTheme="minorAscii" w:eastAsiaTheme="minorAscii" w:cstheme="minorAscii"/>
          <w:noProof w:val="0"/>
          <w:sz w:val="24"/>
          <w:szCs w:val="24"/>
          <w:lang w:val="en-US"/>
        </w:rPr>
        <w:t xml:space="preserve"> should include staff workload, sickness absence and unintended consequences. Data should be reviewed using run or statistical-process-control charts rather than relying only on RAG ratings.</w:t>
      </w:r>
    </w:p>
    <w:p w:rsidR="6C71916A" w:rsidP="0C9EA76E" w:rsidRDefault="6C71916A" w14:paraId="381900AA" w14:textId="1141A519">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Sustainability requires successful changes to become part of routine governance, induction, supervision and audit. Leaders should review whether improvements remain effective after the project team withdraws and share learning across wards. This reflects NHS quality-management guidance on testing, measurement, implementation and spread (NHS England, 2026). Financial and operational indicators remain important, but patient safety must remain a non-negotiable condition of service performance.</w:t>
      </w:r>
    </w:p>
    <w:p w:rsidR="0C9EA76E" w:rsidP="0C9EA76E" w:rsidRDefault="0C9EA76E" w14:paraId="60EE091A" w14:textId="2CDB452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2E57A7C7" w14:textId="405E243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0C9EA76E" w:rsidP="0C9EA76E" w:rsidRDefault="0C9EA76E" w14:paraId="2120C54B" w14:textId="430E0C17">
      <w:pPr>
        <w:bidi w:val="0"/>
        <w:rPr>
          <w:rFonts w:ascii="Arial" w:hAnsi="Arial" w:eastAsia="Arial" w:cs="Arial" w:asciiTheme="minorAscii" w:hAnsiTheme="minorAscii" w:eastAsiaTheme="minorAscii" w:cstheme="minorAscii"/>
        </w:rPr>
      </w:pPr>
    </w:p>
    <w:p w:rsidR="0C9EA76E" w:rsidP="0C9EA76E" w:rsidRDefault="0C9EA76E" w14:paraId="0CB66855" w14:textId="6234B9DA">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0C9EA76E" w:rsidP="0C9EA76E" w:rsidRDefault="0C9EA76E" w14:paraId="1183BA97" w14:textId="669497B4">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4B42FC9B" w:rsidP="4B42FC9B" w:rsidRDefault="4B42FC9B" w14:paraId="284A7068" w14:textId="188FC424">
      <w:pPr>
        <w:pStyle w:val="Normal"/>
        <w:bidi w:val="0"/>
        <w:rPr>
          <w:noProof w:val="0"/>
          <w:lang w:val="en-US"/>
        </w:rPr>
      </w:pPr>
    </w:p>
    <w:p w:rsidR="4B42FC9B" w:rsidP="4B42FC9B" w:rsidRDefault="4B42FC9B" w14:paraId="35367378" w14:textId="50BEF1F6">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p>
    <w:p w:rsidR="6C71916A" w:rsidP="0C9EA76E" w:rsidRDefault="6C71916A" w14:paraId="47611B6E" w14:textId="7CDC82C0">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0C9EA76E" w:rsidR="6C71916A">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4. Conclusion</w:t>
      </w:r>
    </w:p>
    <w:p w:rsidR="6C71916A" w:rsidP="0C9EA76E" w:rsidRDefault="6C71916A" w14:paraId="16344960" w14:textId="410D0B4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Mid Staffordshire case demonstrates that serious failures in healthcare quality develop when weaknesses across structures, processes, leadership, culture and oversight interact. The problem cannot be reduced to individual staff performance. Evidence from the Francis Inquiry identified failures in basic care, governance, staffing, communication, complaints handling and the wider regulatory system (Francis, 2013). The mortality evidence also requires careful interpretation: excess-mortality estimates should be treated as warning signals rather than a precise count of avoidable deaths.</w:t>
      </w:r>
    </w:p>
    <w:p w:rsidR="6C71916A" w:rsidP="0C9EA76E" w:rsidRDefault="6C71916A" w14:paraId="453BF017" w14:textId="36E107BB">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theoretical analysis strengthens understanding of the problem. Donabedian's Model demonstrates how structural weaknesses can affect care processes and outcomes. Fishbone and Five Whys identify interacting causes while avoiding an overly narrow explanation. Systems Theory shows how information can become fragmented across organisational boundaries, and the Swiss Cheese Model demonstrates how multiple weak safeguards can align. SWOT then identifies the strategic capacity and risks that should be considered when implementing change.</w:t>
      </w:r>
    </w:p>
    <w:p w:rsidR="6C71916A" w:rsidP="0C9EA76E" w:rsidRDefault="6C71916A" w14:paraId="37586A1C" w14:textId="0C1ACC9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The recommendations focus on five priorities: stronger patient-safety governance, safe workforce capacity, an open patient-centred culture, PDSA-led testing, and selective use of Lean and Six Sigma. The proposed implementation strategy uses measurable outcomes, process indicators and balancing measures across a 12-month programme. This is consistent with PSIRF, which requires system-based learning, stakeholder involvement and integration between patient safety and quality improvement (NHS England, 2022; NHS England, 2026).</w:t>
      </w:r>
    </w:p>
    <w:p w:rsidR="6C71916A" w:rsidP="0C9EA76E" w:rsidRDefault="6C71916A" w14:paraId="53954E55" w14:textId="1F05B905">
      <w:pPr>
        <w:bidi w:val="0"/>
        <w:spacing w:before="240" w:beforeAutospacing="off" w:after="240" w:afterAutospacing="off"/>
      </w:pPr>
      <w:r w:rsidRPr="0C9EA76E" w:rsidR="6C71916A">
        <w:rPr>
          <w:rFonts w:ascii="Arial" w:hAnsi="Arial" w:eastAsia="Arial" w:cs="Arial" w:asciiTheme="minorAscii" w:hAnsiTheme="minorAscii" w:eastAsiaTheme="minorAscii" w:cstheme="minorAscii"/>
          <w:noProof w:val="0"/>
          <w:sz w:val="24"/>
          <w:szCs w:val="24"/>
          <w:lang w:val="en-US"/>
        </w:rPr>
        <w:t>The central lesson is that sustainable quality improvement requires more than new policies. It requires leadership behaviours, adequate resources, reliable data, staff empowerment and meaningful patient involvement. Improvement should also be protected from excessive target orientation. The Francis Inquiry's 290 recommendations and subsequent national reforms demonstrate the scale of change required after Mid Staffordshire (Francis, 2013; Department of Health, 2013). Ultimately, the most important service-improvement principle is that organisational efficiency and financial sustainability must support, rather than compete with, safe and compassionate patient care.</w:t>
      </w:r>
    </w:p>
    <w:p w:rsidR="6C71916A" w:rsidP="4B42FC9B" w:rsidRDefault="6C71916A" w14:paraId="4450CEE5" w14:textId="5FB6D69A">
      <w:pPr>
        <w:pStyle w:val="Heading1"/>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p>
    <w:p w:rsidR="6C71916A" w:rsidP="0C9EA76E" w:rsidRDefault="6C71916A" w14:paraId="0F96AB64" w14:textId="1E6AAC12">
      <w:pPr>
        <w:pStyle w:val="Heading1"/>
        <w:bidi w:val="0"/>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pPr>
      <w:r w:rsidRPr="4B42FC9B" w:rsidR="4CEAE7F5">
        <w:rPr>
          <w:rFonts w:ascii="Arial" w:hAnsi="Arial" w:eastAsia="Arial" w:cs="Arial" w:asciiTheme="minorAscii" w:hAnsiTheme="minorAscii" w:eastAsiaTheme="minorAscii" w:cstheme="minorAscii"/>
          <w:b w:val="1"/>
          <w:bCs w:val="1"/>
          <w:noProof w:val="0"/>
          <w:color w:val="000000" w:themeColor="text1" w:themeTint="FF" w:themeShade="FF"/>
          <w:sz w:val="48"/>
          <w:szCs w:val="48"/>
          <w:lang w:val="en-US"/>
        </w:rPr>
        <w:t>5. Reference List</w:t>
      </w:r>
    </w:p>
    <w:p w:rsidR="6C71916A" w:rsidP="0C9EA76E" w:rsidRDefault="6C71916A" w14:paraId="31A20A0F" w14:textId="3004974C">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Alberti, G. (2009) </w:t>
      </w:r>
      <w:r w:rsidRPr="0C9EA76E" w:rsidR="6C71916A">
        <w:rPr>
          <w:rFonts w:ascii="Arial" w:hAnsi="Arial" w:eastAsia="Arial" w:cs="Arial" w:asciiTheme="minorAscii" w:hAnsiTheme="minorAscii" w:eastAsiaTheme="minorAscii" w:cstheme="minorAscii"/>
          <w:i w:val="1"/>
          <w:iCs w:val="1"/>
          <w:noProof w:val="0"/>
          <w:sz w:val="24"/>
          <w:szCs w:val="24"/>
          <w:lang w:val="en-US"/>
        </w:rPr>
        <w:t>Mid Staffordshire NHS Foundation Trust: Review of Emergency Care</w:t>
      </w:r>
      <w:r w:rsidRPr="0C9EA76E" w:rsidR="6C71916A">
        <w:rPr>
          <w:rFonts w:ascii="Arial" w:hAnsi="Arial" w:eastAsia="Arial" w:cs="Arial" w:asciiTheme="minorAscii" w:hAnsiTheme="minorAscii" w:eastAsiaTheme="minorAscii" w:cstheme="minorAscii"/>
          <w:noProof w:val="0"/>
          <w:sz w:val="24"/>
          <w:szCs w:val="24"/>
          <w:lang w:val="en-US"/>
        </w:rPr>
        <w:t>. London: Department of Health.</w:t>
      </w:r>
    </w:p>
    <w:p w:rsidR="6C71916A" w:rsidP="0C9EA76E" w:rsidRDefault="6C71916A" w14:paraId="0A39EA16" w14:textId="2135387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Card, A.J. (2017) ‘The problem with “5 whys”’, </w:t>
      </w:r>
      <w:r w:rsidRPr="0C9EA76E" w:rsidR="6C71916A">
        <w:rPr>
          <w:rFonts w:ascii="Arial" w:hAnsi="Arial" w:eastAsia="Arial" w:cs="Arial" w:asciiTheme="minorAscii" w:hAnsiTheme="minorAscii" w:eastAsiaTheme="minorAscii" w:cstheme="minorAscii"/>
          <w:i w:val="1"/>
          <w:iCs w:val="1"/>
          <w:noProof w:val="0"/>
          <w:sz w:val="24"/>
          <w:szCs w:val="24"/>
          <w:lang w:val="en-US"/>
        </w:rPr>
        <w:t>BMJ Quality &amp; Safety</w:t>
      </w:r>
      <w:r w:rsidRPr="0C9EA76E" w:rsidR="6C71916A">
        <w:rPr>
          <w:rFonts w:ascii="Arial" w:hAnsi="Arial" w:eastAsia="Arial" w:cs="Arial" w:asciiTheme="minorAscii" w:hAnsiTheme="minorAscii" w:eastAsiaTheme="minorAscii" w:cstheme="minorAscii"/>
          <w:noProof w:val="0"/>
          <w:sz w:val="24"/>
          <w:szCs w:val="24"/>
          <w:lang w:val="en-US"/>
        </w:rPr>
        <w:t>, 26(8), pp. 671–677. doi:10.1136/bmjqs-2016-005849.</w:t>
      </w:r>
    </w:p>
    <w:p w:rsidR="6C71916A" w:rsidP="0C9EA76E" w:rsidRDefault="6C71916A" w14:paraId="58CAA8B2" w14:textId="74ABC079">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Department of Health (2013) </w:t>
      </w:r>
      <w:r w:rsidRPr="0C9EA76E" w:rsidR="6C71916A">
        <w:rPr>
          <w:rFonts w:ascii="Arial" w:hAnsi="Arial" w:eastAsia="Arial" w:cs="Arial" w:asciiTheme="minorAscii" w:hAnsiTheme="minorAscii" w:eastAsiaTheme="minorAscii" w:cstheme="minorAscii"/>
          <w:i w:val="1"/>
          <w:iCs w:val="1"/>
          <w:noProof w:val="0"/>
          <w:sz w:val="24"/>
          <w:szCs w:val="24"/>
          <w:lang w:val="en-US"/>
        </w:rPr>
        <w:t>Patients First and Foremost: The Government’s Response to the Mid Staffordshire NHS Foundation Trust Public Inquiry</w:t>
      </w:r>
      <w:r w:rsidRPr="0C9EA76E" w:rsidR="6C71916A">
        <w:rPr>
          <w:rFonts w:ascii="Arial" w:hAnsi="Arial" w:eastAsia="Arial" w:cs="Arial" w:asciiTheme="minorAscii" w:hAnsiTheme="minorAscii" w:eastAsiaTheme="minorAscii" w:cstheme="minorAscii"/>
          <w:noProof w:val="0"/>
          <w:sz w:val="24"/>
          <w:szCs w:val="24"/>
          <w:lang w:val="en-US"/>
        </w:rPr>
        <w:t>. London: Department of Health.</w:t>
      </w:r>
    </w:p>
    <w:p w:rsidR="6C71916A" w:rsidP="0C9EA76E" w:rsidRDefault="6C71916A" w14:paraId="2732F86D" w14:textId="3D5F890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Dixon-Woods, M., Baker, R., Charles, K., Lovelock, L., Shaw, G. and Martin, G. (2014) ‘Culture and behaviour in the English National Health Service: overview of lessons from a large multi-method study’, </w:t>
      </w:r>
      <w:r w:rsidRPr="0C9EA76E" w:rsidR="6C71916A">
        <w:rPr>
          <w:rFonts w:ascii="Arial" w:hAnsi="Arial" w:eastAsia="Arial" w:cs="Arial" w:asciiTheme="minorAscii" w:hAnsiTheme="minorAscii" w:eastAsiaTheme="minorAscii" w:cstheme="minorAscii"/>
          <w:i w:val="1"/>
          <w:iCs w:val="1"/>
          <w:noProof w:val="0"/>
          <w:sz w:val="24"/>
          <w:szCs w:val="24"/>
          <w:lang w:val="en-US"/>
        </w:rPr>
        <w:t>BMJ Quality &amp; Safety</w:t>
      </w:r>
      <w:r w:rsidRPr="0C9EA76E" w:rsidR="6C71916A">
        <w:rPr>
          <w:rFonts w:ascii="Arial" w:hAnsi="Arial" w:eastAsia="Arial" w:cs="Arial" w:asciiTheme="minorAscii" w:hAnsiTheme="minorAscii" w:eastAsiaTheme="minorAscii" w:cstheme="minorAscii"/>
          <w:noProof w:val="0"/>
          <w:sz w:val="24"/>
          <w:szCs w:val="24"/>
          <w:lang w:val="en-US"/>
        </w:rPr>
        <w:t>, 23(2), pp. 106–115.</w:t>
      </w:r>
    </w:p>
    <w:p w:rsidR="6C71916A" w:rsidP="0C9EA76E" w:rsidRDefault="6C71916A" w14:paraId="54C860DC" w14:textId="6CEFF0B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Donabedian, A. (1988) ‘The quality of care: How can it be assessed?’, </w:t>
      </w:r>
      <w:r w:rsidRPr="0C9EA76E" w:rsidR="6C71916A">
        <w:rPr>
          <w:rFonts w:ascii="Arial" w:hAnsi="Arial" w:eastAsia="Arial" w:cs="Arial" w:asciiTheme="minorAscii" w:hAnsiTheme="minorAscii" w:eastAsiaTheme="minorAscii" w:cstheme="minorAscii"/>
          <w:i w:val="1"/>
          <w:iCs w:val="1"/>
          <w:noProof w:val="0"/>
          <w:sz w:val="24"/>
          <w:szCs w:val="24"/>
          <w:lang w:val="en-US"/>
        </w:rPr>
        <w:t>JAMA</w:t>
      </w:r>
      <w:r w:rsidRPr="0C9EA76E" w:rsidR="6C71916A">
        <w:rPr>
          <w:rFonts w:ascii="Arial" w:hAnsi="Arial" w:eastAsia="Arial" w:cs="Arial" w:asciiTheme="minorAscii" w:hAnsiTheme="minorAscii" w:eastAsiaTheme="minorAscii" w:cstheme="minorAscii"/>
          <w:noProof w:val="0"/>
          <w:sz w:val="24"/>
          <w:szCs w:val="24"/>
          <w:lang w:val="en-US"/>
        </w:rPr>
        <w:t>, 260(12), pp. 1743–1748. doi:10.1001/jama.260.12.1743.</w:t>
      </w:r>
    </w:p>
    <w:p w:rsidR="6C71916A" w:rsidP="0C9EA76E" w:rsidRDefault="6C71916A" w14:paraId="318DAB57" w14:textId="22AF42DA">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Dyer, C. (2011) ‘Head of Healthcare Commission excised figures on excess deaths from Mid Staffordshire report’, </w:t>
      </w:r>
      <w:r w:rsidRPr="0C9EA76E" w:rsidR="6C71916A">
        <w:rPr>
          <w:rFonts w:ascii="Arial" w:hAnsi="Arial" w:eastAsia="Arial" w:cs="Arial" w:asciiTheme="minorAscii" w:hAnsiTheme="minorAscii" w:eastAsiaTheme="minorAscii" w:cstheme="minorAscii"/>
          <w:i w:val="1"/>
          <w:iCs w:val="1"/>
          <w:noProof w:val="0"/>
          <w:sz w:val="24"/>
          <w:szCs w:val="24"/>
          <w:lang w:val="en-US"/>
        </w:rPr>
        <w:t>BMJ</w:t>
      </w:r>
      <w:r w:rsidRPr="0C9EA76E" w:rsidR="6C71916A">
        <w:rPr>
          <w:rFonts w:ascii="Arial" w:hAnsi="Arial" w:eastAsia="Arial" w:cs="Arial" w:asciiTheme="minorAscii" w:hAnsiTheme="minorAscii" w:eastAsiaTheme="minorAscii" w:cstheme="minorAscii"/>
          <w:noProof w:val="0"/>
          <w:sz w:val="24"/>
          <w:szCs w:val="24"/>
          <w:lang w:val="en-US"/>
        </w:rPr>
        <w:t>, 342, d2900. doi:10.1136/bmj.d2900.</w:t>
      </w:r>
    </w:p>
    <w:p w:rsidR="6C71916A" w:rsidP="0C9EA76E" w:rsidRDefault="6C71916A" w14:paraId="48ED3C8D" w14:textId="7F569D8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Francis, R. (2010) </w:t>
      </w:r>
      <w:r w:rsidRPr="0C9EA76E" w:rsidR="6C71916A">
        <w:rPr>
          <w:rFonts w:ascii="Arial" w:hAnsi="Arial" w:eastAsia="Arial" w:cs="Arial" w:asciiTheme="minorAscii" w:hAnsiTheme="minorAscii" w:eastAsiaTheme="minorAscii" w:cstheme="minorAscii"/>
          <w:i w:val="1"/>
          <w:iCs w:val="1"/>
          <w:noProof w:val="0"/>
          <w:sz w:val="24"/>
          <w:szCs w:val="24"/>
          <w:lang w:val="en-US"/>
        </w:rPr>
        <w:t>Independent Inquiry into Care Provided by Mid Staffordshire NHS Foundation Trust January 2005–March 2009</w:t>
      </w:r>
      <w:r w:rsidRPr="0C9EA76E" w:rsidR="6C71916A">
        <w:rPr>
          <w:rFonts w:ascii="Arial" w:hAnsi="Arial" w:eastAsia="Arial" w:cs="Arial" w:asciiTheme="minorAscii" w:hAnsiTheme="minorAscii" w:eastAsiaTheme="minorAscii" w:cstheme="minorAscii"/>
          <w:noProof w:val="0"/>
          <w:sz w:val="24"/>
          <w:szCs w:val="24"/>
          <w:lang w:val="en-US"/>
        </w:rPr>
        <w:t>. HC 375. London: The Stationery Office.</w:t>
      </w:r>
    </w:p>
    <w:p w:rsidR="6C71916A" w:rsidP="0C9EA76E" w:rsidRDefault="6C71916A" w14:paraId="26DB5695" w14:textId="678E596F">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Francis, R. (2013) </w:t>
      </w:r>
      <w:r w:rsidRPr="0C9EA76E" w:rsidR="6C71916A">
        <w:rPr>
          <w:rFonts w:ascii="Arial" w:hAnsi="Arial" w:eastAsia="Arial" w:cs="Arial" w:asciiTheme="minorAscii" w:hAnsiTheme="minorAscii" w:eastAsiaTheme="minorAscii" w:cstheme="minorAscii"/>
          <w:i w:val="1"/>
          <w:iCs w:val="1"/>
          <w:noProof w:val="0"/>
          <w:sz w:val="24"/>
          <w:szCs w:val="24"/>
          <w:lang w:val="en-US"/>
        </w:rPr>
        <w:t>Report of the Mid Staffordshire NHS Foundation Trust Public Inquiry</w:t>
      </w:r>
      <w:r w:rsidRPr="0C9EA76E" w:rsidR="6C71916A">
        <w:rPr>
          <w:rFonts w:ascii="Arial" w:hAnsi="Arial" w:eastAsia="Arial" w:cs="Arial" w:asciiTheme="minorAscii" w:hAnsiTheme="minorAscii" w:eastAsiaTheme="minorAscii" w:cstheme="minorAscii"/>
          <w:noProof w:val="0"/>
          <w:sz w:val="24"/>
          <w:szCs w:val="24"/>
          <w:lang w:val="en-US"/>
        </w:rPr>
        <w:t xml:space="preserve">. HC 947. London: The Stationery Office. The official government publication confirms the report was published on 6 February 2013. </w:t>
      </w:r>
    </w:p>
    <w:p w:rsidR="6C71916A" w:rsidP="0C9EA76E" w:rsidRDefault="6C71916A" w14:paraId="0DEEF2B0" w14:textId="756B6C2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Healthcare Commission (2009) </w:t>
      </w:r>
      <w:r w:rsidRPr="0C9EA76E" w:rsidR="6C71916A">
        <w:rPr>
          <w:rFonts w:ascii="Arial" w:hAnsi="Arial" w:eastAsia="Arial" w:cs="Arial" w:asciiTheme="minorAscii" w:hAnsiTheme="minorAscii" w:eastAsiaTheme="minorAscii" w:cstheme="minorAscii"/>
          <w:i w:val="1"/>
          <w:iCs w:val="1"/>
          <w:noProof w:val="0"/>
          <w:sz w:val="24"/>
          <w:szCs w:val="24"/>
          <w:lang w:val="en-US"/>
        </w:rPr>
        <w:t>Investigation into Mid Staffordshire NHS Foundation Trust</w:t>
      </w:r>
      <w:r w:rsidRPr="0C9EA76E" w:rsidR="6C71916A">
        <w:rPr>
          <w:rFonts w:ascii="Arial" w:hAnsi="Arial" w:eastAsia="Arial" w:cs="Arial" w:asciiTheme="minorAscii" w:hAnsiTheme="minorAscii" w:eastAsiaTheme="minorAscii" w:cstheme="minorAscii"/>
          <w:noProof w:val="0"/>
          <w:sz w:val="24"/>
          <w:szCs w:val="24"/>
          <w:lang w:val="en-US"/>
        </w:rPr>
        <w:t>. London: Commission for Healthcare Audit and Inspection.</w:t>
      </w:r>
    </w:p>
    <w:p w:rsidR="6C71916A" w:rsidP="0C9EA76E" w:rsidRDefault="6C71916A" w14:paraId="35EC9348" w14:textId="060A36A7">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NHS England (2018) ‘Improving patient safety by introducing a daily Emergency Call Safety Huddle’. London: NHS England.</w:t>
      </w:r>
    </w:p>
    <w:p w:rsidR="6C71916A" w:rsidP="0C9EA76E" w:rsidRDefault="6C71916A" w14:paraId="45427945" w14:textId="05478E7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NHS England (2018) ‘The “No catheter – No catheter associated urinary tract infection” programme’. London: NHS England.</w:t>
      </w:r>
    </w:p>
    <w:p w:rsidR="6C71916A" w:rsidP="0C9EA76E" w:rsidRDefault="6C71916A" w14:paraId="0D9CB45F" w14:textId="791409A5">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NHS England (2022) </w:t>
      </w:r>
      <w:r w:rsidRPr="0C9EA76E" w:rsidR="6C71916A">
        <w:rPr>
          <w:rFonts w:ascii="Arial" w:hAnsi="Arial" w:eastAsia="Arial" w:cs="Arial" w:asciiTheme="minorAscii" w:hAnsiTheme="minorAscii" w:eastAsiaTheme="minorAscii" w:cstheme="minorAscii"/>
          <w:i w:val="1"/>
          <w:iCs w:val="1"/>
          <w:noProof w:val="0"/>
          <w:sz w:val="24"/>
          <w:szCs w:val="24"/>
          <w:lang w:val="en-US"/>
        </w:rPr>
        <w:t>Patient Safety Incident Response Framework</w:t>
      </w:r>
      <w:r w:rsidRPr="0C9EA76E" w:rsidR="6C71916A">
        <w:rPr>
          <w:rFonts w:ascii="Arial" w:hAnsi="Arial" w:eastAsia="Arial" w:cs="Arial" w:asciiTheme="minorAscii" w:hAnsiTheme="minorAscii" w:eastAsiaTheme="minorAscii" w:cstheme="minorAscii"/>
          <w:noProof w:val="0"/>
          <w:sz w:val="24"/>
          <w:szCs w:val="24"/>
          <w:lang w:val="en-US"/>
        </w:rPr>
        <w:t>. London: NHS England.</w:t>
      </w:r>
    </w:p>
    <w:p w:rsidR="6C71916A" w:rsidP="0C9EA76E" w:rsidRDefault="6C71916A" w14:paraId="5A38904D" w14:textId="4BCEDC84">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NHS England (2023) </w:t>
      </w:r>
      <w:r w:rsidRPr="0C9EA76E" w:rsidR="6C71916A">
        <w:rPr>
          <w:rFonts w:ascii="Arial" w:hAnsi="Arial" w:eastAsia="Arial" w:cs="Arial" w:asciiTheme="minorAscii" w:hAnsiTheme="minorAscii" w:eastAsiaTheme="minorAscii" w:cstheme="minorAscii"/>
          <w:i w:val="1"/>
          <w:iCs w:val="1"/>
          <w:noProof w:val="0"/>
          <w:sz w:val="24"/>
          <w:szCs w:val="24"/>
          <w:lang w:val="en-US"/>
        </w:rPr>
        <w:t>NHS IMPACT baseline for improvement</w:t>
      </w:r>
      <w:r w:rsidRPr="0C9EA76E" w:rsidR="6C71916A">
        <w:rPr>
          <w:rFonts w:ascii="Arial" w:hAnsi="Arial" w:eastAsia="Arial" w:cs="Arial" w:asciiTheme="minorAscii" w:hAnsiTheme="minorAscii" w:eastAsiaTheme="minorAscii" w:cstheme="minorAscii"/>
          <w:noProof w:val="0"/>
          <w:sz w:val="24"/>
          <w:szCs w:val="24"/>
          <w:lang w:val="en-US"/>
        </w:rPr>
        <w:t>. London: NHS England.</w:t>
      </w:r>
    </w:p>
    <w:p w:rsidR="6C71916A" w:rsidP="0C9EA76E" w:rsidRDefault="6C71916A" w14:paraId="38519B41" w14:textId="3F8224C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NHS England (2026) </w:t>
      </w:r>
      <w:r w:rsidRPr="0C9EA76E" w:rsidR="6C71916A">
        <w:rPr>
          <w:rFonts w:ascii="Arial" w:hAnsi="Arial" w:eastAsia="Arial" w:cs="Arial" w:asciiTheme="minorAscii" w:hAnsiTheme="minorAscii" w:eastAsiaTheme="minorAscii" w:cstheme="minorAscii"/>
          <w:i w:val="1"/>
          <w:iCs w:val="1"/>
          <w:noProof w:val="0"/>
          <w:sz w:val="24"/>
          <w:szCs w:val="24"/>
          <w:lang w:val="en-US"/>
        </w:rPr>
        <w:t>Patient safety incident response standards</w:t>
      </w:r>
      <w:r w:rsidRPr="0C9EA76E" w:rsidR="6C71916A">
        <w:rPr>
          <w:rFonts w:ascii="Arial" w:hAnsi="Arial" w:eastAsia="Arial" w:cs="Arial" w:asciiTheme="minorAscii" w:hAnsiTheme="minorAscii" w:eastAsiaTheme="minorAscii" w:cstheme="minorAscii"/>
          <w:noProof w:val="0"/>
          <w:sz w:val="24"/>
          <w:szCs w:val="24"/>
          <w:lang w:val="en-US"/>
        </w:rPr>
        <w:t>. London: NHS England.</w:t>
      </w:r>
    </w:p>
    <w:p w:rsidR="6C71916A" w:rsidP="0C9EA76E" w:rsidRDefault="6C71916A" w14:paraId="419186BB" w14:textId="252A3B7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NHS Improvement (2018) ‘Seven trusts take part in our lean programme’. London: NHS Improvement.</w:t>
      </w:r>
    </w:p>
    <w:p w:rsidR="6C71916A" w:rsidP="0C9EA76E" w:rsidRDefault="6C71916A" w14:paraId="4F889EE2" w14:textId="539F6766">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Patients Association (2009) </w:t>
      </w:r>
      <w:r w:rsidRPr="0C9EA76E" w:rsidR="6C71916A">
        <w:rPr>
          <w:rFonts w:ascii="Arial" w:hAnsi="Arial" w:eastAsia="Arial" w:cs="Arial" w:asciiTheme="minorAscii" w:hAnsiTheme="minorAscii" w:eastAsiaTheme="minorAscii" w:cstheme="minorAscii"/>
          <w:i w:val="1"/>
          <w:iCs w:val="1"/>
          <w:noProof w:val="0"/>
          <w:sz w:val="24"/>
          <w:szCs w:val="24"/>
          <w:lang w:val="en-US"/>
        </w:rPr>
        <w:t>Patients Not Numbers, People Not Statistics</w:t>
      </w:r>
      <w:r w:rsidRPr="0C9EA76E" w:rsidR="6C71916A">
        <w:rPr>
          <w:rFonts w:ascii="Arial" w:hAnsi="Arial" w:eastAsia="Arial" w:cs="Arial" w:asciiTheme="minorAscii" w:hAnsiTheme="minorAscii" w:eastAsiaTheme="minorAscii" w:cstheme="minorAscii"/>
          <w:noProof w:val="0"/>
          <w:sz w:val="24"/>
          <w:szCs w:val="24"/>
          <w:lang w:val="en-US"/>
        </w:rPr>
        <w:t>. Harrow: The Patients Association.</w:t>
      </w:r>
    </w:p>
    <w:p w:rsidR="6C71916A" w:rsidP="0C9EA76E" w:rsidRDefault="6C71916A" w14:paraId="78161EDA" w14:textId="0C5580C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Reason, J. (2000) ‘Human error: models and management’, </w:t>
      </w:r>
      <w:r w:rsidRPr="0C9EA76E" w:rsidR="6C71916A">
        <w:rPr>
          <w:rFonts w:ascii="Arial" w:hAnsi="Arial" w:eastAsia="Arial" w:cs="Arial" w:asciiTheme="minorAscii" w:hAnsiTheme="minorAscii" w:eastAsiaTheme="minorAscii" w:cstheme="minorAscii"/>
          <w:i w:val="1"/>
          <w:iCs w:val="1"/>
          <w:noProof w:val="0"/>
          <w:sz w:val="24"/>
          <w:szCs w:val="24"/>
          <w:lang w:val="en-US"/>
        </w:rPr>
        <w:t>BMJ</w:t>
      </w:r>
      <w:r w:rsidRPr="0C9EA76E" w:rsidR="6C71916A">
        <w:rPr>
          <w:rFonts w:ascii="Arial" w:hAnsi="Arial" w:eastAsia="Arial" w:cs="Arial" w:asciiTheme="minorAscii" w:hAnsiTheme="minorAscii" w:eastAsiaTheme="minorAscii" w:cstheme="minorAscii"/>
          <w:noProof w:val="0"/>
          <w:sz w:val="24"/>
          <w:szCs w:val="24"/>
          <w:lang w:val="en-US"/>
        </w:rPr>
        <w:t>, 320(7237), pp. 768–770. doi:10.1136/bmj.320.7237.768.</w:t>
      </w:r>
    </w:p>
    <w:p w:rsidR="6C71916A" w:rsidP="0C9EA76E" w:rsidRDefault="6C71916A" w14:paraId="0402CF4F" w14:textId="5D663E7D">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Taylor, M.J., McNicholas, C., Nicolay, C., Darzi, A., Bell, D. and Reed, J.E. (2014) ‘Systematic review of the application of the plan-do-study-act method to improve quality in healthcare’, </w:t>
      </w:r>
      <w:r w:rsidRPr="0C9EA76E" w:rsidR="6C71916A">
        <w:rPr>
          <w:rFonts w:ascii="Arial" w:hAnsi="Arial" w:eastAsia="Arial" w:cs="Arial" w:asciiTheme="minorAscii" w:hAnsiTheme="minorAscii" w:eastAsiaTheme="minorAscii" w:cstheme="minorAscii"/>
          <w:i w:val="1"/>
          <w:iCs w:val="1"/>
          <w:noProof w:val="0"/>
          <w:sz w:val="24"/>
          <w:szCs w:val="24"/>
          <w:lang w:val="en-US"/>
        </w:rPr>
        <w:t>BMJ Quality &amp; Safety</w:t>
      </w:r>
      <w:r w:rsidRPr="0C9EA76E" w:rsidR="6C71916A">
        <w:rPr>
          <w:rFonts w:ascii="Arial" w:hAnsi="Arial" w:eastAsia="Arial" w:cs="Arial" w:asciiTheme="minorAscii" w:hAnsiTheme="minorAscii" w:eastAsiaTheme="minorAscii" w:cstheme="minorAscii"/>
          <w:noProof w:val="0"/>
          <w:sz w:val="24"/>
          <w:szCs w:val="24"/>
          <w:lang w:val="en-US"/>
        </w:rPr>
        <w:t>, 23(4), pp. 290–298. doi:10.1136/bmjqs-2013-001862.</w:t>
      </w:r>
    </w:p>
    <w:p w:rsidR="6C71916A" w:rsidP="0C9EA76E" w:rsidRDefault="6C71916A" w14:paraId="3B993175" w14:textId="1F68A7CE">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van Wijngaarden, J.D.H., Scholten, G.R.M. and van Wijk, K.P. (2012) ‘Strategic analysis for health care organizations: the suitability of the SWOT-analysis’, </w:t>
      </w:r>
      <w:r w:rsidRPr="0C9EA76E" w:rsidR="6C71916A">
        <w:rPr>
          <w:rFonts w:ascii="Arial" w:hAnsi="Arial" w:eastAsia="Arial" w:cs="Arial" w:asciiTheme="minorAscii" w:hAnsiTheme="minorAscii" w:eastAsiaTheme="minorAscii" w:cstheme="minorAscii"/>
          <w:i w:val="1"/>
          <w:iCs w:val="1"/>
          <w:noProof w:val="0"/>
          <w:sz w:val="24"/>
          <w:szCs w:val="24"/>
          <w:lang w:val="en-US"/>
        </w:rPr>
        <w:t>International Journal of Health Planning and Management</w:t>
      </w:r>
      <w:r w:rsidRPr="0C9EA76E" w:rsidR="6C71916A">
        <w:rPr>
          <w:rFonts w:ascii="Arial" w:hAnsi="Arial" w:eastAsia="Arial" w:cs="Arial" w:asciiTheme="minorAscii" w:hAnsiTheme="minorAscii" w:eastAsiaTheme="minorAscii" w:cstheme="minorAscii"/>
          <w:noProof w:val="0"/>
          <w:sz w:val="24"/>
          <w:szCs w:val="24"/>
          <w:lang w:val="en-US"/>
        </w:rPr>
        <w:t>, 27(1), pp. 34–49. doi:10.1002/hpm.1032.</w:t>
      </w:r>
    </w:p>
    <w:p w:rsidR="6C71916A" w:rsidP="0C9EA76E" w:rsidRDefault="6C71916A" w14:paraId="5BC6C521" w14:textId="48C235A3">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0C9EA76E" w:rsidR="6C71916A">
        <w:rPr>
          <w:rFonts w:ascii="Arial" w:hAnsi="Arial" w:eastAsia="Arial" w:cs="Arial" w:asciiTheme="minorAscii" w:hAnsiTheme="minorAscii" w:eastAsiaTheme="minorAscii" w:cstheme="minorAscii"/>
          <w:noProof w:val="0"/>
          <w:sz w:val="24"/>
          <w:szCs w:val="24"/>
          <w:lang w:val="en-US"/>
        </w:rPr>
        <w:t xml:space="preserve">Walshe, K. (2013) ‘The public inquiry into Mid Staffordshire NHS Foundation Trust: what can we learn about regulation and governance?’, </w:t>
      </w:r>
      <w:r w:rsidRPr="0C9EA76E" w:rsidR="6C71916A">
        <w:rPr>
          <w:rFonts w:ascii="Arial" w:hAnsi="Arial" w:eastAsia="Arial" w:cs="Arial" w:asciiTheme="minorAscii" w:hAnsiTheme="minorAscii" w:eastAsiaTheme="minorAscii" w:cstheme="minorAscii"/>
          <w:i w:val="1"/>
          <w:iCs w:val="1"/>
          <w:noProof w:val="0"/>
          <w:sz w:val="24"/>
          <w:szCs w:val="24"/>
          <w:lang w:val="en-US"/>
        </w:rPr>
        <w:t>BMJ</w:t>
      </w:r>
      <w:r w:rsidRPr="0C9EA76E" w:rsidR="6C71916A">
        <w:rPr>
          <w:rFonts w:ascii="Arial" w:hAnsi="Arial" w:eastAsia="Arial" w:cs="Arial" w:asciiTheme="minorAscii" w:hAnsiTheme="minorAscii" w:eastAsiaTheme="minorAscii" w:cstheme="minorAscii"/>
          <w:noProof w:val="0"/>
          <w:sz w:val="24"/>
          <w:szCs w:val="24"/>
          <w:lang w:val="en-US"/>
        </w:rPr>
        <w:t>, 346, f2793. doi:10.1136/bmj.f2793.</w:t>
      </w:r>
    </w:p>
    <w:p w:rsidR="0C9EA76E" w:rsidP="0C9EA76E" w:rsidRDefault="0C9EA76E" w14:paraId="12B611B1" w14:textId="3212EA79">
      <w:pPr>
        <w:rPr>
          <w:rFonts w:ascii="Arial" w:hAnsi="Arial" w:eastAsia="Arial" w:cs="Arial" w:asciiTheme="minorAscii" w:hAnsiTheme="minorAscii" w:eastAsiaTheme="minorAscii" w:cstheme="minorAscii"/>
        </w:rPr>
      </w:pPr>
    </w:p>
    <w:p w:rsidR="4B42FC9B" w:rsidP="4B42FC9B" w:rsidRDefault="4B42FC9B" w14:paraId="022CB538" w14:textId="0C6C737E">
      <w:pPr>
        <w:rPr>
          <w:rFonts w:ascii="Arial" w:hAnsi="Arial" w:eastAsia="Arial" w:cs="Arial" w:asciiTheme="minorAscii" w:hAnsiTheme="minorAscii" w:eastAsiaTheme="minorAscii" w:cstheme="minorAscii"/>
        </w:rPr>
      </w:pPr>
    </w:p>
    <w:p w:rsidR="4B42FC9B" w:rsidP="4B42FC9B" w:rsidRDefault="4B42FC9B" w14:paraId="2B0E3B79" w14:textId="22FF0534">
      <w:pPr>
        <w:rPr>
          <w:rFonts w:ascii="Arial" w:hAnsi="Arial" w:eastAsia="Arial" w:cs="Arial" w:asciiTheme="minorAscii" w:hAnsiTheme="minorAscii" w:eastAsiaTheme="minorAscii" w:cstheme="minorAscii"/>
        </w:rPr>
      </w:pPr>
    </w:p>
    <w:p w:rsidR="4B42FC9B" w:rsidP="4B42FC9B" w:rsidRDefault="4B42FC9B" w14:paraId="4DBE4E68" w14:textId="73079CAC">
      <w:pPr>
        <w:rPr>
          <w:rFonts w:ascii="Arial" w:hAnsi="Arial" w:eastAsia="Arial" w:cs="Arial" w:asciiTheme="minorAscii" w:hAnsiTheme="minorAscii" w:eastAsiaTheme="minorAscii" w:cstheme="minorAscii"/>
        </w:rPr>
      </w:pPr>
    </w:p>
    <w:p w:rsidR="4B42FC9B" w:rsidP="4B42FC9B" w:rsidRDefault="4B42FC9B" w14:paraId="5B7B5F07" w14:textId="0E4E7552">
      <w:pPr>
        <w:rPr>
          <w:rFonts w:ascii="Arial" w:hAnsi="Arial" w:eastAsia="Arial" w:cs="Arial" w:asciiTheme="minorAscii" w:hAnsiTheme="minorAscii" w:eastAsiaTheme="minorAscii" w:cstheme="minorAscii"/>
        </w:rPr>
      </w:pPr>
    </w:p>
    <w:p w:rsidR="4B42FC9B" w:rsidP="4B42FC9B" w:rsidRDefault="4B42FC9B" w14:paraId="3C6BAB37" w14:textId="3D184341">
      <w:pPr>
        <w:rPr>
          <w:rFonts w:ascii="Arial" w:hAnsi="Arial" w:eastAsia="Arial" w:cs="Arial" w:asciiTheme="minorAscii" w:hAnsiTheme="minorAscii" w:eastAsiaTheme="minorAscii" w:cstheme="minorAscii"/>
        </w:rPr>
      </w:pPr>
    </w:p>
    <w:p w:rsidR="4B42FC9B" w:rsidP="4B42FC9B" w:rsidRDefault="4B42FC9B" w14:paraId="44E1B07C" w14:textId="19AAA367">
      <w:pPr>
        <w:rPr>
          <w:rFonts w:ascii="Arial" w:hAnsi="Arial" w:eastAsia="Arial" w:cs="Arial" w:asciiTheme="minorAscii" w:hAnsiTheme="minorAscii" w:eastAsiaTheme="minorAscii" w:cstheme="minorAscii"/>
        </w:rPr>
      </w:pPr>
    </w:p>
    <w:p w:rsidR="4B42FC9B" w:rsidP="4B42FC9B" w:rsidRDefault="4B42FC9B" w14:paraId="69ED55CF" w14:textId="6200798B">
      <w:pPr>
        <w:rPr>
          <w:rFonts w:ascii="Arial" w:hAnsi="Arial" w:eastAsia="Arial" w:cs="Arial" w:asciiTheme="minorAscii" w:hAnsiTheme="minorAscii" w:eastAsiaTheme="minorAscii" w:cstheme="minorAscii"/>
        </w:rPr>
      </w:pPr>
    </w:p>
    <w:p w:rsidR="4B42FC9B" w:rsidP="4B42FC9B" w:rsidRDefault="4B42FC9B" w14:paraId="116E2803" w14:textId="0C2C845D">
      <w:pPr>
        <w:rPr>
          <w:rFonts w:ascii="Arial" w:hAnsi="Arial" w:eastAsia="Arial" w:cs="Arial" w:asciiTheme="minorAscii" w:hAnsiTheme="minorAscii" w:eastAsiaTheme="minorAscii" w:cstheme="minorAscii"/>
        </w:rPr>
      </w:pPr>
    </w:p>
    <w:p w:rsidR="4B42FC9B" w:rsidP="4B42FC9B" w:rsidRDefault="4B42FC9B" w14:paraId="46FFDAC3" w14:textId="340964A5">
      <w:pPr>
        <w:rPr>
          <w:rFonts w:ascii="Arial" w:hAnsi="Arial" w:eastAsia="Arial" w:cs="Arial" w:asciiTheme="minorAscii" w:hAnsiTheme="minorAscii" w:eastAsiaTheme="minorAscii" w:cstheme="minorAscii"/>
        </w:rPr>
      </w:pPr>
    </w:p>
    <w:p w:rsidR="4B42FC9B" w:rsidP="4B42FC9B" w:rsidRDefault="4B42FC9B" w14:paraId="6E012A39" w14:textId="33C3E4E7">
      <w:pPr>
        <w:rPr>
          <w:rFonts w:ascii="Arial" w:hAnsi="Arial" w:eastAsia="Arial" w:cs="Arial" w:asciiTheme="minorAscii" w:hAnsiTheme="minorAscii" w:eastAsiaTheme="minorAscii" w:cstheme="minorAscii"/>
        </w:rPr>
      </w:pPr>
    </w:p>
    <w:p w:rsidR="4B42FC9B" w:rsidP="4B42FC9B" w:rsidRDefault="4B42FC9B" w14:paraId="12291DA1" w14:textId="6A3ACB10">
      <w:pPr>
        <w:rPr>
          <w:rFonts w:ascii="Arial" w:hAnsi="Arial" w:eastAsia="Arial" w:cs="Arial" w:asciiTheme="minorAscii" w:hAnsiTheme="minorAscii" w:eastAsiaTheme="minorAscii" w:cstheme="minorAscii"/>
        </w:rPr>
      </w:pPr>
    </w:p>
    <w:p w:rsidR="4B42FC9B" w:rsidP="4B42FC9B" w:rsidRDefault="4B42FC9B" w14:paraId="1C558AD5" w14:textId="5947AA0A">
      <w:pPr>
        <w:rPr>
          <w:rFonts w:ascii="Arial" w:hAnsi="Arial" w:eastAsia="Arial" w:cs="Arial" w:asciiTheme="minorAscii" w:hAnsiTheme="minorAscii" w:eastAsiaTheme="minorAscii" w:cstheme="minorAscii"/>
        </w:rPr>
      </w:pPr>
    </w:p>
    <w:p w:rsidR="4B42FC9B" w:rsidP="4B42FC9B" w:rsidRDefault="4B42FC9B" w14:paraId="62ACC180" w14:textId="4568C6C9">
      <w:pPr>
        <w:rPr>
          <w:rFonts w:ascii="Arial" w:hAnsi="Arial" w:eastAsia="Arial" w:cs="Arial" w:asciiTheme="minorAscii" w:hAnsiTheme="minorAscii" w:eastAsiaTheme="minorAscii" w:cstheme="minorAscii"/>
        </w:rPr>
      </w:pPr>
    </w:p>
    <w:p w:rsidR="4B42FC9B" w:rsidP="4B42FC9B" w:rsidRDefault="4B42FC9B" w14:paraId="19328140" w14:textId="21D49B06">
      <w:pPr>
        <w:rPr>
          <w:rFonts w:ascii="Arial" w:hAnsi="Arial" w:eastAsia="Arial" w:cs="Arial" w:asciiTheme="minorAscii" w:hAnsiTheme="minorAscii" w:eastAsiaTheme="minorAscii" w:cstheme="minorAscii"/>
        </w:rPr>
      </w:pPr>
    </w:p>
    <w:p w:rsidR="4B42FC9B" w:rsidP="4B42FC9B" w:rsidRDefault="4B42FC9B" w14:paraId="2EBEF890" w14:textId="2B0B9D61">
      <w:pPr>
        <w:rPr>
          <w:rFonts w:ascii="Arial" w:hAnsi="Arial" w:eastAsia="Arial" w:cs="Arial" w:asciiTheme="minorAscii" w:hAnsiTheme="minorAscii" w:eastAsiaTheme="minorAscii" w:cstheme="minorAscii"/>
        </w:rPr>
      </w:pPr>
    </w:p>
    <w:p w:rsidR="4B42FC9B" w:rsidP="4B42FC9B" w:rsidRDefault="4B42FC9B" w14:paraId="6D232A6A" w14:textId="69D4F78B">
      <w:pPr>
        <w:rPr>
          <w:rFonts w:ascii="Arial" w:hAnsi="Arial" w:eastAsia="Arial" w:cs="Arial" w:asciiTheme="minorAscii" w:hAnsiTheme="minorAscii" w:eastAsiaTheme="minorAscii" w:cstheme="minorAscii"/>
        </w:rPr>
      </w:pPr>
    </w:p>
    <w:p w:rsidR="4B42FC9B" w:rsidP="4B42FC9B" w:rsidRDefault="4B42FC9B" w14:paraId="37A323BC" w14:textId="40AD69D1">
      <w:pPr>
        <w:rPr>
          <w:rFonts w:ascii="Arial" w:hAnsi="Arial" w:eastAsia="Arial" w:cs="Arial" w:asciiTheme="minorAscii" w:hAnsiTheme="minorAscii" w:eastAsiaTheme="minorAscii" w:cstheme="minorAscii"/>
        </w:rPr>
      </w:pPr>
    </w:p>
    <w:p w:rsidR="4B42FC9B" w:rsidP="4B42FC9B" w:rsidRDefault="4B42FC9B" w14:paraId="06920CF6" w14:textId="7F1BB072">
      <w:pPr>
        <w:rPr>
          <w:rFonts w:ascii="Arial" w:hAnsi="Arial" w:eastAsia="Arial" w:cs="Arial" w:asciiTheme="minorAscii" w:hAnsiTheme="minorAscii" w:eastAsiaTheme="minorAscii" w:cstheme="minorAscii"/>
        </w:rPr>
      </w:pPr>
    </w:p>
    <w:p w:rsidR="4B42FC9B" w:rsidP="4B42FC9B" w:rsidRDefault="4B42FC9B" w14:paraId="54FD72DA" w14:textId="521A5FFA">
      <w:pPr>
        <w:rPr>
          <w:rFonts w:ascii="Arial" w:hAnsi="Arial" w:eastAsia="Arial" w:cs="Arial" w:asciiTheme="minorAscii" w:hAnsiTheme="minorAscii" w:eastAsiaTheme="minorAscii" w:cstheme="minorAscii"/>
        </w:rPr>
      </w:pPr>
    </w:p>
    <w:p w:rsidR="4B42FC9B" w:rsidP="4B42FC9B" w:rsidRDefault="4B42FC9B" w14:paraId="406A9D9B" w14:textId="6DF845E3">
      <w:pPr>
        <w:rPr>
          <w:rFonts w:ascii="Arial" w:hAnsi="Arial" w:eastAsia="Arial" w:cs="Arial" w:asciiTheme="minorAscii" w:hAnsiTheme="minorAscii" w:eastAsiaTheme="minorAscii" w:cstheme="minorAscii"/>
        </w:rPr>
      </w:pPr>
    </w:p>
    <w:p w:rsidR="4B42FC9B" w:rsidP="4B42FC9B" w:rsidRDefault="4B42FC9B" w14:paraId="5532B4AB" w14:textId="5870C1D7">
      <w:pPr>
        <w:rPr>
          <w:rFonts w:ascii="Arial" w:hAnsi="Arial" w:eastAsia="Arial" w:cs="Arial" w:asciiTheme="minorAscii" w:hAnsiTheme="minorAscii" w:eastAsiaTheme="minorAscii" w:cstheme="minorAscii"/>
        </w:rPr>
      </w:pPr>
    </w:p>
    <w:p w:rsidR="4B42FC9B" w:rsidP="4B42FC9B" w:rsidRDefault="4B42FC9B" w14:paraId="6B1DD11B" w14:textId="05C64150">
      <w:pPr>
        <w:rPr>
          <w:rFonts w:ascii="Arial" w:hAnsi="Arial" w:eastAsia="Arial" w:cs="Arial" w:asciiTheme="minorAscii" w:hAnsiTheme="minorAscii" w:eastAsiaTheme="minorAscii" w:cstheme="minorAscii"/>
        </w:rPr>
      </w:pPr>
    </w:p>
    <w:p w:rsidR="4B42FC9B" w:rsidP="4B42FC9B" w:rsidRDefault="4B42FC9B" w14:paraId="5D1F146F" w14:textId="61D8EF28">
      <w:pPr>
        <w:rPr>
          <w:rFonts w:ascii="Arial" w:hAnsi="Arial" w:eastAsia="Arial" w:cs="Arial" w:asciiTheme="minorAscii" w:hAnsiTheme="minorAscii" w:eastAsiaTheme="minorAscii" w:cstheme="minorAscii"/>
        </w:rPr>
      </w:pPr>
    </w:p>
    <w:p w:rsidR="4B42FC9B" w:rsidP="4B42FC9B" w:rsidRDefault="4B42FC9B" w14:paraId="114D33B1" w14:textId="552E8570">
      <w:pPr>
        <w:rPr>
          <w:rFonts w:ascii="Arial" w:hAnsi="Arial" w:eastAsia="Arial" w:cs="Arial" w:asciiTheme="minorAscii" w:hAnsiTheme="minorAscii" w:eastAsiaTheme="minorAscii" w:cstheme="minorAscii"/>
        </w:rPr>
      </w:pPr>
    </w:p>
    <w:sectPr>
      <w:pgSz w:w="12240" w:h="15840" w:orient="portrait"/>
      <w:pgMar w:top="1440" w:right="1440" w:bottom="1440" w:left="1440" w:header="720" w:footer="720" w:gutter="0"/>
      <w:cols w:space="720"/>
      <w:docGrid w:linePitch="360"/>
      <w:headerReference w:type="default" r:id="R987c40c62bd04038"/>
      <w:footerReference w:type="default" r:id="R0e98c3aa6e0a47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C9EA76E" w:rsidTr="4B42FC9B" w14:paraId="2AF72256">
      <w:trPr>
        <w:trHeight w:val="300"/>
      </w:trPr>
      <w:tc>
        <w:tcPr>
          <w:tcW w:w="3120" w:type="dxa"/>
          <w:tcMar/>
        </w:tcPr>
        <w:p w:rsidR="0C9EA76E" w:rsidP="0C9EA76E" w:rsidRDefault="0C9EA76E" w14:paraId="45C52593" w14:textId="742054A3">
          <w:pPr>
            <w:pStyle w:val="Header"/>
            <w:bidi w:val="0"/>
            <w:ind w:left="-115"/>
            <w:jc w:val="left"/>
          </w:pPr>
        </w:p>
      </w:tc>
      <w:tc>
        <w:tcPr>
          <w:tcW w:w="3120" w:type="dxa"/>
          <w:tcMar/>
        </w:tcPr>
        <w:p w:rsidR="0C9EA76E" w:rsidP="0C9EA76E" w:rsidRDefault="0C9EA76E" w14:paraId="4DF712E9" w14:textId="07299783">
          <w:pPr>
            <w:pStyle w:val="Header"/>
            <w:bidi w:val="0"/>
            <w:jc w:val="center"/>
          </w:pPr>
        </w:p>
      </w:tc>
      <w:tc>
        <w:tcPr>
          <w:tcW w:w="3120" w:type="dxa"/>
          <w:tcMar/>
        </w:tcPr>
        <w:p w:rsidR="0C9EA76E" w:rsidP="0C9EA76E" w:rsidRDefault="0C9EA76E" w14:paraId="117F0E1E" w14:textId="25DCBF58">
          <w:pPr>
            <w:pStyle w:val="Header"/>
            <w:bidi w:val="0"/>
            <w:ind w:right="-115"/>
            <w:jc w:val="right"/>
          </w:pPr>
          <w:r>
            <w:fldChar w:fldCharType="begin"/>
          </w:r>
          <w:r>
            <w:instrText xml:space="preserve">PAGE</w:instrText>
          </w:r>
          <w:r>
            <w:fldChar w:fldCharType="separate"/>
          </w:r>
          <w:r>
            <w:fldChar w:fldCharType="end"/>
          </w:r>
        </w:p>
      </w:tc>
    </w:tr>
  </w:tbl>
  <w:p w:rsidR="0C9EA76E" w:rsidP="0C9EA76E" w:rsidRDefault="0C9EA76E" w14:paraId="10D5A8A8" w14:textId="390C9657">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C9EA76E" w:rsidTr="0C9EA76E" w14:paraId="0254381A">
      <w:trPr>
        <w:trHeight w:val="300"/>
      </w:trPr>
      <w:tc>
        <w:tcPr>
          <w:tcW w:w="3120" w:type="dxa"/>
          <w:tcMar/>
        </w:tcPr>
        <w:p w:rsidR="0C9EA76E" w:rsidP="0C9EA76E" w:rsidRDefault="0C9EA76E" w14:paraId="4E607DC0" w14:textId="5CBE9E88">
          <w:pPr>
            <w:pStyle w:val="Header"/>
            <w:bidi w:val="0"/>
            <w:ind w:left="-115"/>
            <w:jc w:val="left"/>
          </w:pPr>
        </w:p>
      </w:tc>
      <w:tc>
        <w:tcPr>
          <w:tcW w:w="3120" w:type="dxa"/>
          <w:tcMar/>
        </w:tcPr>
        <w:p w:rsidR="0C9EA76E" w:rsidP="0C9EA76E" w:rsidRDefault="0C9EA76E" w14:paraId="4DDE3B40" w14:textId="7C63DB46">
          <w:pPr>
            <w:pStyle w:val="Header"/>
            <w:bidi w:val="0"/>
            <w:jc w:val="center"/>
          </w:pPr>
        </w:p>
      </w:tc>
      <w:tc>
        <w:tcPr>
          <w:tcW w:w="3120" w:type="dxa"/>
          <w:tcMar/>
        </w:tcPr>
        <w:p w:rsidR="0C9EA76E" w:rsidP="0C9EA76E" w:rsidRDefault="0C9EA76E" w14:paraId="3760F21E" w14:textId="1C012144">
          <w:pPr>
            <w:pStyle w:val="Header"/>
            <w:bidi w:val="0"/>
            <w:ind w:right="-115"/>
            <w:jc w:val="right"/>
            <w:rPr>
              <w:rFonts w:ascii="Arial" w:hAnsi="Arial" w:eastAsia="Arial" w:cs="Arial"/>
              <w:noProof w:val="0"/>
              <w:sz w:val="24"/>
              <w:szCs w:val="24"/>
              <w:lang w:val="en-GB"/>
            </w:rPr>
          </w:pPr>
          <w:r w:rsidR="0C9EA76E">
            <w:drawing>
              <wp:inline wp14:editId="0E846EE9" wp14:anchorId="2A0CB9AB">
                <wp:extent cx="742950" cy="479203"/>
                <wp:effectExtent l="0" t="0" r="0" b="0"/>
                <wp:docPr id="1517107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97222675" name="Picture 169722267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36072870">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742950" cy="479203"/>
                        </a:xfrm>
                        <a:prstGeom xmlns:a="http://schemas.openxmlformats.org/drawingml/2006/main" prst="rect">
                          <a:avLst xmlns:a="http://schemas.openxmlformats.org/drawingml/2006/main"/>
                        </a:prstGeom>
                      </pic:spPr>
                    </pic:pic>
                  </a:graphicData>
                </a:graphic>
              </wp:inline>
            </w:drawing>
          </w:r>
        </w:p>
      </w:tc>
    </w:tr>
  </w:tbl>
  <w:p w:rsidR="0C9EA76E" w:rsidP="0C9EA76E" w:rsidRDefault="0C9EA76E" w14:paraId="777530CC" w14:textId="15F1B336">
    <w:pPr>
      <w:pStyle w:val="Header"/>
      <w:bidi w:val="0"/>
    </w:pPr>
  </w:p>
</w:hdr>
</file>

<file path=word/numbering.xml><?xml version="1.0" encoding="utf-8"?>
<w:numbering xmlns:w="http://schemas.openxmlformats.org/wordprocessingml/2006/main">
  <w:abstractNum xmlns:w="http://schemas.openxmlformats.org/wordprocessingml/2006/main" w:abstractNumId="1">
    <w:nsid w:val="173310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2E8FE"/>
    <w:rsid w:val="0059F16D"/>
    <w:rsid w:val="02077294"/>
    <w:rsid w:val="02D06E45"/>
    <w:rsid w:val="036D1112"/>
    <w:rsid w:val="036D1112"/>
    <w:rsid w:val="0543030C"/>
    <w:rsid w:val="082E4A98"/>
    <w:rsid w:val="08783FD7"/>
    <w:rsid w:val="08783FD7"/>
    <w:rsid w:val="09C08EC9"/>
    <w:rsid w:val="0A0F90AC"/>
    <w:rsid w:val="0B01F7F2"/>
    <w:rsid w:val="0B1D819C"/>
    <w:rsid w:val="0B363C26"/>
    <w:rsid w:val="0B6F8FC5"/>
    <w:rsid w:val="0B7910BF"/>
    <w:rsid w:val="0C362CAD"/>
    <w:rsid w:val="0C9EA76E"/>
    <w:rsid w:val="0DCF6639"/>
    <w:rsid w:val="0FD00FF0"/>
    <w:rsid w:val="13F4C2C6"/>
    <w:rsid w:val="14C1CCE3"/>
    <w:rsid w:val="1827C520"/>
    <w:rsid w:val="1C7D8978"/>
    <w:rsid w:val="1D01351F"/>
    <w:rsid w:val="1D21D21C"/>
    <w:rsid w:val="1DF84624"/>
    <w:rsid w:val="1E1E3719"/>
    <w:rsid w:val="1FC0FDB6"/>
    <w:rsid w:val="214C5167"/>
    <w:rsid w:val="219060DB"/>
    <w:rsid w:val="2208A5DB"/>
    <w:rsid w:val="236C8A03"/>
    <w:rsid w:val="236C8A03"/>
    <w:rsid w:val="24E074E4"/>
    <w:rsid w:val="25A4A206"/>
    <w:rsid w:val="26BCABAF"/>
    <w:rsid w:val="26BCABAF"/>
    <w:rsid w:val="26CC2292"/>
    <w:rsid w:val="27A3FBA1"/>
    <w:rsid w:val="293F98FA"/>
    <w:rsid w:val="2A53606D"/>
    <w:rsid w:val="2F9A8FC3"/>
    <w:rsid w:val="304B001C"/>
    <w:rsid w:val="308CD1D6"/>
    <w:rsid w:val="308CD1D6"/>
    <w:rsid w:val="3098AF6B"/>
    <w:rsid w:val="326026A9"/>
    <w:rsid w:val="351151E6"/>
    <w:rsid w:val="3627378C"/>
    <w:rsid w:val="37096941"/>
    <w:rsid w:val="37325F24"/>
    <w:rsid w:val="3989E3D8"/>
    <w:rsid w:val="3A99D0A3"/>
    <w:rsid w:val="3B9FD7B8"/>
    <w:rsid w:val="3B9FD7B8"/>
    <w:rsid w:val="3C4BBB01"/>
    <w:rsid w:val="441C2274"/>
    <w:rsid w:val="44CEFD11"/>
    <w:rsid w:val="45F4FAB2"/>
    <w:rsid w:val="46A92009"/>
    <w:rsid w:val="489537D4"/>
    <w:rsid w:val="4951C892"/>
    <w:rsid w:val="4B164D37"/>
    <w:rsid w:val="4B42FC9B"/>
    <w:rsid w:val="4CEAE7F5"/>
    <w:rsid w:val="5B401A17"/>
    <w:rsid w:val="5D5FC78B"/>
    <w:rsid w:val="608345BC"/>
    <w:rsid w:val="6368CFB8"/>
    <w:rsid w:val="63920FD0"/>
    <w:rsid w:val="63920FD0"/>
    <w:rsid w:val="645E433E"/>
    <w:rsid w:val="64AC2C07"/>
    <w:rsid w:val="64FDD81E"/>
    <w:rsid w:val="654E984E"/>
    <w:rsid w:val="65607A22"/>
    <w:rsid w:val="682D41F1"/>
    <w:rsid w:val="682D41F1"/>
    <w:rsid w:val="68DAF06C"/>
    <w:rsid w:val="6BDB13C3"/>
    <w:rsid w:val="6C30DCFF"/>
    <w:rsid w:val="6C57F5ED"/>
    <w:rsid w:val="6C71916A"/>
    <w:rsid w:val="6C82162C"/>
    <w:rsid w:val="6CFA5C94"/>
    <w:rsid w:val="6E0411D9"/>
    <w:rsid w:val="6F642866"/>
    <w:rsid w:val="6F801CDB"/>
    <w:rsid w:val="703A7DA3"/>
    <w:rsid w:val="708D6834"/>
    <w:rsid w:val="72459F68"/>
    <w:rsid w:val="74445E7E"/>
    <w:rsid w:val="749D3610"/>
    <w:rsid w:val="75E4B417"/>
    <w:rsid w:val="7662E8FE"/>
    <w:rsid w:val="76EB99DD"/>
    <w:rsid w:val="7B47D628"/>
    <w:rsid w:val="7B93756C"/>
    <w:rsid w:val="7D26CFEA"/>
    <w:rsid w:val="7D608927"/>
    <w:rsid w:val="7FBF7E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B6D3E"/>
  <w15:chartTrackingRefBased/>
  <w15:docId w15:val="{46BB3C09-41C4-48FD-9933-AD367C636F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C9EA76E"/>
    <w:pPr>
      <w:tabs>
        <w:tab w:val="center" w:leader="none" w:pos="4680"/>
        <w:tab w:val="right" w:leader="none" w:pos="9360"/>
      </w:tabs>
      <w:spacing w:after="0" w:line="240" w:lineRule="auto"/>
    </w:pPr>
  </w:style>
  <w:style w:type="paragraph" w:styleId="Footer">
    <w:uiPriority w:val="99"/>
    <w:name w:val="footer"/>
    <w:basedOn w:val="Normal"/>
    <w:unhideWhenUsed/>
    <w:rsid w:val="0C9EA76E"/>
    <w:pPr>
      <w:tabs>
        <w:tab w:val="center" w:leader="none" w:pos="4680"/>
        <w:tab w:val="right" w:leader="none" w:pos="9360"/>
      </w:tabs>
      <w:spacing w:after="0" w:line="240" w:lineRule="auto"/>
    </w:pPr>
  </w:style>
  <w:style w:type="paragraph" w:styleId="Heading1">
    <w:uiPriority w:val="9"/>
    <w:name w:val="heading 1"/>
    <w:basedOn w:val="Normal"/>
    <w:next w:val="Normal"/>
    <w:qFormat/>
    <w:rsid w:val="0C9EA7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C9EA7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C9EA76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87c40c62bd04038" /><Relationship Type="http://schemas.openxmlformats.org/officeDocument/2006/relationships/footer" Target="footer.xml" Id="R0e98c3aa6e0a47b2" /><Relationship Type="http://schemas.openxmlformats.org/officeDocument/2006/relationships/numbering" Target="numbering.xml" Id="R257b3a1e73924760" /><Relationship Type="http://schemas.openxmlformats.org/officeDocument/2006/relationships/image" Target="/media/image2.png" Id="rId569366330" /></Relationships>
</file>

<file path=word/_rels/header.xml.rels>&#65279;<?xml version="1.0" encoding="utf-8"?><Relationships xmlns="http://schemas.openxmlformats.org/package/2006/relationships"><Relationship Type="http://schemas.openxmlformats.org/officeDocument/2006/relationships/image" Target="/media/image.png" Id="rId3360728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2026-08-12T23:55:22.3978405Z</dcterms:created>
  <dcterms:modified xsi:type="dcterms:W3CDTF">2026-08-13T19:55:20.3652828Z</dcterms:modified>
  <dc:creator>Aayushkumar Parmar (2517971)</dc:creator>
  <lastModifiedBy>Aayushkumar Parmar (2517971)</lastModifiedBy>
</coreProperties>
</file>