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BACCC" w14:textId="6F0F8CA5" w:rsidR="0052374A" w:rsidRDefault="003B26D7">
      <w:pPr>
        <w:rPr>
          <w:rFonts w:ascii="Bookman Old Style" w:hAnsi="Bookman Old Style"/>
        </w:rPr>
      </w:pPr>
      <w:r>
        <w:rPr>
          <w:rFonts w:ascii="Bookman Old Style" w:hAnsi="Bookman Old Style"/>
        </w:rPr>
        <w:t>In Triggers, defining early civilisations he pulls upon V. Gordon Childe’s ten key characteristics of a civilisation, through his work as an archaeologist and anthropologist attempting to define an urban revolution</w:t>
      </w:r>
      <w:r w:rsidR="002F496F">
        <w:rPr>
          <w:rFonts w:ascii="Bookman Old Style" w:hAnsi="Bookman Old Style"/>
        </w:rPr>
        <w:t>. Many, if not all characterises link in one way or another to the Egyptian civilisation and so through linking this particular civilisation to those characteristics show in his view how it was a complex, urban civilisation.</w:t>
      </w:r>
    </w:p>
    <w:p w14:paraId="5DFAD1B9" w14:textId="6B89C1D2" w:rsidR="00F95117" w:rsidRDefault="002F496F">
      <w:pPr>
        <w:rPr>
          <w:rFonts w:ascii="Bookman Old Style" w:hAnsi="Bookman Old Style"/>
        </w:rPr>
      </w:pPr>
      <w:r>
        <w:rPr>
          <w:rFonts w:ascii="Bookman Old Style" w:hAnsi="Bookman Old Style"/>
        </w:rPr>
        <w:t xml:space="preserve">One of the characteristics Childe includes within the ten is </w:t>
      </w:r>
      <w:r w:rsidRPr="00FE295D">
        <w:rPr>
          <w:rFonts w:ascii="Bookman Old Style" w:hAnsi="Bookman Old Style"/>
          <w:i/>
          <w:iCs/>
        </w:rPr>
        <w:t>‘primary producers paying surpluses to a deity or divide ruler’.</w:t>
      </w:r>
      <w:r w:rsidR="000A4C88" w:rsidRPr="00FE295D">
        <w:rPr>
          <w:rStyle w:val="FootnoteReference"/>
          <w:rFonts w:ascii="Bookman Old Style" w:hAnsi="Bookman Old Style"/>
          <w:i/>
          <w:iCs/>
        </w:rPr>
        <w:footnoteReference w:id="1"/>
      </w:r>
      <w:r>
        <w:rPr>
          <w:rFonts w:ascii="Bookman Old Style" w:hAnsi="Bookman Old Style"/>
        </w:rPr>
        <w:t xml:space="preserve"> </w:t>
      </w:r>
      <w:r w:rsidR="002960DB">
        <w:rPr>
          <w:rFonts w:ascii="Bookman Old Style" w:hAnsi="Bookman Old Style"/>
        </w:rPr>
        <w:t>The Egyptian gods and goddesses were core to their culture</w:t>
      </w:r>
      <w:r w:rsidR="0058770C">
        <w:rPr>
          <w:rFonts w:ascii="Bookman Old Style" w:hAnsi="Bookman Old Style"/>
        </w:rPr>
        <w:t>. The ancient Egyptians were polytheistic and so, they believed in many different gods which they believed were able to directly intervene in the universe</w:t>
      </w:r>
      <w:r w:rsidR="00113125">
        <w:rPr>
          <w:rFonts w:ascii="Bookman Old Style" w:hAnsi="Bookman Old Style"/>
        </w:rPr>
        <w:t xml:space="preserve">, </w:t>
      </w:r>
      <w:r w:rsidR="000A4C88" w:rsidRPr="00FE295D">
        <w:rPr>
          <w:rFonts w:ascii="Bookman Old Style" w:hAnsi="Bookman Old Style"/>
          <w:i/>
          <w:iCs/>
        </w:rPr>
        <w:t>‘</w:t>
      </w:r>
      <w:r w:rsidR="00113125" w:rsidRPr="00FE295D">
        <w:rPr>
          <w:rFonts w:ascii="Bookman Old Style" w:hAnsi="Bookman Old Style"/>
          <w:i/>
          <w:iCs/>
        </w:rPr>
        <w:t>the Egyptians populated [their world] with an ever-growing array of divine beings – deities and demons who exercised an influence on every aspect of life in this world and the next, and who had to be appeased, controlled and sometimes threatened</w:t>
      </w:r>
      <w:r w:rsidR="000A4C88" w:rsidRPr="00FE295D">
        <w:rPr>
          <w:rFonts w:ascii="Bookman Old Style" w:hAnsi="Bookman Old Style"/>
          <w:i/>
          <w:iCs/>
        </w:rPr>
        <w:t>’.</w:t>
      </w:r>
      <w:r w:rsidR="000A4C88" w:rsidRPr="00FE295D">
        <w:rPr>
          <w:rStyle w:val="FootnoteReference"/>
          <w:rFonts w:ascii="Bookman Old Style" w:hAnsi="Bookman Old Style"/>
          <w:i/>
          <w:iCs/>
        </w:rPr>
        <w:footnoteReference w:id="2"/>
      </w:r>
      <w:r w:rsidR="006E7901">
        <w:rPr>
          <w:rFonts w:ascii="Bookman Old Style" w:hAnsi="Bookman Old Style"/>
        </w:rPr>
        <w:t xml:space="preserve"> The Egyptians liked their Kings to gods, although not all Kings were </w:t>
      </w:r>
      <w:r w:rsidR="006E7901" w:rsidRPr="006E7901">
        <w:rPr>
          <w:rFonts w:ascii="Bookman Old Style" w:hAnsi="Bookman Old Style"/>
        </w:rPr>
        <w:t>deified</w:t>
      </w:r>
      <w:r w:rsidR="006E7901">
        <w:rPr>
          <w:rFonts w:ascii="Bookman Old Style" w:hAnsi="Bookman Old Style"/>
        </w:rPr>
        <w:t>, those who were believed that they were reincarnations of the god, Horus</w:t>
      </w:r>
      <w:r w:rsidR="00363C16">
        <w:rPr>
          <w:rFonts w:ascii="Bookman Old Style" w:hAnsi="Bookman Old Style"/>
        </w:rPr>
        <w:t>. The Egyptian people were extremely loyal to their gods, and so when asked to work for the king, in terms of building pyramids, for example, they saw it as serving the gods and thus obliged willingly</w:t>
      </w:r>
      <w:r w:rsidR="00363C16" w:rsidRPr="00FE295D">
        <w:rPr>
          <w:rFonts w:ascii="Bookman Old Style" w:hAnsi="Bookman Old Style"/>
          <w:i/>
          <w:iCs/>
        </w:rPr>
        <w:t>; ‘the official honour paid to the king was similar to that given to a god.’</w:t>
      </w:r>
      <w:r w:rsidR="000A4C88" w:rsidRPr="00FE295D">
        <w:rPr>
          <w:rStyle w:val="FootnoteReference"/>
          <w:rFonts w:ascii="Bookman Old Style" w:hAnsi="Bookman Old Style"/>
          <w:i/>
          <w:iCs/>
        </w:rPr>
        <w:footnoteReference w:id="3"/>
      </w:r>
      <w:r w:rsidR="000A4C88">
        <w:rPr>
          <w:rFonts w:ascii="Bookman Old Style" w:hAnsi="Bookman Old Style"/>
        </w:rPr>
        <w:t xml:space="preserve"> In places such as the temples, offerings were frequently made to the gods, consisting of produce, ointments, food and beverages, differing slightly from Childe’s idea as most people made significant offerings to the gods other than just primary producers.</w:t>
      </w:r>
    </w:p>
    <w:p w14:paraId="61ED7D01" w14:textId="6D8102A7" w:rsidR="006E7901" w:rsidRDefault="0058770C">
      <w:pPr>
        <w:rPr>
          <w:rFonts w:ascii="Bookman Old Style" w:hAnsi="Bookman Old Style"/>
        </w:rPr>
      </w:pPr>
      <w:r>
        <w:rPr>
          <w:rFonts w:ascii="Bookman Old Style" w:hAnsi="Bookman Old Style"/>
        </w:rPr>
        <w:t xml:space="preserve"> Another one of Childe’s characteristics is monumental architecture, which links rather closely to the </w:t>
      </w:r>
      <w:r w:rsidR="00763B3F">
        <w:rPr>
          <w:rFonts w:ascii="Bookman Old Style" w:hAnsi="Bookman Old Style"/>
        </w:rPr>
        <w:t xml:space="preserve">previously mentioned characteristic of paying surpluses to a deity or divine ruler as many of the Egyptians most significant or monumental architecture was built to appease the gods, for worship or to bury the pharaohs in (Pyramids) who were considered gods on earth. </w:t>
      </w:r>
      <w:r w:rsidR="00F95117">
        <w:rPr>
          <w:rFonts w:ascii="Bookman Old Style" w:hAnsi="Bookman Old Style"/>
        </w:rPr>
        <w:t>The temples for example were built ‘to embody creation on a grand scale’</w:t>
      </w:r>
      <w:r w:rsidR="000A4C88">
        <w:rPr>
          <w:rStyle w:val="FootnoteReference"/>
          <w:rFonts w:ascii="Bookman Old Style" w:hAnsi="Bookman Old Style"/>
        </w:rPr>
        <w:footnoteReference w:id="4"/>
      </w:r>
      <w:r w:rsidR="00F95117">
        <w:rPr>
          <w:rFonts w:ascii="Bookman Old Style" w:hAnsi="Bookman Old Style"/>
        </w:rPr>
        <w:t xml:space="preserve"> </w:t>
      </w:r>
      <w:r w:rsidR="000C2797">
        <w:rPr>
          <w:rFonts w:ascii="Bookman Old Style" w:hAnsi="Bookman Old Style"/>
        </w:rPr>
        <w:t>which was an ideal closely linked to the gods, and these temples were decorated; the walls showed the needs of the gods portrayed through the king</w:t>
      </w:r>
      <w:r w:rsidR="00773410">
        <w:rPr>
          <w:rFonts w:ascii="Bookman Old Style" w:hAnsi="Bookman Old Style"/>
        </w:rPr>
        <w:t xml:space="preserve">, and he </w:t>
      </w:r>
      <w:r w:rsidR="00773410" w:rsidRPr="00FE295D">
        <w:rPr>
          <w:rFonts w:ascii="Bookman Old Style" w:hAnsi="Bookman Old Style"/>
          <w:i/>
          <w:iCs/>
        </w:rPr>
        <w:t>‘laid out sumptuous feasts for the gods nourishment’</w:t>
      </w:r>
      <w:r w:rsidR="000A4C88" w:rsidRPr="00FE295D">
        <w:rPr>
          <w:rStyle w:val="FootnoteReference"/>
          <w:rFonts w:ascii="Bookman Old Style" w:hAnsi="Bookman Old Style"/>
          <w:i/>
          <w:iCs/>
        </w:rPr>
        <w:footnoteReference w:id="5"/>
      </w:r>
      <w:r w:rsidR="00773410">
        <w:rPr>
          <w:rFonts w:ascii="Bookman Old Style" w:hAnsi="Bookman Old Style"/>
        </w:rPr>
        <w:t xml:space="preserve"> which would fulfil Childe’s characteristic as the god was offered these fruits and in return the god would give back to the king in terms of strength and stability. </w:t>
      </w:r>
    </w:p>
    <w:p w14:paraId="748E8374" w14:textId="07F3F17B" w:rsidR="00FE71F5" w:rsidRDefault="00FE71F5">
      <w:pPr>
        <w:rPr>
          <w:rFonts w:ascii="Bookman Old Style" w:hAnsi="Bookman Old Style"/>
        </w:rPr>
      </w:pPr>
      <w:r>
        <w:rPr>
          <w:rFonts w:ascii="Bookman Old Style" w:hAnsi="Bookman Old Style"/>
        </w:rPr>
        <w:t xml:space="preserve">According to Trigger, Childe defined some of his characteristics, such as having systems of recording, </w:t>
      </w:r>
      <w:r w:rsidRPr="00FE295D">
        <w:rPr>
          <w:rFonts w:ascii="Bookman Old Style" w:hAnsi="Bookman Old Style"/>
          <w:i/>
          <w:iCs/>
        </w:rPr>
        <w:t>‘in a loose or abstract rather than operational manner’</w:t>
      </w:r>
      <w:r w:rsidR="000A4C88" w:rsidRPr="00FE295D">
        <w:rPr>
          <w:rStyle w:val="FootnoteReference"/>
          <w:rFonts w:ascii="Bookman Old Style" w:hAnsi="Bookman Old Style"/>
          <w:i/>
          <w:iCs/>
        </w:rPr>
        <w:footnoteReference w:id="6"/>
      </w:r>
      <w:r w:rsidRPr="00FE295D">
        <w:rPr>
          <w:rFonts w:ascii="Bookman Old Style" w:hAnsi="Bookman Old Style"/>
          <w:i/>
          <w:iCs/>
        </w:rPr>
        <w:t xml:space="preserve"> </w:t>
      </w:r>
      <w:r>
        <w:rPr>
          <w:rFonts w:ascii="Bookman Old Style" w:hAnsi="Bookman Old Style"/>
        </w:rPr>
        <w:t xml:space="preserve">which is beneficial when using Childe’s characteristics to apply to a civilisation such as the Ancient Egyptian, a culture that has been continuously dubbed as different and shrouded in mystery. If looking at the most abstract view of the characteristic systems of recording, we are then able to look at Egyptian hieroglyphics. Differing massively to the Greek and Latin used by the Roman and Greek civilisations that were fully established languages, to such an extent that words used in the modern day derive from both languages. Instead hieroglyphics </w:t>
      </w:r>
      <w:r w:rsidR="008213BF">
        <w:rPr>
          <w:rFonts w:ascii="Bookman Old Style" w:hAnsi="Bookman Old Style"/>
        </w:rPr>
        <w:t xml:space="preserve">were a way of </w:t>
      </w:r>
      <w:r w:rsidR="008213BF">
        <w:rPr>
          <w:rFonts w:ascii="Bookman Old Style" w:hAnsi="Bookman Old Style"/>
        </w:rPr>
        <w:lastRenderedPageBreak/>
        <w:t>communicating</w:t>
      </w:r>
      <w:r w:rsidR="001036E0">
        <w:rPr>
          <w:rFonts w:ascii="Bookman Old Style" w:hAnsi="Bookman Old Style"/>
        </w:rPr>
        <w:t xml:space="preserve"> and recording based of the Egyptians own needs and requirements through a pictorial method, which is now considered an </w:t>
      </w:r>
      <w:r w:rsidR="001036E0" w:rsidRPr="00FE295D">
        <w:rPr>
          <w:rFonts w:ascii="Bookman Old Style" w:hAnsi="Bookman Old Style"/>
          <w:i/>
          <w:iCs/>
        </w:rPr>
        <w:t>‘archaic language’.</w:t>
      </w:r>
      <w:r w:rsidR="00FE295D" w:rsidRPr="00FE295D">
        <w:rPr>
          <w:rStyle w:val="FootnoteReference"/>
          <w:rFonts w:ascii="Bookman Old Style" w:hAnsi="Bookman Old Style"/>
          <w:i/>
          <w:iCs/>
        </w:rPr>
        <w:footnoteReference w:id="7"/>
      </w:r>
      <w:r w:rsidR="001036E0">
        <w:rPr>
          <w:rFonts w:ascii="Bookman Old Style" w:hAnsi="Bookman Old Style"/>
        </w:rPr>
        <w:t xml:space="preserve"> As we are unable to pronounce this form of Egyptian it makes it harder to understand it’s specific meaning and so Childe looking at some of these characteristics in an abstract manor benefits those who apply it to the Egyptian civilisation; despite the fact that their language doesn’t help someone in the modern era completely grasp their meaning, through Childe’s method it would still be considered a complex society for this because it was an efficient system of recording for them at the time. </w:t>
      </w:r>
    </w:p>
    <w:p w14:paraId="37FE6C26" w14:textId="7A841B26" w:rsidR="0018248C" w:rsidRDefault="0018248C">
      <w:pPr>
        <w:rPr>
          <w:rFonts w:ascii="Bookman Old Style" w:hAnsi="Bookman Old Style"/>
        </w:rPr>
      </w:pPr>
      <w:r>
        <w:rPr>
          <w:rFonts w:ascii="Bookman Old Style" w:hAnsi="Bookman Old Style"/>
        </w:rPr>
        <w:t xml:space="preserve">It is clear that Childe’s characteristics are a good basis for determining a complex society, and from him allowing select characteristics to be applied somewhat loosely means that more early civilisations work with the characteristics. From looking at a handful of the ten mentioned in Triggers book, they are easily applied to the ancient Egyptian civilisation, along with many other early civilisations. Childe essentially, compiled a list of the key elements to a civilisation, and although these elements may differ slightly, when comparing the Egyptian language to the Greek language for example, they are feature prominently in a civilisation and thus show the workings of a complex society.  </w:t>
      </w:r>
    </w:p>
    <w:sdt>
      <w:sdtPr>
        <w:id w:val="-107350902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666D101" w14:textId="795F3347" w:rsidR="00D3040F" w:rsidRDefault="00D3040F">
          <w:pPr>
            <w:pStyle w:val="Heading1"/>
          </w:pPr>
          <w:r>
            <w:t>Bibliography</w:t>
          </w:r>
        </w:p>
        <w:sdt>
          <w:sdtPr>
            <w:id w:val="111145805"/>
            <w:bibliography/>
          </w:sdtPr>
          <w:sdtContent>
            <w:p w14:paraId="482C9E0F" w14:textId="77777777" w:rsidR="00D3040F" w:rsidRDefault="00D3040F" w:rsidP="00D3040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Davies, V. &amp;. (1998). </w:t>
              </w:r>
              <w:r>
                <w:rPr>
                  <w:i/>
                  <w:iCs/>
                  <w:noProof/>
                  <w:lang w:val="en-US"/>
                </w:rPr>
                <w:t>Egypt .</w:t>
              </w:r>
              <w:r>
                <w:rPr>
                  <w:noProof/>
                  <w:lang w:val="en-US"/>
                </w:rPr>
                <w:t xml:space="preserve"> London: British Museum Press.</w:t>
              </w:r>
            </w:p>
            <w:p w14:paraId="72B87D30" w14:textId="77777777" w:rsidR="00D3040F" w:rsidRDefault="00D3040F" w:rsidP="00D3040F">
              <w:pPr>
                <w:pStyle w:val="Bibliography"/>
                <w:ind w:left="720" w:hanging="720"/>
                <w:rPr>
                  <w:noProof/>
                  <w:lang w:val="en-US"/>
                </w:rPr>
              </w:pPr>
              <w:r>
                <w:rPr>
                  <w:noProof/>
                  <w:lang w:val="en-US"/>
                </w:rPr>
                <w:t xml:space="preserve">Johnson, P. (1999). </w:t>
              </w:r>
              <w:r>
                <w:rPr>
                  <w:i/>
                  <w:iCs/>
                  <w:noProof/>
                  <w:lang w:val="en-US"/>
                </w:rPr>
                <w:t>The Civilsation of Ancient Egypt.</w:t>
              </w:r>
              <w:r>
                <w:rPr>
                  <w:noProof/>
                  <w:lang w:val="en-US"/>
                </w:rPr>
                <w:t xml:space="preserve"> London: Weidenfeld and Nicolson.</w:t>
              </w:r>
            </w:p>
            <w:p w14:paraId="2AA78F2D" w14:textId="77777777" w:rsidR="00D3040F" w:rsidRDefault="00D3040F" w:rsidP="00D3040F">
              <w:pPr>
                <w:pStyle w:val="Bibliography"/>
                <w:ind w:left="720" w:hanging="720"/>
                <w:rPr>
                  <w:noProof/>
                  <w:lang w:val="en-US"/>
                </w:rPr>
              </w:pPr>
              <w:r>
                <w:rPr>
                  <w:noProof/>
                  <w:lang w:val="en-US"/>
                </w:rPr>
                <w:t xml:space="preserve">Trigger, B. (2003). </w:t>
              </w:r>
              <w:r>
                <w:rPr>
                  <w:i/>
                  <w:iCs/>
                  <w:noProof/>
                  <w:lang w:val="en-US"/>
                </w:rPr>
                <w:t>Defining Early Civilisations.</w:t>
              </w:r>
              <w:r>
                <w:rPr>
                  <w:noProof/>
                  <w:lang w:val="en-US"/>
                </w:rPr>
                <w:t xml:space="preserve"> Cambridge : Cambridge University Press.</w:t>
              </w:r>
            </w:p>
            <w:p w14:paraId="792C8B2F" w14:textId="77777777" w:rsidR="00D3040F" w:rsidRDefault="00D3040F" w:rsidP="00D3040F">
              <w:pPr>
                <w:pStyle w:val="Bibliography"/>
                <w:ind w:left="720" w:hanging="720"/>
                <w:rPr>
                  <w:noProof/>
                  <w:lang w:val="en-US"/>
                </w:rPr>
              </w:pPr>
              <w:r>
                <w:rPr>
                  <w:noProof/>
                  <w:lang w:val="en-US"/>
                </w:rPr>
                <w:t xml:space="preserve">Wallis Brudge, E. &amp;. (1914). </w:t>
              </w:r>
              <w:r>
                <w:rPr>
                  <w:i/>
                  <w:iCs/>
                  <w:noProof/>
                  <w:lang w:val="en-US"/>
                </w:rPr>
                <w:t>The Short History of the Egyptian People.</w:t>
              </w:r>
              <w:r>
                <w:rPr>
                  <w:noProof/>
                  <w:lang w:val="en-US"/>
                </w:rPr>
                <w:t xml:space="preserve"> London: J.M Dent &amp; Sons Limited .</w:t>
              </w:r>
            </w:p>
            <w:p w14:paraId="116CF932" w14:textId="256045B7" w:rsidR="00D3040F" w:rsidRDefault="00D3040F" w:rsidP="00D3040F">
              <w:r>
                <w:rPr>
                  <w:b/>
                  <w:bCs/>
                  <w:noProof/>
                </w:rPr>
                <w:fldChar w:fldCharType="end"/>
              </w:r>
            </w:p>
          </w:sdtContent>
        </w:sdt>
      </w:sdtContent>
    </w:sdt>
    <w:p w14:paraId="43F019B0" w14:textId="77777777" w:rsidR="006E7901" w:rsidRPr="0052374A" w:rsidRDefault="006E7901">
      <w:pPr>
        <w:rPr>
          <w:rFonts w:ascii="Bookman Old Style" w:hAnsi="Bookman Old Style"/>
        </w:rPr>
      </w:pPr>
      <w:bookmarkStart w:id="0" w:name="_GoBack"/>
      <w:bookmarkEnd w:id="0"/>
    </w:p>
    <w:sectPr w:rsidR="006E7901" w:rsidRPr="005237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00EAD" w14:textId="77777777" w:rsidR="000958F5" w:rsidRDefault="000958F5" w:rsidP="000A4C88">
      <w:pPr>
        <w:spacing w:after="0" w:line="240" w:lineRule="auto"/>
      </w:pPr>
      <w:r>
        <w:separator/>
      </w:r>
    </w:p>
  </w:endnote>
  <w:endnote w:type="continuationSeparator" w:id="0">
    <w:p w14:paraId="24A23EB8" w14:textId="77777777" w:rsidR="000958F5" w:rsidRDefault="000958F5" w:rsidP="000A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76170" w14:textId="77777777" w:rsidR="000958F5" w:rsidRDefault="000958F5" w:rsidP="000A4C88">
      <w:pPr>
        <w:spacing w:after="0" w:line="240" w:lineRule="auto"/>
      </w:pPr>
      <w:r>
        <w:separator/>
      </w:r>
    </w:p>
  </w:footnote>
  <w:footnote w:type="continuationSeparator" w:id="0">
    <w:p w14:paraId="15E0F8C9" w14:textId="77777777" w:rsidR="000958F5" w:rsidRDefault="000958F5" w:rsidP="000A4C88">
      <w:pPr>
        <w:spacing w:after="0" w:line="240" w:lineRule="auto"/>
      </w:pPr>
      <w:r>
        <w:continuationSeparator/>
      </w:r>
    </w:p>
  </w:footnote>
  <w:footnote w:id="1">
    <w:p w14:paraId="16F67ABF" w14:textId="19A4FDAB" w:rsidR="000A4C88" w:rsidRDefault="000A4C88">
      <w:pPr>
        <w:pStyle w:val="FootnoteText"/>
      </w:pPr>
      <w:r>
        <w:rPr>
          <w:rStyle w:val="FootnoteReference"/>
        </w:rPr>
        <w:footnoteRef/>
      </w:r>
      <w:r>
        <w:t xml:space="preserve"> </w:t>
      </w:r>
      <w:sdt>
        <w:sdtPr>
          <w:id w:val="1896468990"/>
          <w:citation/>
        </w:sdtPr>
        <w:sdtEndPr/>
        <w:sdtContent>
          <w:r>
            <w:fldChar w:fldCharType="begin"/>
          </w:r>
          <w:r>
            <w:instrText xml:space="preserve"> CITATION Tri03 \l 2057 </w:instrText>
          </w:r>
          <w:r>
            <w:fldChar w:fldCharType="separate"/>
          </w:r>
          <w:r>
            <w:rPr>
              <w:noProof/>
            </w:rPr>
            <w:t>(Trigger, 2003)</w:t>
          </w:r>
          <w:r>
            <w:fldChar w:fldCharType="end"/>
          </w:r>
        </w:sdtContent>
      </w:sdt>
    </w:p>
  </w:footnote>
  <w:footnote w:id="2">
    <w:p w14:paraId="6A96FB66" w14:textId="6D84F1DD" w:rsidR="000A4C88" w:rsidRDefault="000A4C88">
      <w:pPr>
        <w:pStyle w:val="FootnoteText"/>
      </w:pPr>
      <w:r>
        <w:rPr>
          <w:rStyle w:val="FootnoteReference"/>
        </w:rPr>
        <w:footnoteRef/>
      </w:r>
      <w:r>
        <w:t xml:space="preserve"> </w:t>
      </w:r>
      <w:sdt>
        <w:sdtPr>
          <w:id w:val="-1806688755"/>
          <w:citation/>
        </w:sdtPr>
        <w:sdtEndPr/>
        <w:sdtContent>
          <w:r w:rsidR="00FE295D">
            <w:fldChar w:fldCharType="begin"/>
          </w:r>
          <w:r w:rsidR="00FE295D">
            <w:instrText xml:space="preserve"> CITATION Dav98 \l 2057 </w:instrText>
          </w:r>
          <w:r w:rsidR="00FE295D">
            <w:fldChar w:fldCharType="separate"/>
          </w:r>
          <w:r w:rsidR="00FE295D">
            <w:rPr>
              <w:noProof/>
            </w:rPr>
            <w:t>(Davies, 1998)</w:t>
          </w:r>
          <w:r w:rsidR="00FE295D">
            <w:fldChar w:fldCharType="end"/>
          </w:r>
        </w:sdtContent>
      </w:sdt>
    </w:p>
  </w:footnote>
  <w:footnote w:id="3">
    <w:p w14:paraId="0D634C94" w14:textId="7DA82F0F" w:rsidR="000A4C88" w:rsidRDefault="000A4C88">
      <w:pPr>
        <w:pStyle w:val="FootnoteText"/>
      </w:pPr>
      <w:r>
        <w:rPr>
          <w:rStyle w:val="FootnoteReference"/>
        </w:rPr>
        <w:footnoteRef/>
      </w:r>
      <w:r>
        <w:t xml:space="preserve"> </w:t>
      </w:r>
      <w:sdt>
        <w:sdtPr>
          <w:id w:val="-995961560"/>
          <w:citation/>
        </w:sdtPr>
        <w:sdtEndPr/>
        <w:sdtContent>
          <w:r>
            <w:fldChar w:fldCharType="begin"/>
          </w:r>
          <w:r>
            <w:instrText xml:space="preserve"> CITATION Wal14 \l 2057 </w:instrText>
          </w:r>
          <w:r>
            <w:fldChar w:fldCharType="separate"/>
          </w:r>
          <w:r>
            <w:rPr>
              <w:noProof/>
            </w:rPr>
            <w:t>(Wallis Brudge, 1914)</w:t>
          </w:r>
          <w:r>
            <w:fldChar w:fldCharType="end"/>
          </w:r>
        </w:sdtContent>
      </w:sdt>
    </w:p>
  </w:footnote>
  <w:footnote w:id="4">
    <w:p w14:paraId="2B16B6F9" w14:textId="0ECAA6AC" w:rsidR="000A4C88" w:rsidRDefault="000A4C88">
      <w:pPr>
        <w:pStyle w:val="FootnoteText"/>
      </w:pPr>
      <w:r>
        <w:rPr>
          <w:rStyle w:val="FootnoteReference"/>
        </w:rPr>
        <w:footnoteRef/>
      </w:r>
      <w:r>
        <w:t xml:space="preserve"> </w:t>
      </w:r>
      <w:sdt>
        <w:sdtPr>
          <w:id w:val="-1473519105"/>
          <w:citation/>
        </w:sdtPr>
        <w:sdtEndPr/>
        <w:sdtContent>
          <w:r w:rsidR="00FE295D">
            <w:fldChar w:fldCharType="begin"/>
          </w:r>
          <w:r w:rsidR="00FE295D">
            <w:instrText xml:space="preserve"> CITATION Dav98 \l 2057 </w:instrText>
          </w:r>
          <w:r w:rsidR="00FE295D">
            <w:fldChar w:fldCharType="separate"/>
          </w:r>
          <w:r w:rsidR="00FE295D">
            <w:rPr>
              <w:noProof/>
            </w:rPr>
            <w:t>(Davies, 1998)</w:t>
          </w:r>
          <w:r w:rsidR="00FE295D">
            <w:fldChar w:fldCharType="end"/>
          </w:r>
        </w:sdtContent>
      </w:sdt>
    </w:p>
  </w:footnote>
  <w:footnote w:id="5">
    <w:p w14:paraId="094FB4E3" w14:textId="6331A332" w:rsidR="000A4C88" w:rsidRDefault="000A4C88">
      <w:pPr>
        <w:pStyle w:val="FootnoteText"/>
      </w:pPr>
      <w:r>
        <w:rPr>
          <w:rStyle w:val="FootnoteReference"/>
        </w:rPr>
        <w:footnoteRef/>
      </w:r>
      <w:r>
        <w:t xml:space="preserve"> </w:t>
      </w:r>
      <w:sdt>
        <w:sdtPr>
          <w:id w:val="-192231951"/>
          <w:citation/>
        </w:sdtPr>
        <w:sdtEndPr/>
        <w:sdtContent>
          <w:r w:rsidR="00FE295D">
            <w:fldChar w:fldCharType="begin"/>
          </w:r>
          <w:r w:rsidR="00FE295D">
            <w:instrText xml:space="preserve"> CITATION Dav98 \l 2057 </w:instrText>
          </w:r>
          <w:r w:rsidR="00FE295D">
            <w:fldChar w:fldCharType="separate"/>
          </w:r>
          <w:r w:rsidR="00FE295D">
            <w:rPr>
              <w:noProof/>
            </w:rPr>
            <w:t>(Davies, 1998)</w:t>
          </w:r>
          <w:r w:rsidR="00FE295D">
            <w:fldChar w:fldCharType="end"/>
          </w:r>
        </w:sdtContent>
      </w:sdt>
    </w:p>
  </w:footnote>
  <w:footnote w:id="6">
    <w:p w14:paraId="233032EC" w14:textId="3AD4A41D" w:rsidR="000A4C88" w:rsidRDefault="000A4C88">
      <w:pPr>
        <w:pStyle w:val="FootnoteText"/>
      </w:pPr>
      <w:r>
        <w:rPr>
          <w:rStyle w:val="FootnoteReference"/>
        </w:rPr>
        <w:footnoteRef/>
      </w:r>
      <w:r>
        <w:t xml:space="preserve"> </w:t>
      </w:r>
      <w:sdt>
        <w:sdtPr>
          <w:id w:val="-686756059"/>
          <w:citation/>
        </w:sdtPr>
        <w:sdtEndPr/>
        <w:sdtContent>
          <w:r>
            <w:fldChar w:fldCharType="begin"/>
          </w:r>
          <w:r>
            <w:instrText xml:space="preserve"> CITATION Tri03 \l 2057 </w:instrText>
          </w:r>
          <w:r>
            <w:fldChar w:fldCharType="separate"/>
          </w:r>
          <w:r>
            <w:rPr>
              <w:noProof/>
            </w:rPr>
            <w:t>(Trigger, 2003)</w:t>
          </w:r>
          <w:r>
            <w:fldChar w:fldCharType="end"/>
          </w:r>
        </w:sdtContent>
      </w:sdt>
    </w:p>
  </w:footnote>
  <w:footnote w:id="7">
    <w:p w14:paraId="3483AA71" w14:textId="60505888" w:rsidR="00FE295D" w:rsidRDefault="00FE295D">
      <w:pPr>
        <w:pStyle w:val="FootnoteText"/>
      </w:pPr>
      <w:r>
        <w:rPr>
          <w:rStyle w:val="FootnoteReference"/>
        </w:rPr>
        <w:footnoteRef/>
      </w:r>
      <w:r>
        <w:t xml:space="preserve"> </w:t>
      </w:r>
      <w:sdt>
        <w:sdtPr>
          <w:id w:val="-1422632349"/>
          <w:citation/>
        </w:sdtPr>
        <w:sdtEndPr/>
        <w:sdtContent>
          <w:r>
            <w:fldChar w:fldCharType="begin"/>
          </w:r>
          <w:r>
            <w:instrText xml:space="preserve"> CITATION Joh99 \l 2057 </w:instrText>
          </w:r>
          <w:r>
            <w:fldChar w:fldCharType="separate"/>
          </w:r>
          <w:r>
            <w:rPr>
              <w:noProof/>
            </w:rPr>
            <w:t>(Johnson, 1999)</w:t>
          </w:r>
          <w:r>
            <w:fldChar w:fldCharType="end"/>
          </w:r>
        </w:sdtContent>
      </w:sdt>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4A"/>
    <w:rsid w:val="000958F5"/>
    <w:rsid w:val="000A4C88"/>
    <w:rsid w:val="000C2797"/>
    <w:rsid w:val="001036E0"/>
    <w:rsid w:val="00113125"/>
    <w:rsid w:val="0018248C"/>
    <w:rsid w:val="001875D4"/>
    <w:rsid w:val="002960DB"/>
    <w:rsid w:val="002F496F"/>
    <w:rsid w:val="00363C16"/>
    <w:rsid w:val="003B26D7"/>
    <w:rsid w:val="003B52F8"/>
    <w:rsid w:val="003E06AF"/>
    <w:rsid w:val="004B06FF"/>
    <w:rsid w:val="0052374A"/>
    <w:rsid w:val="0058770C"/>
    <w:rsid w:val="00630878"/>
    <w:rsid w:val="006320F3"/>
    <w:rsid w:val="006B3B04"/>
    <w:rsid w:val="006E7901"/>
    <w:rsid w:val="00763B3F"/>
    <w:rsid w:val="00773410"/>
    <w:rsid w:val="007A0DFF"/>
    <w:rsid w:val="008213BF"/>
    <w:rsid w:val="00AA049F"/>
    <w:rsid w:val="00B94E80"/>
    <w:rsid w:val="00C85069"/>
    <w:rsid w:val="00D3040F"/>
    <w:rsid w:val="00F95117"/>
    <w:rsid w:val="00FE295D"/>
    <w:rsid w:val="00FE7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8D295"/>
  <w15:chartTrackingRefBased/>
  <w15:docId w15:val="{5CA8E971-D95C-402D-988A-986BC7358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40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A4C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4C88"/>
    <w:rPr>
      <w:sz w:val="20"/>
      <w:szCs w:val="20"/>
    </w:rPr>
  </w:style>
  <w:style w:type="character" w:styleId="FootnoteReference">
    <w:name w:val="footnote reference"/>
    <w:basedOn w:val="DefaultParagraphFont"/>
    <w:uiPriority w:val="99"/>
    <w:semiHidden/>
    <w:unhideWhenUsed/>
    <w:rsid w:val="000A4C88"/>
    <w:rPr>
      <w:vertAlign w:val="superscript"/>
    </w:rPr>
  </w:style>
  <w:style w:type="character" w:customStyle="1" w:styleId="Heading1Char">
    <w:name w:val="Heading 1 Char"/>
    <w:basedOn w:val="DefaultParagraphFont"/>
    <w:link w:val="Heading1"/>
    <w:uiPriority w:val="9"/>
    <w:rsid w:val="00D304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30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337101">
      <w:bodyDiv w:val="1"/>
      <w:marLeft w:val="0"/>
      <w:marRight w:val="0"/>
      <w:marTop w:val="0"/>
      <w:marBottom w:val="0"/>
      <w:divBdr>
        <w:top w:val="none" w:sz="0" w:space="0" w:color="auto"/>
        <w:left w:val="none" w:sz="0" w:space="0" w:color="auto"/>
        <w:bottom w:val="none" w:sz="0" w:space="0" w:color="auto"/>
        <w:right w:val="none" w:sz="0" w:space="0" w:color="auto"/>
      </w:divBdr>
    </w:div>
    <w:div w:id="480270664">
      <w:bodyDiv w:val="1"/>
      <w:marLeft w:val="0"/>
      <w:marRight w:val="0"/>
      <w:marTop w:val="0"/>
      <w:marBottom w:val="0"/>
      <w:divBdr>
        <w:top w:val="none" w:sz="0" w:space="0" w:color="auto"/>
        <w:left w:val="none" w:sz="0" w:space="0" w:color="auto"/>
        <w:bottom w:val="none" w:sz="0" w:space="0" w:color="auto"/>
        <w:right w:val="none" w:sz="0" w:space="0" w:color="auto"/>
      </w:divBdr>
    </w:div>
    <w:div w:id="551694959">
      <w:bodyDiv w:val="1"/>
      <w:marLeft w:val="0"/>
      <w:marRight w:val="0"/>
      <w:marTop w:val="0"/>
      <w:marBottom w:val="0"/>
      <w:divBdr>
        <w:top w:val="none" w:sz="0" w:space="0" w:color="auto"/>
        <w:left w:val="none" w:sz="0" w:space="0" w:color="auto"/>
        <w:bottom w:val="none" w:sz="0" w:space="0" w:color="auto"/>
        <w:right w:val="none" w:sz="0" w:space="0" w:color="auto"/>
      </w:divBdr>
    </w:div>
    <w:div w:id="893470511">
      <w:bodyDiv w:val="1"/>
      <w:marLeft w:val="0"/>
      <w:marRight w:val="0"/>
      <w:marTop w:val="0"/>
      <w:marBottom w:val="0"/>
      <w:divBdr>
        <w:top w:val="none" w:sz="0" w:space="0" w:color="auto"/>
        <w:left w:val="none" w:sz="0" w:space="0" w:color="auto"/>
        <w:bottom w:val="none" w:sz="0" w:space="0" w:color="auto"/>
        <w:right w:val="none" w:sz="0" w:space="0" w:color="auto"/>
      </w:divBdr>
    </w:div>
    <w:div w:id="1356031795">
      <w:bodyDiv w:val="1"/>
      <w:marLeft w:val="0"/>
      <w:marRight w:val="0"/>
      <w:marTop w:val="0"/>
      <w:marBottom w:val="0"/>
      <w:divBdr>
        <w:top w:val="none" w:sz="0" w:space="0" w:color="auto"/>
        <w:left w:val="none" w:sz="0" w:space="0" w:color="auto"/>
        <w:bottom w:val="none" w:sz="0" w:space="0" w:color="auto"/>
        <w:right w:val="none" w:sz="0" w:space="0" w:color="auto"/>
      </w:divBdr>
    </w:div>
    <w:div w:id="1789351248">
      <w:bodyDiv w:val="1"/>
      <w:marLeft w:val="0"/>
      <w:marRight w:val="0"/>
      <w:marTop w:val="0"/>
      <w:marBottom w:val="0"/>
      <w:divBdr>
        <w:top w:val="none" w:sz="0" w:space="0" w:color="auto"/>
        <w:left w:val="none" w:sz="0" w:space="0" w:color="auto"/>
        <w:bottom w:val="none" w:sz="0" w:space="0" w:color="auto"/>
        <w:right w:val="none" w:sz="0" w:space="0" w:color="auto"/>
      </w:divBdr>
    </w:div>
    <w:div w:id="1821774639">
      <w:bodyDiv w:val="1"/>
      <w:marLeft w:val="0"/>
      <w:marRight w:val="0"/>
      <w:marTop w:val="0"/>
      <w:marBottom w:val="0"/>
      <w:divBdr>
        <w:top w:val="none" w:sz="0" w:space="0" w:color="auto"/>
        <w:left w:val="none" w:sz="0" w:space="0" w:color="auto"/>
        <w:bottom w:val="none" w:sz="0" w:space="0" w:color="auto"/>
        <w:right w:val="none" w:sz="0" w:space="0" w:color="auto"/>
      </w:divBdr>
    </w:div>
    <w:div w:id="206933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Tri03</b:Tag>
    <b:SourceType>Book</b:SourceType>
    <b:Guid>{C003913B-BD97-4C78-8A76-F51108E28A92}</b:Guid>
    <b:Title>Defining Early Civilisations</b:Title>
    <b:City>Cambridge </b:City>
    <b:Year>2003</b:Year>
    <b:Author>
      <b:Author>
        <b:NameList>
          <b:Person>
            <b:Last>Trigger</b:Last>
            <b:First>B</b:First>
          </b:Person>
        </b:NameList>
      </b:Author>
    </b:Author>
    <b:Publisher>Cambridge University Press</b:Publisher>
    <b:RefOrder>1</b:RefOrder>
  </b:Source>
  <b:Source>
    <b:Tag>Wal14</b:Tag>
    <b:SourceType>Book</b:SourceType>
    <b:Guid>{21399FE4-B525-4707-A5E6-CC095A1281F8}</b:Guid>
    <b:Author>
      <b:Author>
        <b:NameList>
          <b:Person>
            <b:Last>Wallis Brudge</b:Last>
            <b:First>E</b:First>
            <b:Middle>&amp; Litt.D, M</b:Middle>
          </b:Person>
        </b:NameList>
      </b:Author>
    </b:Author>
    <b:Title>The Short History of the Egyptian People</b:Title>
    <b:Year>1914</b:Year>
    <b:City>London</b:City>
    <b:Publisher>J.M Dent &amp; Sons Limited </b:Publisher>
    <b:RefOrder>2</b:RefOrder>
  </b:Source>
  <b:Source>
    <b:Tag>Joh99</b:Tag>
    <b:SourceType>Book</b:SourceType>
    <b:Guid>{5EC8C017-D0BF-4BFF-B2D1-994765D00A01}</b:Guid>
    <b:Author>
      <b:Author>
        <b:NameList>
          <b:Person>
            <b:Last>Johnson</b:Last>
            <b:First>P</b:First>
          </b:Person>
        </b:NameList>
      </b:Author>
    </b:Author>
    <b:Title>The Civilsation of Ancient Egypt</b:Title>
    <b:Year>1999</b:Year>
    <b:City>London</b:City>
    <b:Publisher>Weidenfeld and Nicolson</b:Publisher>
    <b:RefOrder>3</b:RefOrder>
  </b:Source>
  <b:Source>
    <b:Tag>Dav98</b:Tag>
    <b:SourceType>Book</b:SourceType>
    <b:Guid>{B0A9DFB1-0D30-4879-AB22-D9DEB7A04463}</b:Guid>
    <b:Author>
      <b:Author>
        <b:NameList>
          <b:Person>
            <b:Last>Davies</b:Last>
            <b:First>V</b:First>
            <b:Middle>&amp; Friedman, R</b:Middle>
          </b:Person>
        </b:NameList>
      </b:Author>
    </b:Author>
    <b:Title>Egypt </b:Title>
    <b:Year>1998</b:Year>
    <b:City>London</b:City>
    <b:Publisher>British Museum Press</b:Publisher>
    <b:RefOrder>4</b:RefOrder>
  </b:Source>
</b:Sources>
</file>

<file path=customXml/itemProps1.xml><?xml version="1.0" encoding="utf-8"?>
<ds:datastoreItem xmlns:ds="http://schemas.openxmlformats.org/officeDocument/2006/customXml" ds:itemID="{24284AA9-999A-4497-B2AE-BACC5FBA1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2</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macyjaine@icloud.com</dc:creator>
  <cp:keywords/>
  <dc:description/>
  <cp:lastModifiedBy>macyjaine@icloud.com</cp:lastModifiedBy>
  <cp:revision>13</cp:revision>
  <dcterms:created xsi:type="dcterms:W3CDTF">2019-11-08T10:10:00Z</dcterms:created>
  <dcterms:modified xsi:type="dcterms:W3CDTF">2019-11-09T13:35:00Z</dcterms:modified>
</cp:coreProperties>
</file>