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B5FC9F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B7085">
              <w:rPr>
                <w:rFonts w:ascii="Times New Roman" w:hAnsi="Times New Roman" w:cs="Times New Roman"/>
                <w:b/>
                <w:color w:val="auto"/>
                <w:sz w:val="48"/>
              </w:rPr>
              <w:t>Cai O’Marah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354372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B7085">
              <w:rPr>
                <w:rFonts w:ascii="Times New Roman" w:hAnsi="Times New Roman" w:cs="Times New Roman"/>
                <w:b/>
                <w:color w:val="auto"/>
                <w:sz w:val="48"/>
              </w:rPr>
              <w:t xml:space="preserve"> cai.omarah@conwy.gov.uk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6FE53E4" w14:textId="77777777" w:rsidR="007B708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B7085">
              <w:rPr>
                <w:rFonts w:ascii="Times New Roman" w:hAnsi="Times New Roman" w:cs="Times New Roman"/>
                <w:b/>
                <w:color w:val="auto"/>
                <w:sz w:val="48"/>
              </w:rPr>
              <w:t xml:space="preserve"> </w:t>
            </w:r>
          </w:p>
          <w:p w14:paraId="0DE696B2" w14:textId="36AD0750" w:rsidR="00F927A1" w:rsidRDefault="007B7085" w:rsidP="005D3F07">
            <w:pPr>
              <w:overflowPunct/>
              <w:autoSpaceDE/>
              <w:autoSpaceDN/>
              <w:adjustRightInd/>
              <w:ind w:right="-957"/>
              <w:textAlignment w:val="auto"/>
              <w:rPr>
                <w:rFonts w:ascii="Times New Roman" w:hAnsi="Times New Roman" w:cs="Times New Roman"/>
                <w:b/>
                <w:color w:val="auto"/>
                <w:sz w:val="48"/>
              </w:rPr>
            </w:pPr>
            <w:r w:rsidRPr="00B54E31">
              <w:rPr>
                <w:rFonts w:ascii="Times New Roman" w:hAnsi="Times New Roman" w:cs="Times New Roman"/>
                <w:b/>
                <w:sz w:val="48"/>
              </w:rPr>
              <w:t>2238433</w:t>
            </w:r>
          </w:p>
          <w:p w14:paraId="68E25764" w14:textId="77777777" w:rsidR="007B7085" w:rsidRPr="005D3F07" w:rsidRDefault="007B7085" w:rsidP="005D3F07">
            <w:pPr>
              <w:overflowPunct/>
              <w:autoSpaceDE/>
              <w:autoSpaceDN/>
              <w:adjustRightInd/>
              <w:ind w:right="-957"/>
              <w:textAlignment w:val="auto"/>
              <w:rPr>
                <w:rFonts w:ascii="Times New Roman" w:hAnsi="Times New Roman" w:cs="Times New Roman"/>
                <w:b/>
                <w:color w:val="auto"/>
                <w:sz w:val="48"/>
              </w:rPr>
            </w:pPr>
          </w:p>
          <w:p w14:paraId="5F84129B" w14:textId="1D830BF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5E718539" w:rsidR="00D3203C" w:rsidRDefault="00D3203C" w:rsidP="00FF7EBB">
            <w:pPr>
              <w:jc w:val="both"/>
              <w:rPr>
                <w:i/>
                <w:sz w:val="24"/>
                <w:szCs w:val="24"/>
              </w:rPr>
            </w:pPr>
          </w:p>
          <w:p w14:paraId="5F0CE5A5" w14:textId="77777777" w:rsidR="007B7085" w:rsidRDefault="007B7085" w:rsidP="007B7085">
            <w:pPr>
              <w:spacing w:line="360" w:lineRule="auto"/>
              <w:rPr>
                <w:rFonts w:ascii="Calibri" w:hAnsi="Calibri" w:cs="Calibri"/>
                <w:lang w:val="cy-GB"/>
              </w:rPr>
            </w:pPr>
            <w:r>
              <w:rPr>
                <w:rFonts w:ascii="Calibri" w:hAnsi="Calibri" w:cs="Calibri"/>
                <w:lang w:val="cy-GB"/>
              </w:rPr>
              <w:t xml:space="preserve">Person 2 is a middle-aged male who was referred to our service (a Local Authority adult social services’ team) by a concerned neighbour. He had not been previously known to us, and the initial referral described a man living alone in a privately-rented house without gas and electricity. Initial welfare checks revealed an individual who was alcohol-dependent, struggling to manage his finances and prioritising alcohol over his  primary needs (including heating and food). His health was reportedly deteriorating due to self-neglect and he was at risk of homelessness due to conflict with the landlord and the neglect of the property over many months meant it was in a state of disrepair. As my work with 2 progressed it became clear through personal disclosures and specific safeguarding/incident reports from the regional Police Force that 2 likely met the definition of ‘adult at risk’ and was a person ‘experiencing or is at risk of abuse or neglect’ as defined in Part 7, S. 126 (1) (a) of the Social Services and Wellbeing (Wales) Act 2014 (SSWB(W)A) (Welsh Government [WG]; 2014) due to exploitation by another male in the community who was pressurising 2 into criminal conduct (shoplifting alcohol) and became physically abusive when 2 was non-compliant. </w:t>
            </w:r>
          </w:p>
          <w:p w14:paraId="0CD2C23C" w14:textId="77777777" w:rsidR="007B7085" w:rsidRDefault="007B7085" w:rsidP="007B7085">
            <w:pPr>
              <w:spacing w:line="360" w:lineRule="auto"/>
              <w:rPr>
                <w:rFonts w:ascii="Calibri" w:hAnsi="Calibri" w:cs="Calibri"/>
                <w:lang w:val="cy-GB"/>
              </w:rPr>
            </w:pPr>
          </w:p>
          <w:p w14:paraId="0C7242BB" w14:textId="77777777" w:rsidR="007B7085" w:rsidRDefault="007B7085" w:rsidP="007B7085">
            <w:pPr>
              <w:spacing w:line="360" w:lineRule="auto"/>
              <w:rPr>
                <w:rFonts w:ascii="Calibri" w:hAnsi="Calibri" w:cs="Calibri"/>
                <w:lang w:val="cy-GB"/>
              </w:rPr>
            </w:pPr>
            <w:r>
              <w:rPr>
                <w:lang w:val="cy-GB"/>
              </w:rPr>
              <w:t xml:space="preserve">2 lives in a coastal town of an area where the percentage of Welsh speakers is between 10-25% (Welsh Government [WG]; 2022). </w:t>
            </w:r>
            <w:r>
              <w:rPr>
                <w:rFonts w:ascii="Calibri" w:hAnsi="Calibri" w:cs="Calibri"/>
                <w:lang w:val="cy-GB"/>
              </w:rPr>
              <w:t xml:space="preserve">The Welsh Index of Multiple Deprivation (WIMD) (2019) describes the area that 2 resides in as being within the 30-50% bracket for most deprived in Wales; however, the indicator on housing is more revealing, being closer to the most deprived than other indicators of the area (WIMD; 2019). The most recent statistics available </w:t>
            </w:r>
            <w:r>
              <w:rPr>
                <w:rFonts w:ascii="Calibri" w:hAnsi="Calibri" w:cs="Calibri"/>
                <w:lang w:val="cy-GB"/>
              </w:rPr>
              <w:lastRenderedPageBreak/>
              <w:t xml:space="preserve">for WIMD however date from 2019, and indicators of poverty may have changed since then, particularly in relation to housing and access to services, and particularly post-Covid 19. </w:t>
            </w:r>
            <w:r>
              <w:rPr>
                <w:lang w:val="cy-GB"/>
              </w:rPr>
              <w:t xml:space="preserve">2 passionately identifies as Welsh, but cannot speak the language fluently but will make attempts to use some Welsh words in conversation and can understand more than he feels confident to speak. When I first began working with 2, I offered him the ‘Active Offer’ of ‘offering’ a choice of language without the individual having to request it, giving the individual more control over the service that he/she receives, as per Welsh Government guidelines stipulated in ‘More than just Words’ (WG; 2015). Language is a powerful tool in practice, and as a first language Welsh speaker myself, I know that being able to speak in your preferred language is empowering. Part 4, Section 28 of the Welsh Language (Wales) Measure 2011 also stipulates that it is a legal requirement in Wales for people delivering services in Wales to offer services in Welsh. Part one also strengthens, in law, Welsh as an official language, meaning that Local Authorities (being official/government entities) must not give lesser status to Welsh than English (WG; 2011).  </w:t>
            </w:r>
          </w:p>
          <w:p w14:paraId="1676A5A0" w14:textId="77777777" w:rsidR="007B7085" w:rsidRDefault="007B7085" w:rsidP="007B7085">
            <w:pPr>
              <w:spacing w:line="360" w:lineRule="auto"/>
              <w:rPr>
                <w:rFonts w:ascii="Calibri" w:hAnsi="Calibri" w:cs="Calibri"/>
                <w:lang w:val="cy-GB"/>
              </w:rPr>
            </w:pPr>
          </w:p>
          <w:p w14:paraId="60BCAC9C" w14:textId="77777777" w:rsidR="007B7085" w:rsidRDefault="007B7085" w:rsidP="007B7085">
            <w:pPr>
              <w:spacing w:line="360" w:lineRule="auto"/>
              <w:rPr>
                <w:rFonts w:ascii="Calibri" w:hAnsi="Calibri" w:cs="Calibri"/>
                <w:lang w:val="cy-GB"/>
              </w:rPr>
            </w:pPr>
            <w:r>
              <w:rPr>
                <w:rFonts w:ascii="Calibri" w:hAnsi="Calibri" w:cs="Calibri"/>
                <w:lang w:val="cy-GB"/>
              </w:rPr>
              <w:t xml:space="preserve">The Wales Safeguarding Procedures (WG; 2019) S. 1 ‘adults at risk’ identify specific behaviours which could signify that an individual is an ‘adult at risk’. These include (but stressed that this is not exhaustive);  </w:t>
            </w:r>
          </w:p>
          <w:p w14:paraId="4136D36F" w14:textId="77777777" w:rsidR="007B7085" w:rsidRDefault="007B7085" w:rsidP="007B7085">
            <w:pPr>
              <w:spacing w:line="360" w:lineRule="auto"/>
              <w:rPr>
                <w:rFonts w:ascii="Calibri" w:hAnsi="Calibri" w:cs="Calibri"/>
                <w:lang w:val="cy-GB"/>
              </w:rPr>
            </w:pPr>
          </w:p>
          <w:p w14:paraId="6F5A1F57" w14:textId="77777777" w:rsidR="007B7085" w:rsidRDefault="007B7085" w:rsidP="007B7085">
            <w:pPr>
              <w:numPr>
                <w:ilvl w:val="0"/>
                <w:numId w:val="54"/>
              </w:numPr>
              <w:tabs>
                <w:tab w:val="clear" w:pos="420"/>
              </w:tabs>
              <w:overflowPunct/>
              <w:autoSpaceDE/>
              <w:autoSpaceDN/>
              <w:adjustRightInd/>
              <w:spacing w:line="360" w:lineRule="auto"/>
              <w:textAlignment w:val="auto"/>
              <w:rPr>
                <w:rFonts w:ascii="Calibri" w:hAnsi="Calibri" w:cs="Calibri"/>
                <w:lang w:val="cy-GB"/>
              </w:rPr>
            </w:pPr>
            <w:r>
              <w:rPr>
                <w:rFonts w:ascii="Calibri" w:eastAsia="sans-serif" w:hAnsi="Calibri" w:cs="Calibri"/>
                <w:color w:val="37394C"/>
              </w:rPr>
              <w:t>Violence against women, domestic abuse and sexual violence</w:t>
            </w:r>
            <w:r>
              <w:rPr>
                <w:rFonts w:ascii="Calibri" w:eastAsia="sans-serif" w:hAnsi="Calibri" w:cs="Calibri"/>
                <w:color w:val="37394C"/>
                <w:lang w:val="cy-GB"/>
              </w:rPr>
              <w:t xml:space="preserve"> </w:t>
            </w:r>
          </w:p>
          <w:p w14:paraId="6F713A86" w14:textId="77777777" w:rsidR="007B7085" w:rsidRDefault="007B7085" w:rsidP="007B7085">
            <w:pPr>
              <w:numPr>
                <w:ilvl w:val="0"/>
                <w:numId w:val="54"/>
              </w:numPr>
              <w:tabs>
                <w:tab w:val="clear" w:pos="420"/>
              </w:tabs>
              <w:overflowPunct/>
              <w:autoSpaceDE/>
              <w:autoSpaceDN/>
              <w:adjustRightInd/>
              <w:spacing w:line="360" w:lineRule="auto"/>
              <w:textAlignment w:val="auto"/>
              <w:rPr>
                <w:rFonts w:ascii="Calibri" w:hAnsi="Calibri" w:cs="Calibri"/>
                <w:lang w:val="cy-GB"/>
              </w:rPr>
            </w:pPr>
            <w:r>
              <w:rPr>
                <w:rFonts w:ascii="Calibri" w:eastAsia="sans-serif" w:hAnsi="Calibri" w:cs="Calibri"/>
                <w:color w:val="37394C"/>
                <w:lang w:val="cy-GB"/>
              </w:rPr>
              <w:t xml:space="preserve">Modern Slavery </w:t>
            </w:r>
          </w:p>
          <w:p w14:paraId="65DF1280" w14:textId="77777777" w:rsidR="007B7085" w:rsidRDefault="007B7085" w:rsidP="007B7085">
            <w:pPr>
              <w:numPr>
                <w:ilvl w:val="0"/>
                <w:numId w:val="54"/>
              </w:numPr>
              <w:tabs>
                <w:tab w:val="clear" w:pos="420"/>
              </w:tabs>
              <w:overflowPunct/>
              <w:autoSpaceDE/>
              <w:autoSpaceDN/>
              <w:adjustRightInd/>
              <w:spacing w:line="360" w:lineRule="auto"/>
              <w:textAlignment w:val="auto"/>
              <w:rPr>
                <w:rFonts w:ascii="Calibri" w:hAnsi="Calibri" w:cs="Calibri"/>
                <w:lang w:val="cy-GB"/>
              </w:rPr>
            </w:pPr>
            <w:r>
              <w:rPr>
                <w:rFonts w:ascii="Calibri" w:eastAsia="sans-serif" w:hAnsi="Calibri" w:cs="Calibri"/>
                <w:color w:val="37394C"/>
                <w:lang w:val="cy-GB"/>
              </w:rPr>
              <w:t>Criminal exploitation</w:t>
            </w:r>
          </w:p>
          <w:p w14:paraId="39D5A107" w14:textId="77777777" w:rsidR="007B7085" w:rsidRDefault="007B7085" w:rsidP="007B7085">
            <w:pPr>
              <w:spacing w:line="360" w:lineRule="auto"/>
              <w:rPr>
                <w:rFonts w:ascii="Calibri" w:hAnsi="Calibri" w:cs="Calibri"/>
                <w:lang w:val="cy-GB"/>
              </w:rPr>
            </w:pPr>
            <w:r>
              <w:rPr>
                <w:rFonts w:ascii="Calibri" w:eastAsia="sans-serif" w:hAnsi="Calibri" w:cs="Calibri"/>
                <w:color w:val="37394C"/>
                <w:lang w:val="cy-GB"/>
              </w:rPr>
              <w:t xml:space="preserve"> </w:t>
            </w:r>
          </w:p>
          <w:p w14:paraId="538F4BEE" w14:textId="77777777" w:rsidR="007B7085" w:rsidRDefault="007B7085" w:rsidP="007B7085">
            <w:pPr>
              <w:spacing w:line="360" w:lineRule="auto"/>
              <w:rPr>
                <w:lang w:val="cy-GB"/>
              </w:rPr>
            </w:pPr>
            <w:r>
              <w:rPr>
                <w:rFonts w:ascii="Calibri" w:eastAsia="sans-serif" w:hAnsi="Calibri" w:cs="Calibri"/>
                <w:color w:val="37394C"/>
                <w:lang w:val="cy-GB"/>
              </w:rPr>
              <w:t>I identified with 2 that he was at least ‘at risk’ of both domestic abuse and criminal exploitation which were both evidenced through police reports and personal disclosures that 2 had made to me following a period of relationship building and gaining his trust. I additionally felt that 2 was also ‘at risk’ due to extreme elements of self-neglect, which t</w:t>
            </w:r>
            <w:r>
              <w:rPr>
                <w:lang w:val="cy-GB"/>
              </w:rPr>
              <w:t xml:space="preserve">he Social Services and Wellbeing (Wales) Act 2014 unfortunately does not explicitly use as a term included in the guidance for identifying ‘adults at risk’ (WG; 2014). However, regional safeguarding policies and the self-neglect protocols within regional policies are more explicit in defining self-neglect within a safeguarding context. For example, one regional policy clearly outlines the procedures for working with individuals who are exhibiting self-neglecting behaviours within a safeguarding framework (xxx Safeguarding Adults Board; 2016). Although not explicit, the SSWB(W)A (2014) does use under their definitions for ‘adult at risk’ Part 7, S. 126 (1) (C);  </w:t>
            </w:r>
          </w:p>
          <w:p w14:paraId="3B60C0C1" w14:textId="77777777" w:rsidR="007B7085" w:rsidRDefault="007B7085" w:rsidP="007B7085">
            <w:pPr>
              <w:spacing w:line="360" w:lineRule="auto"/>
              <w:rPr>
                <w:lang w:val="cy-GB"/>
              </w:rPr>
            </w:pPr>
          </w:p>
          <w:p w14:paraId="09CF770C" w14:textId="77777777" w:rsidR="007B7085" w:rsidRDefault="007B7085" w:rsidP="007B7085">
            <w:pPr>
              <w:numPr>
                <w:ilvl w:val="0"/>
                <w:numId w:val="55"/>
              </w:numPr>
              <w:overflowPunct/>
              <w:autoSpaceDE/>
              <w:autoSpaceDN/>
              <w:adjustRightInd/>
              <w:spacing w:line="360" w:lineRule="auto"/>
              <w:textAlignment w:val="auto"/>
              <w:rPr>
                <w:rFonts w:ascii="Calibri" w:eastAsia="SimSun" w:hAnsi="Calibri" w:cs="Calibri"/>
                <w:color w:val="1E1E1E"/>
              </w:rPr>
            </w:pPr>
            <w:r>
              <w:rPr>
                <w:rFonts w:ascii="Calibri" w:eastAsia="SimSun" w:hAnsi="Calibri" w:cs="Calibri"/>
                <w:color w:val="1E1E1E"/>
              </w:rPr>
              <w:t>An “adult at risk”, for the purposes of this Part, is an adult who—</w:t>
            </w:r>
          </w:p>
          <w:p w14:paraId="7716AD0C"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rPr>
              <w:t xml:space="preserve">(c) </w:t>
            </w:r>
            <w:proofErr w:type="gramStart"/>
            <w:r>
              <w:rPr>
                <w:rFonts w:ascii="Calibri" w:eastAsia="SimSun" w:hAnsi="Calibri" w:cs="Calibri"/>
                <w:color w:val="1E1E1E"/>
              </w:rPr>
              <w:t>as</w:t>
            </w:r>
            <w:proofErr w:type="gramEnd"/>
            <w:r>
              <w:rPr>
                <w:rFonts w:ascii="Calibri" w:eastAsia="SimSun" w:hAnsi="Calibri" w:cs="Calibri"/>
                <w:color w:val="1E1E1E"/>
              </w:rPr>
              <w:t xml:space="preserve"> a result of those needs is unable to protect himself or herself against the abuse or neglect or the risk of it.</w:t>
            </w:r>
            <w:r>
              <w:rPr>
                <w:rFonts w:ascii="Calibri" w:eastAsia="SimSun" w:hAnsi="Calibri" w:cs="Calibri"/>
                <w:color w:val="1E1E1E"/>
                <w:lang w:val="cy-GB"/>
              </w:rPr>
              <w:t xml:space="preserve"> </w:t>
            </w:r>
          </w:p>
          <w:p w14:paraId="3BF98D36" w14:textId="77777777" w:rsidR="007B7085" w:rsidRDefault="007B7085" w:rsidP="007B7085">
            <w:pPr>
              <w:spacing w:line="360" w:lineRule="auto"/>
              <w:rPr>
                <w:rFonts w:ascii="Calibri" w:eastAsia="SimSun" w:hAnsi="Calibri" w:cs="Calibri"/>
                <w:color w:val="1E1E1E"/>
                <w:lang w:val="cy-GB"/>
              </w:rPr>
            </w:pPr>
          </w:p>
          <w:p w14:paraId="6FAB212A"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My professional judgement, drawn from my assessment, was that 2 was a vulnerable adult which is defined in The Police Act 1997 (Enhanced Criminal Record Certificate) (Protection of Vulnerable Adult) S. 2 (3) (b) (UK Government; </w:t>
            </w:r>
            <w:r>
              <w:rPr>
                <w:rFonts w:ascii="Calibri" w:eastAsia="SimSun" w:hAnsi="Calibri" w:cs="Calibri"/>
                <w:color w:val="1E1E1E"/>
                <w:lang w:val="cy-GB"/>
              </w:rPr>
              <w:lastRenderedPageBreak/>
              <w:t xml:space="preserve">1997) as an individual with ‘physical or mental illness ... including addiction’, a definition that applied to 2. Additionally through definitions of self-neglect as an extreme lack of self-care and an inability to avoid harm (Social Care Institute of Excellence [SCIE]; 2018), the threshold for ‘adult at risk’ had likely been met and 2 was likely at risk of significant harm. </w:t>
            </w:r>
          </w:p>
          <w:p w14:paraId="13242C37" w14:textId="77777777" w:rsidR="007B7085" w:rsidRDefault="007B7085" w:rsidP="007B7085">
            <w:pPr>
              <w:spacing w:line="360" w:lineRule="auto"/>
              <w:rPr>
                <w:rFonts w:ascii="Calibri" w:eastAsia="SimSun" w:hAnsi="Calibri" w:cs="Calibri"/>
                <w:color w:val="1E1E1E"/>
                <w:lang w:val="cy-GB"/>
              </w:rPr>
            </w:pPr>
          </w:p>
          <w:p w14:paraId="6DC0F971"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Prior to the police safeguarding report , I referred 2 (following discussions with him and with his consent) to the Substance Misuse Service (SMS) and we were looking for additional treatment through the  Community Mental Health Team (CMHT) as 2 had disclosed experiencing Post Traumatic Stress Disorder (PTSD) as well as chronic depression and suicidal ideation. I conducted a thorough risk assessment due to the disclosure of suicidal thoughts and that he had disclosed to me that he had already tied a rope into a noose and knew which tree he would use. I immediately did safety planning with 2 as part of a broader risk assessment. In the safety planning, and in accordance with NICE (National Institute for Health and Care Excellence) (2020) guidelines, I assessed 2’s psycho-social needs using Maslow’s hierarchy of needs model (1943) (Mcleod; 2023) as being worryingly  inadequate and that within the hierarchy of needs, he was on the bottom rung (‘physiological needs’) of the pyramid, and his needs within that rung were only barely being met. Again, in accordance with the NICE guidelines, having identified inadequacies in his psycho-social needs and their links as triggers that increased the risks, I tried, through working in partnership with 2 and allowing him to lead as being the expert on himself, to identify protective factors and coping strategies. 2 enjoys reading (and is a voracious reader), walking and painting/building model airplanes, so we created a daily routine around these strengths/interests to form part of the safety plan. Additionally, I/we identified safe spaces where he could go if needed and multiple weekly home visits for welfare checking. In delineating the safety plan, 2 was an active participant in the entire process and I worked with him to more effectively have a risk assessment and safety plan that will work. This is also in line with our social workers’ Code of Professional Practice (Social Care Wales [SCW]; 2017), covering sections 1, 3 and 4, and the SSWB(W)A (2014) that, rightly, has a heavy emphasis on partnership working (including with individuals receiving service). Interestingly, the Department of Health of Minnesota (USA) (2019) has guidance for practitioners in safety planning and suicide risk assessments. Looking at it comparatively with NICE guidelines, it is easy to draw similarities between UK/Wales based guidance and those in Minnesota, which also stresses the importance of identifying the warning signs/triggers, coping strategies and assessing the environment.   </w:t>
            </w:r>
          </w:p>
          <w:p w14:paraId="1F2E5E7C" w14:textId="77777777" w:rsidR="007B7085" w:rsidRDefault="007B7085" w:rsidP="007B7085">
            <w:pPr>
              <w:spacing w:line="360" w:lineRule="auto"/>
              <w:rPr>
                <w:rFonts w:ascii="Calibri" w:eastAsia="SimSun" w:hAnsi="Calibri" w:cs="Calibri"/>
                <w:color w:val="1E1E1E"/>
                <w:lang w:val="cy-GB"/>
              </w:rPr>
            </w:pPr>
          </w:p>
          <w:p w14:paraId="50EB8D64"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Partnership working with 2 was often difficult and inconsistent. 2 did not have a phone and there was no way to contact him other than physically going over to his house. This was often time consuming and as social work practitioners time management is an essential part of our jobs, but I felt with 2 that the risks warranted me to stick to the multiple weekly visits as agreed between 2 and I in the risk assessment and safety plan. Partnership working was further made difficult as 2 would often be intoxicated when I visited, which made it very difficult to have a conducive visit with him, and when he was drinking, his retention of information was very poor. As part of a broader comprehensive assessment, I tried visiting at different times of the day to try and get a better picture of what 2’s daily life and drinking habits looked like. I analysed that 2’s outlook for the future was much better when he was not drinking and often very gloomy when he was. </w:t>
            </w:r>
            <w:r>
              <w:rPr>
                <w:rFonts w:ascii="Calibri" w:eastAsia="SimSun" w:hAnsi="Calibri" w:cs="Calibri"/>
                <w:color w:val="1E1E1E"/>
                <w:lang w:val="cy-GB"/>
              </w:rPr>
              <w:lastRenderedPageBreak/>
              <w:t xml:space="preserve">Looking at Prochaska and DiClemente’s (1986) ‘cycle of change’, 2 was quite firmly in the contemplation stage of the cycle. What Prochaska and DiClemente say about the contemplation stage is that people in this stage will have some insight into problem behaviours and will identify them as such. In 2’s case, he was desperate to stop drinking, and knew that he was placing himself at risk (and deep down he did not want to die); however, he was apprehensive and afraid of what comes next. Working in partnership with SMS we began to formulate a plan for detox and rehab. SMS are part of the NHS, and I often found that my own values were often conflicted with their institutional cultures and values. I feel that advocacy is an important part of our job as social workers, (advocating on behalf of individuals with other agencies and professionals so they get the correct and specialist support if, and when, they need it) and I always offer to refer to independent advocates as routine especially in cases that are discussed within multi-disciplinary team meetings [MDTs]. One of the things that I found most frustrating with SMS was that they do not routinely do home visits like we do in Social Services, and I think home visits are an important part of delineating a holistic and fully robust assessment and getting a full picture of a person’s life, their strengths and what challenges they face. Unfortunately, the detox plan was rejected by SMS with the reason cited that he would not have secure housing to return to. </w:t>
            </w:r>
          </w:p>
          <w:p w14:paraId="779C2711" w14:textId="77777777" w:rsidR="007B7085" w:rsidRDefault="007B7085" w:rsidP="007B7085">
            <w:pPr>
              <w:spacing w:line="360" w:lineRule="auto"/>
              <w:rPr>
                <w:rFonts w:ascii="Calibri" w:eastAsia="SimSun" w:hAnsi="Calibri" w:cs="Calibri"/>
                <w:color w:val="1E1E1E"/>
                <w:lang w:val="cy-GB"/>
              </w:rPr>
            </w:pPr>
          </w:p>
          <w:p w14:paraId="3C93AD0A"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Following the  above intervention  with 2 , I  received reports of a violent altercation between 2 and another male in the community. When I received the first police report I immediately made arrangements for a ‘spot check/home visit’. The regional police force have a policy of information-sharing with social services’ agencies in cases of domestic abuse, child protection and/or vulnerable adults where there are safeguarding considerations (Clancy, A., Robinson, A., Hanks, S.; 2014) (National Health Service [NHS]; 2017). Although initial information-sharing demonstrated good collaborative working to safeguard a vulnerable adult in the community, on following this up with the responding officer, I found communication to be quite difficult, and calls and emails were not being responded to. I attributed this to different working cultures within the police and recognized that community-based officers may not have easy access to email and/or direct phone numbers most of the time if out in the community. At this point in my intervention with 2 he was already being discussed within a multi-disciplinary team (MDT) forum under the self-neglect protocol. I decided to widen this in response to concerns he may be at risk, or experiencing abuse by a member of the public. Through perseverance and constant attempts to contact different people within the regional police, I was able to find someone who would be able to take on his case for the purpose of attending meetings. This was useful in that it helped us to establish, through multi-disciplinary discussions, that 2 had declined to pursue further action (including an injunction) against the perpetrator, although as the perpetrator was a member of the community we were able to put a marker on the property identifying 2 with all community-based officers as being a vulnerable adult at risk of abuse by others in the community. In practical terms, what that meant was that Police Community Support Officers (PCSOs) would make regular calls and drive-bys past the property.  </w:t>
            </w:r>
          </w:p>
          <w:p w14:paraId="086227D6" w14:textId="77777777" w:rsidR="007B7085" w:rsidRDefault="007B7085" w:rsidP="007B7085">
            <w:pPr>
              <w:spacing w:line="360" w:lineRule="auto"/>
              <w:rPr>
                <w:rFonts w:ascii="Calibri" w:eastAsia="SimSun" w:hAnsi="Calibri" w:cs="Calibri"/>
                <w:color w:val="1E1E1E"/>
                <w:lang w:val="cy-GB"/>
              </w:rPr>
            </w:pPr>
          </w:p>
          <w:p w14:paraId="389EEFFE"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When receiving a safeguarding report from a member of the public and/or other agencies (in this case, the regional police force) I will firstly refer to the Wales Safeguarding Procedures [WSP] (2019). The WSP can be downloaded onto an </w:t>
            </w:r>
            <w:r>
              <w:rPr>
                <w:rFonts w:ascii="Calibri" w:eastAsia="SimSun" w:hAnsi="Calibri" w:cs="Calibri"/>
                <w:color w:val="1E1E1E"/>
                <w:lang w:val="cy-GB"/>
              </w:rPr>
              <w:lastRenderedPageBreak/>
              <w:t xml:space="preserve">app and I do have this on my work phone for reference whenever it is needed. As per Section 3, Part 1 of the WSPs (2019), on receiving the police report for safeguarding concerns, I went to visit 2 for the purpose of information-gathering. The initial stage of the process is called a Section 126 enquiry (SSWB(W)A) (2014) to determine if the concerns raised warrant further action (WSP; 2019). Personal disclosures were made during the information-gathering stage and 2 disclosed that he was being asked to shoplift alcohol on behalf of another male, who physically assaulted him when he refused. As mentioned above, 2 did not consent to further action by the police and refused to make a criminal complaint (which is what triggered a safeguarding 126 enquiry to us). I was conscious to apply a person-centred approach to conducting the enquiry by balancing the risks with ensuring that 2’s voice was heard and trying to ascertain the reason behind his reluctance to pursue a criminal complaint (such as if his motivation was fear). A person-centred approach to practice is something that is heavily emphasised within the SSWB(W)A (2014) (Bowler; 2015), and I try to apply this within my practice whenever possible. However, I realise that it is not always possible to work within this approach, especially when there are safeguarding considerations. In this case, during the S126 Enquiry, 2 did not consent for me to pursue the matter further within the safeguarding arena, but was happy for me to discuss risk management with the police, or other agencies involved (such as SMS) within an MDT (2 was already aware he was being discussed under the self-neglect protocol). As part of the S126 Enquiry, 2 and I came up with a care and support protection plan (Section 4, WSP; 2019) which included regular contact with neighbours, discuss a marker on the property (and routine police checks on the area 2-3 times daily). 2 was happy to adhere to this plan. </w:t>
            </w:r>
          </w:p>
          <w:p w14:paraId="4469C667" w14:textId="77777777" w:rsidR="007B7085" w:rsidRDefault="007B7085" w:rsidP="007B7085">
            <w:pPr>
              <w:spacing w:line="360" w:lineRule="auto"/>
              <w:rPr>
                <w:rFonts w:ascii="Calibri" w:eastAsia="SimSun" w:hAnsi="Calibri" w:cs="Calibri"/>
                <w:color w:val="1E1E1E"/>
                <w:lang w:val="cy-GB"/>
              </w:rPr>
            </w:pPr>
          </w:p>
          <w:p w14:paraId="28ED432C"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When working in adult services’, one of the principal pieces of legislation that we work within is the Mental Capacity Act [MCA] (2005). Section 1 of the MCA stipulates that individuals are assumed to have capacity unless otherwise assessed, and as adults we all have a right to make unwise decisions (MCA;2005). As part of the care and protection plan with 2, we had decided (with 2’s consent) that we would work on relocating him as quickly as possible. Using supervision as a tool, I discussed this extensively with both my supervisor/line manager and the Local Authority’s safeguarding lead, who advised that at this stage there was not enough evidence to take this to a Strategy discussion. Following a S126 investigation, if there was consent from the individual (as 2 has assumed capacity under the Mental Capacity Act) and enough evidence gathered during the S126 Enquiry, the first stage of the safeguarding procedure would be to take the case to a Strategy meeting were it would be decided if it would be discussed in an Adult Protection Conference (Section 3, Part 2, WSP; 2019). In this case, 2 refused to engage in the process, although was happy to engage with myself, Regional  Police, Substance Misuse Service, Warm Wales (WW), Enviromental Health (EH) and the local authority’s Homeless Prevention Team in a care and protection plan. In the absence of taking the case to strategy and conference meetings, all agencies involved in the agreed care and protection plan met up, with 2 also in attendance at our meetings, to discuss risk management in safeguarding 2 from further risk of harm and abuse. During this piece of work, I needed to listen to what 2 was telling me, and balance his rights, wishes and feelings against ensuring that he was safeguarded within the community; otherwise, I would run the risk of his disengagement,  and withdrawal, as well as the risk of a loss of trust. I did this by having extensive discussions with 2 and following the ‘what matters’ conversation </w:t>
            </w:r>
            <w:r>
              <w:rPr>
                <w:rFonts w:ascii="Calibri" w:eastAsia="SimSun" w:hAnsi="Calibri" w:cs="Calibri"/>
                <w:color w:val="1E1E1E"/>
                <w:lang w:val="cy-GB"/>
              </w:rPr>
              <w:lastRenderedPageBreak/>
              <w:t xml:space="preserve">which revealed to me that 2 desperately wanted to move out of the property he was in. Secondly, I kept 2 informed regarding everything we were doing ‘behind the scenes’ and asked for his consent at each stage. Thirdly, the care and protection plan was informed by 2 and he was an active participant in formulating the plan. Fourthly, when we met as an MDT to formalise and act on the plan, 2 was invited to the meeting and we made practical arrangements for him to attend the meetings. </w:t>
            </w:r>
          </w:p>
          <w:p w14:paraId="3136BC16" w14:textId="77777777" w:rsidR="007B7085" w:rsidRDefault="007B7085" w:rsidP="007B7085">
            <w:pPr>
              <w:spacing w:line="360" w:lineRule="auto"/>
              <w:rPr>
                <w:rFonts w:ascii="Calibri" w:eastAsia="SimSun" w:hAnsi="Calibri" w:cs="Calibri"/>
                <w:color w:val="1E1E1E"/>
                <w:lang w:val="cy-GB"/>
              </w:rPr>
            </w:pPr>
          </w:p>
          <w:p w14:paraId="1BDA6E50"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As a consequence of good collaborative working with both 2 and other agencies within the MDTs, we were able to achieve what I believe to be the best outcome for 2 at the time. I felt that I worked well with the Police, SMS, WW and EH in particular to put a strong case across to the Local Authority that to safeguard 2 we needed to get him moved from where he was living. I believe that this emphasis on meaningful co-working was in line with the ethos of the ‘five ways of working’ as highlighted within the Well-being of Future Gerarations (Wales) Act 2015 (2015). However, I found working collaboratively with the Homeless Prevention Team (HPT) difficult, and they were unwilling to change their views although we as a wider MDT were putting forward a strong case that this man was at risk staying where he was. HPT considered him to be sufficently, and adequately, housed, although they never visited the home to assess the conditions under which he was actually living. I had hoped that by presenting as homeless to the Local Authority through, and with the support of, the MDT, he would be considered as homeless under S68 of the Housing (Wales) Act 2014 and would be offered interim accomodation until assessed. My hope was that following an assessment period, he would be given a S75 duty for priority need (WG; 2014). I felt that this barrier to effective collaborative working was very frustrating; however, I made good use of supervision to vent my frustrations and discuss other avenues that we could explore. In the absence of a housing duty from the Local Authority, I thought that the next best option was looking at temporary residential care. However, under the Mental Capacity Act (2005) this would not be possible without 2’s consent, and he would have every right to refuse this if he felt it wasn’t appropriate for him. By applying the Crisis Intervention Model (CIM), I was able to plan and conduct a rapid thorough assessment and, on reflection, concluded that I  felt that I had managed to build a rapid rapport with 2 by actively listening to him, his wishes and feelings (Roberts &amp; Ottens cited in Social Work Graduate [SWG};2020).  In addition, I felt rapport was built quickly by making 2 an active participant in the decision-making process and in his own MDTs. This helped later on when we discussed the option of residential care with him, and I felt that due to the risk of further physical harm and the risk of seizures due to alcohol withdrawal that this was warranted as a temporary measure to reduce the risks and stabilise 2’s situation. 2 agreed to the plan without hesitation.  </w:t>
            </w:r>
          </w:p>
          <w:p w14:paraId="25C6B022" w14:textId="77777777" w:rsidR="007B7085" w:rsidRDefault="007B7085" w:rsidP="007B7085">
            <w:pPr>
              <w:spacing w:line="360" w:lineRule="auto"/>
              <w:rPr>
                <w:rFonts w:ascii="Calibri" w:eastAsia="SimSun" w:hAnsi="Calibri" w:cs="Calibri"/>
                <w:color w:val="1E1E1E"/>
                <w:lang w:val="cy-GB"/>
              </w:rPr>
            </w:pPr>
          </w:p>
          <w:p w14:paraId="525FBD40"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The CIM helped to inform my practice in this case as I felt that 2’s situation was at crisis point and required a rapid response. CIM was developed by Caplan (1960, cited in Institute for Research and Innovation in Social Work; undated) but in informing my practice in this particular case I used a version of the CIM developed by Louise Harms (2007) (Harms, cited in SWG; 2020) which I found to apply well here. In Harm’s (2007) model, there are six steps to crisis intervention. The first step is ‘rapid assessment’; I had to quickly assess 2’s needs whilst giving assurance of immediate </w:t>
            </w:r>
            <w:r>
              <w:rPr>
                <w:rFonts w:ascii="Calibri" w:eastAsia="SimSun" w:hAnsi="Calibri" w:cs="Calibri"/>
                <w:color w:val="1E1E1E"/>
                <w:lang w:val="cy-GB"/>
              </w:rPr>
              <w:lastRenderedPageBreak/>
              <w:t xml:space="preserve">physical safety which was done through collaborative working with the police by putting a marker on the property, three times weekly visits and an immediate response through multi-disiplinary meetings, supervision and advice by both my line manager and the LA’s safeguarding lead (step 2; reassurance of basic physical safety). I was also conscious that although we were working within crisis intervention, I still wanted 2 to feel empowered and that he had a voice and was an active participant in the decision-making process. I did this by including 2 in MDTs and involving him as an active participant in decision-making (step 3; Maintaining a needs and rights focus). I listened to 2, and knew that the outcome that he wanted was to be moved from where he was staying, and he was telling us that this would minimise the risks exponentially. I validated these feelings and made it known that he was being listened to (step 4). Resources were provided to 2 in the event that he felt he was at risk; these included numbers to call in the event of crisis (step 5), and the direct influence (step 6) was to remove 2 to a place of safety (Harms; 2007). I felt that 2 was at risk of serious harm if he remained and that I was at an impasse in moving him through homeless prevention routes. I used supervision as a tool to explre whether there were other options. I put a strong case together of the risks if he were to remain, and using my professional judgement in complex situations I thought that the best route would be to place 2 in temporary residential care. I came to the conclusion that this was the best route through using professional judgement by initially completing a comprehensive and robust assessment, based on having spent a significant amount of time with 2  engaging him in meaningful and honest conversations; this helped me when it came to discussing this option with him. I was drawn to the professional judgement of feeling that residential care was the safe option through removing him to a place of safety (something that 2 said he wanted), whilst also being in a place where could be monitored against the risk of seizures whilst withdrawing from the alcohol and also a better place to assess his cognition as he withdraws, or reduces, his alcohol intake (Rubio &amp; Ponce; 2013). </w:t>
            </w:r>
          </w:p>
          <w:p w14:paraId="3DEC233B" w14:textId="77777777" w:rsidR="007B7085" w:rsidRDefault="007B7085" w:rsidP="007B7085">
            <w:pPr>
              <w:spacing w:line="360" w:lineRule="auto"/>
              <w:rPr>
                <w:rFonts w:ascii="Calibri" w:eastAsia="SimSun" w:hAnsi="Calibri" w:cs="Calibri"/>
                <w:color w:val="1E1E1E"/>
                <w:lang w:val="cy-GB"/>
              </w:rPr>
            </w:pPr>
          </w:p>
          <w:p w14:paraId="27106640"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My only fear about the conclusion to this safeguarding intervention was that I didn’t at any stage want to run the risk of being oppressive in my practice through placing him somewhere that  he felt was inappropriate to his needs. As 2 had assumed full mental capacity (MCA; 2005) I would not have been able to move him without his consent. Under the European Convention on Human Rights (ECHR), 2 also has a right to a private life under Article 8, and a right to liberty and security under article 5 (Amnesty Internation [AI]; 2023). The Human Rights Act [HRA] (1998) enshrined the rights under the ECHR into UK domestic law, making it possible for individuals who feel their rights are being violated to make a challenge in UK domestic courts rather than taking a lengthy and costly challenge to the European Court of Human Rights (AI; 2023). The HRA (1998) is under threat in the UK following the decision to leave the European Union (Scottish Government [SG]; 2021). This would make it more difficult to hold people in positions of power accountable, and to carry out checks and balances designed to prevent the abuse of power (SG; 2021). I strongly believe that our aim as social work practitioners is to work in an anti-oppressive and anti-discriminatory way, and we are also legally bound to do so through the Equalities Act (2010). Section 1 (1-2) says that an authority should have </w:t>
            </w:r>
            <w:r>
              <w:rPr>
                <w:rFonts w:ascii="Calibri" w:eastAsia="SimSun" w:hAnsi="Calibri" w:cs="Calibri"/>
                <w:i/>
                <w:color w:val="1E1E1E"/>
                <w:lang w:val="cy-GB"/>
              </w:rPr>
              <w:t xml:space="preserve">“due regard... of excersising </w:t>
            </w:r>
            <w:r>
              <w:rPr>
                <w:rFonts w:ascii="Calibri" w:eastAsia="SimSun" w:hAnsi="Calibri" w:cs="Calibri"/>
                <w:color w:val="1E1E1E"/>
                <w:lang w:val="cy-GB"/>
              </w:rPr>
              <w:t xml:space="preserve">[power] </w:t>
            </w:r>
            <w:r>
              <w:rPr>
                <w:rFonts w:ascii="Calibri" w:eastAsia="SimSun" w:hAnsi="Calibri" w:cs="Calibri"/>
                <w:i/>
                <w:color w:val="1E1E1E"/>
                <w:lang w:val="cy-GB"/>
              </w:rPr>
              <w:t xml:space="preserve">in a way designed to reduce inequalities of outcome which result socio-economic disadvantage” </w:t>
            </w:r>
            <w:r>
              <w:rPr>
                <w:rFonts w:ascii="Calibri" w:eastAsia="SimSun" w:hAnsi="Calibri" w:cs="Calibri"/>
                <w:color w:val="1E1E1E"/>
                <w:lang w:val="cy-GB"/>
              </w:rPr>
              <w:t>(UK Government; 2010)</w:t>
            </w:r>
            <w:r>
              <w:rPr>
                <w:rFonts w:ascii="Calibri" w:eastAsia="SimSun" w:hAnsi="Calibri" w:cs="Calibri"/>
                <w:i/>
                <w:color w:val="1E1E1E"/>
                <w:lang w:val="cy-GB"/>
              </w:rPr>
              <w:t xml:space="preserve">.  </w:t>
            </w:r>
          </w:p>
          <w:p w14:paraId="3B2F7A98" w14:textId="77777777" w:rsidR="007B7085" w:rsidRDefault="007B7085" w:rsidP="007B7085">
            <w:pPr>
              <w:spacing w:line="360" w:lineRule="auto"/>
              <w:rPr>
                <w:rFonts w:ascii="Calibri" w:eastAsia="SimSun" w:hAnsi="Calibri" w:cs="Calibri"/>
                <w:color w:val="1E1E1E"/>
                <w:lang w:val="cy-GB"/>
              </w:rPr>
            </w:pPr>
          </w:p>
          <w:p w14:paraId="277EEECA"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As social work practitioners, I feel that it is also important to recognise the power imbalance that inevitability exists between service users and practictioners. However, as Healey (2022) says, citing Facault’s (1980) theory on power,  through shifting our views on who possesses power we can enable powerless groups to exercise power themselves. Facault (1982) argues that power is not inherently bad and that it comes from everywhere and that individuals who are not representative of systemic structures can also be powerful. Having a sense of self, and self-worth, is power. In this case, I felt that through active listening, through use of empathy, honesty and authenticity, respect and understanding (Rodat; 2023), and enabling 2 to make informed decisions, I gave him power over the choices that affect his life, and acknowledged him as the expert on himself, thus transferring power to him. </w:t>
            </w:r>
          </w:p>
          <w:p w14:paraId="4B9B7F7E" w14:textId="77777777" w:rsidR="007B7085" w:rsidRDefault="007B7085" w:rsidP="007B7085">
            <w:pPr>
              <w:spacing w:line="360" w:lineRule="auto"/>
              <w:rPr>
                <w:rFonts w:ascii="Calibri" w:eastAsia="SimSun" w:hAnsi="Calibri" w:cs="Calibri"/>
                <w:color w:val="1E1E1E"/>
                <w:lang w:val="cy-GB"/>
              </w:rPr>
            </w:pPr>
          </w:p>
          <w:p w14:paraId="2776E2E3" w14:textId="77777777" w:rsidR="007B7085" w:rsidRDefault="007B7085" w:rsidP="007B7085">
            <w:pPr>
              <w:spacing w:line="360" w:lineRule="auto"/>
              <w:rPr>
                <w:rFonts w:ascii="Calibri" w:eastAsia="SimSun" w:hAnsi="Calibri" w:cs="Calibri"/>
                <w:color w:val="1E1E1E"/>
                <w:lang w:val="cy-GB"/>
              </w:rPr>
            </w:pPr>
            <w:r>
              <w:rPr>
                <w:rFonts w:ascii="Calibri" w:eastAsia="SimSun" w:hAnsi="Calibri" w:cs="Calibri"/>
                <w:color w:val="1E1E1E"/>
                <w:lang w:val="cy-GB"/>
              </w:rPr>
              <w:t xml:space="preserve">To aid the process of critical self-reflection as well as being able to reflect in supervision with my manager, I applied Driscoll’s (2007) model of reflection, and drew on learning from adult practice reviews. With the Driscoll model, I wanted to focus in particular on the ‘now what’ and the ongoing intervention with 2. I had removed 2 into a place of safety and minimised risk, however where he was placed was a temporary solution to manage, and expedite the minimisation of risk. Through my learning from adult practice reviews (and reflecting on the ‘now what’ for my future professional development) I became aware of the lack of guidance in Welsh legislation and policy on self-neglect within safeguarding, unlike the Care Act in England which defines ‘self-neglect’ specifically as a safeguarding issue (Rees et al; 2021). I reflected on if I had acted earlier based on the risks to 2 that we already knew from self-neglecting behaviours, would I have been able to prevent him from being at risk when a risk from others was cited by local police. In my reflection, and through supervision, I concluded that more preventative measures might have prevented an escalation later on in my intervention. This is something I will be mindful of in future cases. To enhance this area of learning I will be actively seeking relevant training opportunities through the regional safeguarding board. In further reflection, I think we need improved policy guidance on how self-neglect cases are considered within the safeguarding arena.  </w:t>
            </w:r>
          </w:p>
          <w:p w14:paraId="16EAD757" w14:textId="77777777" w:rsidR="007B7085" w:rsidRDefault="007B7085" w:rsidP="007B7085">
            <w:pPr>
              <w:spacing w:line="360" w:lineRule="auto"/>
              <w:rPr>
                <w:rFonts w:ascii="Calibri" w:eastAsia="SimSun" w:hAnsi="Calibri" w:cs="Calibri"/>
                <w:color w:val="1E1E1E"/>
                <w:lang w:val="cy-GB"/>
              </w:rPr>
            </w:pPr>
          </w:p>
          <w:p w14:paraId="4A53D2E9" w14:textId="77777777" w:rsidR="007B7085" w:rsidRPr="008D5C30" w:rsidRDefault="007B7085" w:rsidP="007B7085">
            <w:pPr>
              <w:spacing w:line="360" w:lineRule="auto"/>
              <w:rPr>
                <w:rFonts w:ascii="Calibri" w:eastAsia="SimSun" w:hAnsi="Calibri" w:cs="Calibri"/>
                <w:b/>
                <w:color w:val="1E1E1E"/>
                <w:lang w:val="cy-GB"/>
              </w:rPr>
            </w:pPr>
            <w:r w:rsidRPr="008D5C30">
              <w:rPr>
                <w:rFonts w:ascii="Calibri" w:eastAsia="SimSun" w:hAnsi="Calibri" w:cs="Calibri"/>
                <w:b/>
                <w:color w:val="1E1E1E"/>
                <w:lang w:val="cy-GB"/>
              </w:rPr>
              <w:t xml:space="preserve">Word Count – 4,393 </w:t>
            </w:r>
          </w:p>
          <w:p w14:paraId="0CCF183A" w14:textId="77777777" w:rsidR="007B7085" w:rsidRDefault="007B7085" w:rsidP="007B7085">
            <w:pPr>
              <w:spacing w:line="360" w:lineRule="auto"/>
              <w:rPr>
                <w:rFonts w:ascii="Calibri" w:eastAsia="SimSun" w:hAnsi="Calibri" w:cs="Calibri"/>
                <w:color w:val="1E1E1E"/>
                <w:lang w:val="cy-GB"/>
              </w:rPr>
            </w:pPr>
          </w:p>
          <w:p w14:paraId="7FE12BE7" w14:textId="77777777" w:rsidR="007B7085" w:rsidRDefault="007B7085" w:rsidP="007B7085">
            <w:pPr>
              <w:spacing w:line="360" w:lineRule="auto"/>
              <w:rPr>
                <w:rFonts w:ascii="Calibri" w:eastAsia="SimSun" w:hAnsi="Calibri" w:cs="Calibri"/>
                <w:color w:val="1E1E1E"/>
                <w:lang w:val="cy-GB"/>
              </w:rPr>
            </w:pPr>
          </w:p>
          <w:p w14:paraId="7C5E3E04" w14:textId="77777777" w:rsidR="007B7085" w:rsidRDefault="007B7085" w:rsidP="007B7085">
            <w:pPr>
              <w:spacing w:line="360" w:lineRule="auto"/>
              <w:rPr>
                <w:rFonts w:ascii="Calibri" w:eastAsia="SimSun" w:hAnsi="Calibri" w:cs="Calibri"/>
                <w:color w:val="1E1E1E"/>
                <w:lang w:val="cy-GB"/>
              </w:rPr>
            </w:pPr>
          </w:p>
          <w:p w14:paraId="467E1E75" w14:textId="77777777" w:rsidR="007B7085" w:rsidRDefault="007B7085" w:rsidP="007B7085">
            <w:pPr>
              <w:spacing w:line="360" w:lineRule="auto"/>
              <w:rPr>
                <w:rFonts w:ascii="Calibri" w:eastAsia="SimSun" w:hAnsi="Calibri" w:cs="Calibri"/>
                <w:color w:val="1E1E1E"/>
                <w:lang w:val="cy-GB"/>
              </w:rPr>
            </w:pPr>
          </w:p>
          <w:p w14:paraId="6F6343D8" w14:textId="77777777" w:rsidR="007B7085" w:rsidRDefault="007B7085" w:rsidP="007B7085">
            <w:pPr>
              <w:spacing w:line="360" w:lineRule="auto"/>
              <w:rPr>
                <w:rFonts w:ascii="Calibri" w:eastAsia="SimSun" w:hAnsi="Calibri" w:cs="Calibri"/>
                <w:color w:val="1E1E1E"/>
                <w:lang w:val="cy-GB"/>
              </w:rPr>
            </w:pPr>
          </w:p>
          <w:p w14:paraId="4E2EB166" w14:textId="77777777" w:rsidR="007B7085" w:rsidRDefault="007B7085" w:rsidP="007B7085">
            <w:pPr>
              <w:spacing w:line="360" w:lineRule="auto"/>
              <w:rPr>
                <w:rFonts w:ascii="Calibri" w:eastAsia="SimSun" w:hAnsi="Calibri" w:cs="Calibri"/>
                <w:color w:val="1E1E1E"/>
                <w:lang w:val="cy-GB"/>
              </w:rPr>
            </w:pPr>
          </w:p>
          <w:p w14:paraId="705880AD" w14:textId="77777777" w:rsidR="007B7085" w:rsidRDefault="007B7085" w:rsidP="007B7085">
            <w:pPr>
              <w:spacing w:line="360" w:lineRule="auto"/>
              <w:rPr>
                <w:lang w:val="cy-GB"/>
              </w:rPr>
            </w:pPr>
          </w:p>
          <w:p w14:paraId="0E4D58E6" w14:textId="77777777" w:rsidR="007B7085" w:rsidRDefault="007B7085" w:rsidP="007B7085">
            <w:pPr>
              <w:spacing w:line="360" w:lineRule="auto"/>
              <w:rPr>
                <w:lang w:val="cy-GB"/>
              </w:rPr>
            </w:pPr>
          </w:p>
          <w:p w14:paraId="48582055" w14:textId="77777777" w:rsidR="007B7085" w:rsidRDefault="007B7085" w:rsidP="007B7085">
            <w:pPr>
              <w:spacing w:line="360" w:lineRule="auto"/>
              <w:rPr>
                <w:lang w:val="cy-GB"/>
              </w:rPr>
            </w:pPr>
          </w:p>
          <w:p w14:paraId="77DD403B" w14:textId="77777777" w:rsidR="007B7085" w:rsidRDefault="007B7085" w:rsidP="007B7085">
            <w:pPr>
              <w:spacing w:line="360" w:lineRule="auto"/>
              <w:rPr>
                <w:lang w:val="cy-GB"/>
              </w:rPr>
            </w:pPr>
          </w:p>
          <w:p w14:paraId="7DF61216" w14:textId="77777777" w:rsidR="007B7085" w:rsidRDefault="007B7085" w:rsidP="007B7085">
            <w:pPr>
              <w:spacing w:line="360" w:lineRule="auto"/>
              <w:rPr>
                <w:lang w:val="cy-GB"/>
              </w:rPr>
            </w:pPr>
          </w:p>
          <w:p w14:paraId="6420E388" w14:textId="77777777" w:rsidR="007B7085" w:rsidRDefault="007B7085" w:rsidP="007B7085">
            <w:pPr>
              <w:tabs>
                <w:tab w:val="left" w:pos="720"/>
              </w:tabs>
              <w:spacing w:beforeAutospacing="1" w:afterAutospacing="1" w:line="360" w:lineRule="auto"/>
              <w:rPr>
                <w:rFonts w:ascii="Calibri" w:eastAsia="sans-serif" w:hAnsi="Calibri" w:cs="Calibri"/>
                <w:color w:val="37394C"/>
                <w:lang w:val="cy-GB"/>
              </w:rPr>
            </w:pPr>
            <w:r>
              <w:rPr>
                <w:rFonts w:ascii="Calibri" w:eastAsia="sans-serif" w:hAnsi="Calibri" w:cs="Calibri"/>
                <w:color w:val="37394C"/>
                <w:lang w:val="cy-GB"/>
              </w:rPr>
              <w:t xml:space="preserve">  </w:t>
            </w:r>
          </w:p>
          <w:p w14:paraId="5CC5B6E4" w14:textId="77777777" w:rsidR="007B7085" w:rsidRDefault="007B7085" w:rsidP="007B7085">
            <w:pPr>
              <w:spacing w:line="360" w:lineRule="auto"/>
              <w:rPr>
                <w:lang w:val="cy-GB"/>
              </w:rPr>
            </w:pPr>
          </w:p>
          <w:p w14:paraId="2806248B" w14:textId="77777777" w:rsidR="007B7085" w:rsidRDefault="007B7085" w:rsidP="007B7085">
            <w:pPr>
              <w:spacing w:line="360" w:lineRule="auto"/>
              <w:rPr>
                <w:lang w:val="cy-GB"/>
              </w:rPr>
            </w:pPr>
          </w:p>
          <w:p w14:paraId="0EB4A890" w14:textId="77777777" w:rsidR="007B7085" w:rsidRDefault="007B7085" w:rsidP="007B7085">
            <w:pPr>
              <w:spacing w:line="360" w:lineRule="auto"/>
              <w:rPr>
                <w:lang w:val="cy-GB"/>
              </w:rPr>
            </w:pPr>
          </w:p>
          <w:p w14:paraId="43B35B67" w14:textId="77777777" w:rsidR="007B7085" w:rsidRDefault="007B7085" w:rsidP="007B7085">
            <w:pPr>
              <w:spacing w:line="360" w:lineRule="auto"/>
              <w:rPr>
                <w:lang w:val="cy-GB"/>
              </w:rPr>
            </w:pPr>
          </w:p>
          <w:p w14:paraId="52C65602" w14:textId="77777777" w:rsidR="007B7085" w:rsidRDefault="007B7085" w:rsidP="007B7085">
            <w:pPr>
              <w:spacing w:line="360" w:lineRule="auto"/>
              <w:rPr>
                <w:lang w:val="cy-GB"/>
              </w:rPr>
            </w:pPr>
          </w:p>
          <w:p w14:paraId="1DDE7188" w14:textId="77777777" w:rsidR="007B7085" w:rsidRDefault="007B7085" w:rsidP="007B7085">
            <w:pPr>
              <w:spacing w:line="360" w:lineRule="auto"/>
              <w:rPr>
                <w:lang w:val="cy-GB"/>
              </w:rPr>
            </w:pPr>
          </w:p>
          <w:p w14:paraId="79B629F9" w14:textId="77777777" w:rsidR="007B7085" w:rsidRDefault="007B7085" w:rsidP="007B7085">
            <w:pPr>
              <w:spacing w:line="360" w:lineRule="auto"/>
              <w:rPr>
                <w:lang w:val="cy-GB"/>
              </w:rPr>
            </w:pPr>
          </w:p>
          <w:p w14:paraId="5C751ECE" w14:textId="77777777" w:rsidR="007B7085" w:rsidRDefault="007B7085" w:rsidP="007B7085">
            <w:pPr>
              <w:spacing w:line="360" w:lineRule="auto"/>
              <w:rPr>
                <w:lang w:val="cy-GB"/>
              </w:rPr>
            </w:pPr>
          </w:p>
          <w:p w14:paraId="142BADAA" w14:textId="77777777" w:rsidR="007B7085" w:rsidRDefault="007B7085" w:rsidP="007B7085">
            <w:pPr>
              <w:spacing w:line="360" w:lineRule="auto"/>
              <w:rPr>
                <w:lang w:val="cy-GB"/>
              </w:rPr>
            </w:pPr>
            <w:r>
              <w:rPr>
                <w:lang w:val="cy-GB"/>
              </w:rPr>
              <w:t xml:space="preserve"> </w:t>
            </w:r>
          </w:p>
          <w:p w14:paraId="6AB20AA7" w14:textId="77777777" w:rsidR="007B7085" w:rsidRDefault="007B7085" w:rsidP="007B7085">
            <w:pPr>
              <w:rPr>
                <w:b/>
                <w:bCs/>
                <w:lang w:val="cy-GB"/>
              </w:rPr>
            </w:pPr>
          </w:p>
          <w:p w14:paraId="4B4F95D7" w14:textId="77777777" w:rsidR="007B7085" w:rsidRDefault="007B7085" w:rsidP="007B7085">
            <w:pPr>
              <w:rPr>
                <w:b/>
                <w:bCs/>
                <w:lang w:val="cy-GB"/>
              </w:rPr>
            </w:pPr>
          </w:p>
          <w:p w14:paraId="47342588" w14:textId="77777777" w:rsidR="007B7085" w:rsidRDefault="007B7085" w:rsidP="007B7085">
            <w:pPr>
              <w:rPr>
                <w:lang w:val="cy-GB"/>
              </w:rPr>
            </w:pPr>
            <w:r>
              <w:rPr>
                <w:lang w:val="cy-GB"/>
              </w:rPr>
              <w:t xml:space="preserve">  </w:t>
            </w:r>
          </w:p>
          <w:p w14:paraId="4410B685" w14:textId="77777777" w:rsidR="007B7085" w:rsidRPr="007B7085" w:rsidRDefault="007B7085" w:rsidP="00FF7EBB">
            <w:pPr>
              <w:jc w:val="both"/>
              <w:rPr>
                <w:sz w:val="24"/>
                <w:szCs w:val="24"/>
              </w:rPr>
            </w:pPr>
            <w:bookmarkStart w:id="0" w:name="_GoBack"/>
            <w:bookmarkEnd w:id="0"/>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8A2C06" w14:textId="77777777" w:rsidR="00A376DA" w:rsidRDefault="00A376DA">
      <w:r>
        <w:separator/>
      </w:r>
    </w:p>
  </w:endnote>
  <w:endnote w:type="continuationSeparator" w:id="0">
    <w:p w14:paraId="5845CBD8" w14:textId="77777777" w:rsidR="00A376DA" w:rsidRDefault="00A376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ans-serif">
    <w:altName w:val="Segoe Print"/>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D94CEBE" w:rsidR="00A5656A" w:rsidRDefault="00A5656A">
    <w:pPr>
      <w:pStyle w:val="Footer"/>
      <w:jc w:val="right"/>
    </w:pPr>
    <w:r>
      <w:fldChar w:fldCharType="begin"/>
    </w:r>
    <w:r>
      <w:instrText xml:space="preserve"> PAGE   \* MERGEFORMAT </w:instrText>
    </w:r>
    <w:r>
      <w:fldChar w:fldCharType="separate"/>
    </w:r>
    <w:r w:rsidR="007B7085">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86F9BC" w14:textId="77777777" w:rsidR="00A376DA" w:rsidRDefault="00A376DA">
      <w:r>
        <w:separator/>
      </w:r>
    </w:p>
  </w:footnote>
  <w:footnote w:type="continuationSeparator" w:id="0">
    <w:p w14:paraId="6D5DA059" w14:textId="77777777" w:rsidR="00A376DA" w:rsidRDefault="00A376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C7D2640"/>
    <w:multiLevelType w:val="singleLevel"/>
    <w:tmpl w:val="8C7D2640"/>
    <w:lvl w:ilvl="0">
      <w:start w:val="1"/>
      <w:numFmt w:val="decimal"/>
      <w:lvlText w:val="(%1)"/>
      <w:lvlJc w:val="left"/>
      <w:pPr>
        <w:tabs>
          <w:tab w:val="left" w:pos="312"/>
        </w:tabs>
      </w:pPr>
    </w:lvl>
  </w:abstractNum>
  <w:abstractNum w:abstractNumId="1" w15:restartNumberingAfterBreak="0">
    <w:nsid w:val="C2DEA73B"/>
    <w:multiLevelType w:val="singleLevel"/>
    <w:tmpl w:val="C2DEA73B"/>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FFFFFFFE"/>
    <w:multiLevelType w:val="singleLevel"/>
    <w:tmpl w:val="5046EE80"/>
    <w:lvl w:ilvl="0">
      <w:numFmt w:val="bullet"/>
      <w:lvlText w:val="*"/>
      <w:lvlJc w:val="left"/>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7"/>
  </w:num>
  <w:num w:numId="4">
    <w:abstractNumId w:val="49"/>
  </w:num>
  <w:num w:numId="5">
    <w:abstractNumId w:val="36"/>
  </w:num>
  <w:num w:numId="6">
    <w:abstractNumId w:val="34"/>
  </w:num>
  <w:num w:numId="7">
    <w:abstractNumId w:val="31"/>
  </w:num>
  <w:num w:numId="8">
    <w:abstractNumId w:val="32"/>
  </w:num>
  <w:num w:numId="9">
    <w:abstractNumId w:val="12"/>
  </w:num>
  <w:num w:numId="10">
    <w:abstractNumId w:val="35"/>
  </w:num>
  <w:num w:numId="11">
    <w:abstractNumId w:val="19"/>
  </w:num>
  <w:num w:numId="12">
    <w:abstractNumId w:val="18"/>
  </w:num>
  <w:num w:numId="13">
    <w:abstractNumId w:val="29"/>
  </w:num>
  <w:num w:numId="14">
    <w:abstractNumId w:val="10"/>
  </w:num>
  <w:num w:numId="15">
    <w:abstractNumId w:val="28"/>
  </w:num>
  <w:num w:numId="16">
    <w:abstractNumId w:val="17"/>
  </w:num>
  <w:num w:numId="17">
    <w:abstractNumId w:val="15"/>
  </w:num>
  <w:num w:numId="1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6"/>
  </w:num>
  <w:num w:numId="22">
    <w:abstractNumId w:val="13"/>
  </w:num>
  <w:num w:numId="23">
    <w:abstractNumId w:val="30"/>
  </w:num>
  <w:num w:numId="24">
    <w:abstractNumId w:val="21"/>
  </w:num>
  <w:num w:numId="25">
    <w:abstractNumId w:val="43"/>
  </w:num>
  <w:num w:numId="26">
    <w:abstractNumId w:val="37"/>
  </w:num>
  <w:num w:numId="27">
    <w:abstractNumId w:val="42"/>
  </w:num>
  <w:num w:numId="28">
    <w:abstractNumId w:val="22"/>
  </w:num>
  <w:num w:numId="29">
    <w:abstractNumId w:val="45"/>
  </w:num>
  <w:num w:numId="30">
    <w:abstractNumId w:val="33"/>
  </w:num>
  <w:num w:numId="31">
    <w:abstractNumId w:val="14"/>
  </w:num>
  <w:num w:numId="32">
    <w:abstractNumId w:val="46"/>
  </w:num>
  <w:num w:numId="33">
    <w:abstractNumId w:val="41"/>
  </w:num>
  <w:num w:numId="34">
    <w:abstractNumId w:val="7"/>
  </w:num>
  <w:num w:numId="35">
    <w:abstractNumId w:val="48"/>
  </w:num>
  <w:num w:numId="36">
    <w:abstractNumId w:val="44"/>
  </w:num>
  <w:num w:numId="37">
    <w:abstractNumId w:val="38"/>
  </w:num>
  <w:num w:numId="38">
    <w:abstractNumId w:val="39"/>
  </w:num>
  <w:num w:numId="39">
    <w:abstractNumId w:val="6"/>
  </w:num>
  <w:num w:numId="40">
    <w:abstractNumId w:val="8"/>
  </w:num>
  <w:num w:numId="41">
    <w:abstractNumId w:val="27"/>
  </w:num>
  <w:num w:numId="42">
    <w:abstractNumId w:val="9"/>
  </w:num>
  <w:num w:numId="43">
    <w:abstractNumId w:val="5"/>
  </w:num>
  <w:num w:numId="44">
    <w:abstractNumId w:val="40"/>
  </w:num>
  <w:num w:numId="45">
    <w:abstractNumId w:val="2"/>
  </w:num>
  <w:num w:numId="46">
    <w:abstractNumId w:val="16"/>
  </w:num>
  <w:num w:numId="47">
    <w:abstractNumId w:val="50"/>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0"/>
  </w:num>
  <w:num w:numId="51">
    <w:abstractNumId w:val="26"/>
  </w:num>
  <w:num w:numId="52">
    <w:abstractNumId w:val="23"/>
  </w:num>
  <w:num w:numId="53">
    <w:abstractNumId w:val="4"/>
  </w:num>
  <w:num w:numId="54">
    <w:abstractNumId w:val="1"/>
  </w:num>
  <w:num w:numId="55">
    <w:abstractNumId w:val="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085"/>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6DA"/>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967288-62A5-47EB-B0A0-F652ABDB8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4153</Words>
  <Characters>23677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 O'Marah</cp:lastModifiedBy>
  <cp:revision>5</cp:revision>
  <cp:lastPrinted>2020-02-11T19:20:00Z</cp:lastPrinted>
  <dcterms:created xsi:type="dcterms:W3CDTF">2022-09-29T11:34:00Z</dcterms:created>
  <dcterms:modified xsi:type="dcterms:W3CDTF">2024-02-10T10:45:00Z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