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97"/>
      </w:tblGrid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397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ECSO6001</w:t>
            </w:r>
          </w:p>
        </w:tc>
      </w:tr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397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Sustainable Communities and Global Development</w:t>
            </w:r>
          </w:p>
        </w:tc>
      </w:tr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22860842"/>
            <w:placeholder>
              <w:docPart w:val="43565FE0EA7948048CC85744F45CFA98"/>
            </w:placeholder>
            <w:date w:fullDate="2019-03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397" w:type="dxa"/>
              </w:tcPr>
              <w:p w:rsidR="00B210E0" w:rsidRPr="00B210E0" w:rsidRDefault="00B210E0" w:rsidP="007105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Arial" w:hAnsi="Arial" w:cs="Arial"/>
                    <w:sz w:val="22"/>
                    <w:szCs w:val="22"/>
                  </w:rPr>
                  <w:t>27/03/2019</w:t>
                </w:r>
              </w:p>
            </w:tc>
          </w:sdtContent>
        </w:sdt>
      </w:tr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38716149"/>
            <w:placeholder>
              <w:docPart w:val="FB142D31524A4376B063625461781FF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397" w:type="dxa"/>
              </w:tcPr>
              <w:p w:rsidR="00B210E0" w:rsidRPr="00B210E0" w:rsidRDefault="00B210E0" w:rsidP="007105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397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B210E0" w:rsidRPr="00B210E0" w:rsidTr="00710573">
        <w:tc>
          <w:tcPr>
            <w:tcW w:w="2263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397" w:type="dxa"/>
          </w:tcPr>
          <w:p w:rsidR="00B210E0" w:rsidRPr="00B210E0" w:rsidRDefault="00B210E0" w:rsidP="007105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:rsidR="00B210E0" w:rsidRPr="00B210E0" w:rsidRDefault="00B210E0" w:rsidP="00B210E0">
      <w:pPr>
        <w:pBdr>
          <w:bottom w:val="single" w:sz="6" w:space="1" w:color="auto"/>
        </w:pBdr>
        <w:rPr>
          <w:rFonts w:ascii="Arial" w:hAnsi="Arial" w:cs="Arial"/>
        </w:rPr>
      </w:pPr>
    </w:p>
    <w:p w:rsidR="00B210E0" w:rsidRPr="00B210E0" w:rsidRDefault="00B210E0" w:rsidP="00B210E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210E0">
        <w:rPr>
          <w:rFonts w:ascii="Arial" w:hAnsi="Arial" w:cs="Arial"/>
          <w:b/>
          <w:sz w:val="22"/>
          <w:szCs w:val="22"/>
        </w:rPr>
        <w:t>AIM(S)</w:t>
      </w:r>
    </w:p>
    <w:p w:rsidR="00B210E0" w:rsidRPr="00B210E0" w:rsidRDefault="00B210E0" w:rsidP="00B210E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B210E0" w:rsidRPr="00B210E0" w:rsidRDefault="00B210E0" w:rsidP="00B210E0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B210E0">
        <w:rPr>
          <w:rFonts w:ascii="Arial" w:hAnsi="Arial" w:cs="Arial"/>
          <w:sz w:val="22"/>
          <w:szCs w:val="22"/>
        </w:rPr>
        <w:t>To enable students to critically engage with the relationship between the concepts of social justice and sustainability in a global context.</w:t>
      </w:r>
    </w:p>
    <w:p w:rsidR="00B210E0" w:rsidRPr="00B210E0" w:rsidRDefault="00B210E0" w:rsidP="00B210E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:rsidR="00B210E0" w:rsidRPr="00B210E0" w:rsidRDefault="00B210E0" w:rsidP="00B210E0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210E0">
        <w:rPr>
          <w:rFonts w:ascii="Arial" w:hAnsi="Arial" w:cs="Arial"/>
          <w:b/>
          <w:sz w:val="22"/>
          <w:szCs w:val="22"/>
        </w:rPr>
        <w:t>LEARNING OUTCOMES</w:t>
      </w:r>
    </w:p>
    <w:p w:rsidR="00B210E0" w:rsidRPr="00B210E0" w:rsidRDefault="00B210E0" w:rsidP="00B210E0">
      <w:pPr>
        <w:spacing w:after="0"/>
        <w:rPr>
          <w:rFonts w:ascii="Arial" w:hAnsi="Arial" w:cs="Arial"/>
          <w:b/>
        </w:rPr>
      </w:pPr>
    </w:p>
    <w:p w:rsidR="00B210E0" w:rsidRPr="00B210E0" w:rsidRDefault="00B210E0" w:rsidP="00B210E0">
      <w:pPr>
        <w:rPr>
          <w:rFonts w:ascii="Arial" w:hAnsi="Arial" w:cs="Arial"/>
        </w:rPr>
      </w:pPr>
      <w:r w:rsidRPr="00B210E0">
        <w:rPr>
          <w:rFonts w:ascii="Arial" w:hAnsi="Arial" w:cs="Arial"/>
        </w:rPr>
        <w:t>Upon the successful completion of this module, the student should be able to:</w:t>
      </w:r>
    </w:p>
    <w:p w:rsidR="00B210E0" w:rsidRPr="00B210E0" w:rsidRDefault="00B210E0" w:rsidP="00B210E0">
      <w:pPr>
        <w:pStyle w:val="ListParagraph"/>
        <w:numPr>
          <w:ilvl w:val="0"/>
          <w:numId w:val="2"/>
        </w:numPr>
        <w:spacing w:before="120" w:after="240" w:line="240" w:lineRule="auto"/>
        <w:contextualSpacing w:val="0"/>
        <w:jc w:val="both"/>
        <w:rPr>
          <w:rFonts w:ascii="Arial" w:hAnsi="Arial" w:cs="Arial"/>
        </w:rPr>
      </w:pPr>
      <w:r w:rsidRPr="00B210E0">
        <w:rPr>
          <w:rFonts w:ascii="Arial" w:hAnsi="Arial" w:cs="Arial"/>
        </w:rPr>
        <w:t>appreciate the contested theoretical nature of sustainable development and to differentiate, and critically evaluate, different interpretations of the discourse and theories of society-environment relationships;</w:t>
      </w:r>
    </w:p>
    <w:p w:rsidR="00B210E0" w:rsidRPr="00B210E0" w:rsidRDefault="00B210E0" w:rsidP="00B210E0">
      <w:pPr>
        <w:pStyle w:val="ListParagraph"/>
        <w:numPr>
          <w:ilvl w:val="0"/>
          <w:numId w:val="2"/>
        </w:numPr>
        <w:spacing w:before="120" w:after="240" w:line="240" w:lineRule="auto"/>
        <w:contextualSpacing w:val="0"/>
        <w:jc w:val="both"/>
        <w:rPr>
          <w:rFonts w:ascii="Arial" w:hAnsi="Arial" w:cs="Arial"/>
        </w:rPr>
      </w:pPr>
      <w:proofErr w:type="spellStart"/>
      <w:r w:rsidRPr="00B210E0">
        <w:rPr>
          <w:rFonts w:ascii="Arial" w:hAnsi="Arial" w:cs="Arial"/>
        </w:rPr>
        <w:t>analyse</w:t>
      </w:r>
      <w:proofErr w:type="spellEnd"/>
      <w:r w:rsidRPr="00B210E0">
        <w:rPr>
          <w:rFonts w:ascii="Arial" w:hAnsi="Arial" w:cs="Arial"/>
        </w:rPr>
        <w:t xml:space="preserve"> the role of sustainable development in building a communities based on principles of justice, equity, participation and transparency;</w:t>
      </w:r>
    </w:p>
    <w:p w:rsidR="00B210E0" w:rsidRPr="00B210E0" w:rsidRDefault="00B210E0" w:rsidP="00B210E0">
      <w:pPr>
        <w:pStyle w:val="ListParagraph"/>
        <w:numPr>
          <w:ilvl w:val="0"/>
          <w:numId w:val="2"/>
        </w:numPr>
        <w:spacing w:before="120" w:after="240" w:line="240" w:lineRule="auto"/>
        <w:contextualSpacing w:val="0"/>
        <w:jc w:val="both"/>
        <w:rPr>
          <w:rFonts w:ascii="Arial" w:hAnsi="Arial" w:cs="Arial"/>
        </w:rPr>
      </w:pPr>
      <w:proofErr w:type="gramStart"/>
      <w:r w:rsidRPr="00B210E0">
        <w:rPr>
          <w:rFonts w:ascii="Arial" w:hAnsi="Arial" w:cs="Arial"/>
        </w:rPr>
        <w:t>reflect</w:t>
      </w:r>
      <w:proofErr w:type="gramEnd"/>
      <w:r w:rsidRPr="00B210E0">
        <w:rPr>
          <w:rFonts w:ascii="Arial" w:hAnsi="Arial" w:cs="Arial"/>
        </w:rPr>
        <w:t xml:space="preserve"> upon their own values and attitudes in relation to sustainable development.</w:t>
      </w:r>
    </w:p>
    <w:p w:rsidR="00B210E0" w:rsidRPr="00B210E0" w:rsidRDefault="00B210E0" w:rsidP="00B210E0">
      <w:pPr>
        <w:pStyle w:val="fixed"/>
        <w:rPr>
          <w:rFonts w:ascii="Arial" w:hAnsi="Arial" w:cs="Arial"/>
          <w:sz w:val="22"/>
          <w:szCs w:val="22"/>
        </w:rPr>
      </w:pPr>
      <w:r w:rsidRPr="00B210E0">
        <w:rPr>
          <w:rFonts w:ascii="Arial" w:hAnsi="Arial" w:cs="Arial"/>
          <w:sz w:val="22"/>
          <w:szCs w:val="22"/>
        </w:rPr>
        <w:t>INDICATIVE CONTENT</w:t>
      </w:r>
    </w:p>
    <w:p w:rsidR="00B210E0" w:rsidRPr="00B210E0" w:rsidRDefault="00B210E0" w:rsidP="00B210E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210E0">
        <w:rPr>
          <w:rFonts w:ascii="Arial" w:hAnsi="Arial" w:cs="Arial"/>
        </w:rPr>
        <w:t xml:space="preserve">A critical analysis of Green philosophies, different theories of environment–society relationships: techno-centric and eco-centric approaches (social ecology, eco feminism, eco socialism, deep ecology). To engender critical discussion on the role of social justice within environmental / sustainability debates. </w:t>
      </w:r>
    </w:p>
    <w:p w:rsidR="00B210E0" w:rsidRPr="00B210E0" w:rsidRDefault="00B210E0" w:rsidP="00B210E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210E0">
        <w:rPr>
          <w:rFonts w:ascii="Arial" w:hAnsi="Arial" w:cs="Arial"/>
        </w:rPr>
        <w:t xml:space="preserve">Critically explore the ways in which policies of sustainable development work to achieve social justice and inclusion and whether it is the catalyst for a new responsible citizenship. </w:t>
      </w:r>
    </w:p>
    <w:p w:rsidR="00B210E0" w:rsidRPr="00B210E0" w:rsidRDefault="00B210E0" w:rsidP="00B210E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210E0">
        <w:rPr>
          <w:rFonts w:ascii="Arial" w:hAnsi="Arial" w:cs="Arial"/>
        </w:rPr>
        <w:t xml:space="preserve">A critical assessment of different paradigms within education for sustainability: positivist, interpretive, social critical theories and postmodernism. </w:t>
      </w:r>
    </w:p>
    <w:p w:rsidR="00B210E0" w:rsidRPr="00B210E0" w:rsidRDefault="00B210E0" w:rsidP="00B210E0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210E0">
        <w:rPr>
          <w:rFonts w:ascii="Arial" w:hAnsi="Arial" w:cs="Arial"/>
        </w:rPr>
        <w:t xml:space="preserve">An exploration of Education for Sustainability and social justice in formal, informal and formal educational contexts including the community, visions, challenges and practices. A critical assessment of guidance and models for promoting education for sustainability and social justice. </w:t>
      </w:r>
    </w:p>
    <w:p w:rsidR="00B210E0" w:rsidRPr="00B210E0" w:rsidRDefault="00B210E0" w:rsidP="00B210E0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B210E0" w:rsidRPr="00B210E0" w:rsidRDefault="00B210E0" w:rsidP="00B210E0">
      <w:pPr>
        <w:pStyle w:val="fixed"/>
        <w:spacing w:after="120"/>
        <w:ind w:left="0" w:firstLine="0"/>
        <w:rPr>
          <w:rFonts w:ascii="Arial" w:hAnsi="Arial" w:cs="Arial"/>
          <w:sz w:val="22"/>
          <w:szCs w:val="22"/>
        </w:rPr>
      </w:pPr>
      <w:r w:rsidRPr="00B210E0">
        <w:rPr>
          <w:rFonts w:ascii="Arial" w:hAnsi="Arial" w:cs="Arial"/>
          <w:sz w:val="22"/>
          <w:szCs w:val="22"/>
        </w:rPr>
        <w:t>Study Time Allocation</w:t>
      </w:r>
    </w:p>
    <w:p w:rsidR="00B210E0" w:rsidRPr="00B210E0" w:rsidRDefault="00B210E0" w:rsidP="00B210E0">
      <w:pPr>
        <w:keepNext/>
        <w:rPr>
          <w:rFonts w:ascii="Arial" w:hAnsi="Arial" w:cs="Arial"/>
        </w:rPr>
      </w:pPr>
      <w:r w:rsidRPr="00B210E0">
        <w:rPr>
          <w:rFonts w:ascii="Arial" w:hAnsi="Arial" w:cs="Arial"/>
        </w:rPr>
        <w:t>The study time for the module is divided as follows: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210E0" w:rsidRPr="00B210E0" w:rsidTr="0071057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10E0" w:rsidRPr="00B210E0" w:rsidRDefault="00B210E0" w:rsidP="00710573">
            <w:pPr>
              <w:spacing w:after="0"/>
              <w:rPr>
                <w:rFonts w:ascii="Arial" w:hAnsi="Arial" w:cs="Arial"/>
                <w:b/>
              </w:rPr>
            </w:pPr>
            <w:r w:rsidRPr="00B210E0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210E0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210E0">
              <w:rPr>
                <w:rFonts w:ascii="Arial" w:hAnsi="Arial" w:cs="Arial"/>
                <w:b/>
              </w:rPr>
              <w:t>Percentage</w:t>
            </w:r>
          </w:p>
        </w:tc>
      </w:tr>
      <w:tr w:rsidR="00B210E0" w:rsidRPr="00B210E0" w:rsidTr="00710573">
        <w:tc>
          <w:tcPr>
            <w:tcW w:w="3969" w:type="dxa"/>
            <w:shd w:val="clear" w:color="auto" w:fill="auto"/>
          </w:tcPr>
          <w:p w:rsidR="00B210E0" w:rsidRPr="00B210E0" w:rsidRDefault="00B210E0" w:rsidP="00710573">
            <w:pPr>
              <w:spacing w:after="0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15%</w:t>
            </w:r>
          </w:p>
        </w:tc>
      </w:tr>
      <w:tr w:rsidR="00B210E0" w:rsidRPr="00B210E0" w:rsidTr="00710573">
        <w:tc>
          <w:tcPr>
            <w:tcW w:w="3969" w:type="dxa"/>
            <w:shd w:val="clear" w:color="auto" w:fill="auto"/>
          </w:tcPr>
          <w:p w:rsidR="00B210E0" w:rsidRPr="00B210E0" w:rsidRDefault="00B210E0" w:rsidP="00710573">
            <w:pPr>
              <w:spacing w:after="0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170</w:t>
            </w:r>
          </w:p>
        </w:tc>
        <w:tc>
          <w:tcPr>
            <w:tcW w:w="1843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85%</w:t>
            </w:r>
          </w:p>
        </w:tc>
      </w:tr>
      <w:tr w:rsidR="00B210E0" w:rsidRPr="00B210E0" w:rsidTr="00710573">
        <w:tc>
          <w:tcPr>
            <w:tcW w:w="3969" w:type="dxa"/>
            <w:shd w:val="clear" w:color="auto" w:fill="auto"/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</w:rPr>
              <w:t>0%</w:t>
            </w:r>
          </w:p>
        </w:tc>
      </w:tr>
      <w:tr w:rsidR="00B210E0" w:rsidRPr="00B210E0" w:rsidTr="00710573">
        <w:tc>
          <w:tcPr>
            <w:tcW w:w="3969" w:type="dxa"/>
            <w:shd w:val="clear" w:color="auto" w:fill="auto"/>
          </w:tcPr>
          <w:p w:rsidR="00B210E0" w:rsidRPr="00B210E0" w:rsidRDefault="00B210E0" w:rsidP="00710573">
            <w:pPr>
              <w:spacing w:after="0"/>
              <w:rPr>
                <w:rFonts w:ascii="Arial" w:hAnsi="Arial" w:cs="Arial"/>
              </w:rPr>
            </w:pPr>
            <w:r w:rsidRPr="00B210E0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210E0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210E0">
              <w:rPr>
                <w:rFonts w:ascii="Arial" w:hAnsi="Arial" w:cs="Arial"/>
                <w:b/>
              </w:rPr>
              <w:t>100%</w:t>
            </w:r>
          </w:p>
        </w:tc>
      </w:tr>
    </w:tbl>
    <w:p w:rsidR="00B210E0" w:rsidRPr="00B210E0" w:rsidRDefault="00B210E0" w:rsidP="00B210E0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210E0">
        <w:rPr>
          <w:rFonts w:ascii="Arial" w:hAnsi="Arial" w:cs="Arial"/>
          <w:sz w:val="22"/>
          <w:szCs w:val="22"/>
        </w:rPr>
        <w:lastRenderedPageBreak/>
        <w:t>ASSESSMENT</w:t>
      </w:r>
      <w:bookmarkStart w:id="0" w:name="_GoBack"/>
      <w:bookmarkEnd w:id="0"/>
    </w:p>
    <w:p w:rsidR="00B210E0" w:rsidRPr="00B210E0" w:rsidRDefault="00B210E0" w:rsidP="00B210E0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B210E0" w:rsidRPr="00B210E0" w:rsidRDefault="00B210E0" w:rsidP="00B210E0">
      <w:pPr>
        <w:rPr>
          <w:rFonts w:ascii="Arial" w:hAnsi="Arial" w:cs="Arial"/>
          <w:b/>
        </w:rPr>
      </w:pPr>
      <w:r w:rsidRPr="00B210E0">
        <w:rPr>
          <w:rFonts w:ascii="Arial" w:hAnsi="Arial"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210E0" w:rsidRPr="00B210E0" w:rsidTr="00710573">
        <w:sdt>
          <w:sdtPr>
            <w:rPr>
              <w:rFonts w:ascii="Arial" w:hAnsi="Arial" w:cs="Arial"/>
              <w:sz w:val="22"/>
              <w:szCs w:val="22"/>
            </w:rPr>
            <w:id w:val="-12049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943241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6370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B210E0" w:rsidRPr="00B210E0" w:rsidRDefault="00B210E0" w:rsidP="00B21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210E0" w:rsidRPr="00B210E0" w:rsidTr="00710573">
        <w:tc>
          <w:tcPr>
            <w:tcW w:w="3256" w:type="dxa"/>
          </w:tcPr>
          <w:p w:rsidR="00B210E0" w:rsidRPr="00B210E0" w:rsidRDefault="00B210E0" w:rsidP="007105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210E0" w:rsidRPr="00B210E0" w:rsidTr="00710573">
        <w:tc>
          <w:tcPr>
            <w:tcW w:w="3256" w:type="dxa"/>
          </w:tcPr>
          <w:p w:rsidR="00B210E0" w:rsidRPr="00B210E0" w:rsidRDefault="00B210E0" w:rsidP="0071057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Essay </w:t>
            </w:r>
          </w:p>
        </w:tc>
        <w:tc>
          <w:tcPr>
            <w:tcW w:w="396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2500 words </w:t>
            </w:r>
          </w:p>
        </w:tc>
        <w:tc>
          <w:tcPr>
            <w:tcW w:w="155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B210E0" w:rsidRPr="00B210E0" w:rsidRDefault="00B210E0" w:rsidP="00B210E0">
      <w:pPr>
        <w:spacing w:after="0"/>
        <w:rPr>
          <w:rFonts w:ascii="Arial" w:hAnsi="Arial" w:cs="Arial"/>
          <w:b/>
        </w:rPr>
      </w:pPr>
    </w:p>
    <w:p w:rsidR="00B210E0" w:rsidRPr="00B210E0" w:rsidRDefault="00B210E0" w:rsidP="00B210E0">
      <w:pPr>
        <w:spacing w:after="0"/>
        <w:rPr>
          <w:rFonts w:ascii="Arial" w:hAnsi="Arial" w:cs="Arial"/>
          <w:b/>
        </w:rPr>
      </w:pPr>
      <w:r w:rsidRPr="00B210E0">
        <w:rPr>
          <w:rFonts w:ascii="Arial" w:hAnsi="Arial" w:cs="Arial"/>
          <w:b/>
        </w:rPr>
        <w:t>Assessment Component 2</w:t>
      </w:r>
    </w:p>
    <w:p w:rsidR="00B210E0" w:rsidRPr="00B210E0" w:rsidRDefault="00B210E0" w:rsidP="00B210E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210E0" w:rsidRPr="00B210E0" w:rsidTr="00710573">
        <w:sdt>
          <w:sdtPr>
            <w:rPr>
              <w:rFonts w:ascii="Arial" w:hAnsi="Arial" w:cs="Arial"/>
              <w:sz w:val="22"/>
              <w:szCs w:val="22"/>
            </w:rPr>
            <w:id w:val="-180972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1709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134930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B210E0" w:rsidRPr="00B210E0" w:rsidRDefault="00B210E0" w:rsidP="0071057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B210E0" w:rsidRPr="00B210E0" w:rsidRDefault="00B210E0" w:rsidP="007105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B210E0" w:rsidRPr="00B210E0" w:rsidRDefault="00B210E0" w:rsidP="00B210E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210E0" w:rsidRPr="00B210E0" w:rsidTr="00710573">
        <w:tc>
          <w:tcPr>
            <w:tcW w:w="3256" w:type="dxa"/>
          </w:tcPr>
          <w:p w:rsidR="00B210E0" w:rsidRPr="00B210E0" w:rsidRDefault="00B210E0" w:rsidP="007105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210E0" w:rsidRPr="00B210E0" w:rsidTr="00710573">
        <w:tc>
          <w:tcPr>
            <w:tcW w:w="3256" w:type="dxa"/>
          </w:tcPr>
          <w:p w:rsidR="00B210E0" w:rsidRPr="00B210E0" w:rsidRDefault="00B210E0" w:rsidP="0071057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Reflective Account  </w:t>
            </w:r>
          </w:p>
        </w:tc>
        <w:tc>
          <w:tcPr>
            <w:tcW w:w="396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2500 words</w:t>
            </w:r>
          </w:p>
        </w:tc>
        <w:tc>
          <w:tcPr>
            <w:tcW w:w="1559" w:type="dxa"/>
          </w:tcPr>
          <w:p w:rsidR="00B210E0" w:rsidRPr="00B210E0" w:rsidRDefault="00B210E0" w:rsidP="00710573">
            <w:pPr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B210E0" w:rsidRPr="00B210E0" w:rsidRDefault="00B210E0" w:rsidP="00B210E0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B210E0" w:rsidRPr="00B210E0" w:rsidRDefault="00B210E0" w:rsidP="00B210E0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210E0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210E0" w:rsidRPr="00B210E0" w:rsidTr="0071057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B210E0" w:rsidRPr="00B210E0" w:rsidRDefault="00B210E0" w:rsidP="00710573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210E0" w:rsidRPr="00B210E0" w:rsidTr="00710573">
        <w:tc>
          <w:tcPr>
            <w:tcW w:w="3261" w:type="dxa"/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B210E0" w:rsidRPr="00B210E0" w:rsidRDefault="00B210E0" w:rsidP="00710573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3261" w:type="dxa"/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B210E0" w:rsidRPr="00B210E0" w:rsidRDefault="00B210E0" w:rsidP="00710573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210E0" w:rsidRPr="00B210E0" w:rsidTr="00710573">
        <w:tc>
          <w:tcPr>
            <w:tcW w:w="3261" w:type="dxa"/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B210E0" w:rsidRPr="00B210E0" w:rsidRDefault="00B210E0" w:rsidP="00710573">
            <w:pPr>
              <w:keepNext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3261" w:type="dxa"/>
          </w:tcPr>
          <w:p w:rsidR="00B210E0" w:rsidRPr="00B210E0" w:rsidRDefault="00B210E0" w:rsidP="00710573">
            <w:pPr>
              <w:keepNext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B210E0" w:rsidRPr="00B210E0" w:rsidRDefault="00B210E0" w:rsidP="00710573">
            <w:pPr>
              <w:keepNext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B210E0" w:rsidRPr="00B210E0" w:rsidRDefault="00B210E0" w:rsidP="00B210E0">
      <w:pPr>
        <w:spacing w:after="0"/>
        <w:rPr>
          <w:rFonts w:ascii="Arial" w:hAnsi="Arial" w:cs="Arial"/>
        </w:rPr>
      </w:pPr>
    </w:p>
    <w:p w:rsidR="00B210E0" w:rsidRPr="00B210E0" w:rsidRDefault="00B210E0" w:rsidP="00B210E0">
      <w:pPr>
        <w:rPr>
          <w:rFonts w:ascii="Arial" w:hAnsi="Arial" w:cs="Arial"/>
          <w:b/>
        </w:rPr>
      </w:pPr>
      <w:r w:rsidRPr="00B210E0">
        <w:rPr>
          <w:rFonts w:ascii="Arial" w:hAnsi="Arial" w:cs="Arial"/>
          <w:b/>
        </w:rPr>
        <w:t>READING LIST</w:t>
      </w:r>
    </w:p>
    <w:tbl>
      <w:tblPr>
        <w:tblStyle w:val="TableGrid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6093"/>
        <w:gridCol w:w="1420"/>
      </w:tblGrid>
      <w:tr w:rsidR="00B210E0" w:rsidRPr="00B210E0" w:rsidTr="00710573">
        <w:tc>
          <w:tcPr>
            <w:tcW w:w="1701" w:type="dxa"/>
            <w:shd w:val="clear" w:color="auto" w:fill="BFBFBF" w:themeFill="background1" w:themeFillShade="BF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513" w:type="dxa"/>
            <w:gridSpan w:val="2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ECSO6001</w:t>
            </w:r>
          </w:p>
        </w:tc>
      </w:tr>
      <w:tr w:rsidR="00B210E0" w:rsidRPr="00B210E0" w:rsidTr="00710573">
        <w:tc>
          <w:tcPr>
            <w:tcW w:w="1701" w:type="dxa"/>
            <w:shd w:val="clear" w:color="auto" w:fill="BFBFBF" w:themeFill="background1" w:themeFillShade="BF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513" w:type="dxa"/>
            <w:gridSpan w:val="2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Sustainable Communities and Global Development</w:t>
            </w:r>
          </w:p>
        </w:tc>
      </w:tr>
      <w:tr w:rsidR="00B210E0" w:rsidRPr="00B210E0" w:rsidTr="00710573">
        <w:tc>
          <w:tcPr>
            <w:tcW w:w="1701" w:type="dxa"/>
            <w:shd w:val="clear" w:color="auto" w:fill="BFBFBF" w:themeFill="background1" w:themeFillShade="BF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6093" w:type="dxa"/>
            <w:shd w:val="clear" w:color="auto" w:fill="BFBFBF" w:themeFill="background1" w:themeFillShade="BF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420" w:type="dxa"/>
            <w:shd w:val="clear" w:color="auto" w:fill="BFBFBF" w:themeFill="background1" w:themeFillShade="BF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210E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Clarke, P. (2011)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Education for Sustainability: Becoming Naturally Smart</w:t>
            </w:r>
            <w:r w:rsidRPr="00B210E0">
              <w:rPr>
                <w:rFonts w:ascii="Arial" w:hAnsi="Arial" w:cs="Arial"/>
                <w:sz w:val="22"/>
                <w:szCs w:val="22"/>
              </w:rPr>
              <w:t>. London: Routledge.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57735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Shirazi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 R and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Keivani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 R (2019)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 xml:space="preserve">Urban Social Sustainability: Theory, Policy and Practice, </w:t>
            </w:r>
            <w:r w:rsidRPr="00B210E0">
              <w:rPr>
                <w:rFonts w:ascii="Arial" w:hAnsi="Arial" w:cs="Arial"/>
                <w:sz w:val="22"/>
                <w:szCs w:val="22"/>
              </w:rPr>
              <w:t>London: Routledge.</w:t>
            </w:r>
          </w:p>
        </w:tc>
        <w:tc>
          <w:tcPr>
            <w:tcW w:w="1420" w:type="dxa"/>
          </w:tcPr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Urry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J. (2011)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Climate Change and Society</w:t>
            </w:r>
            <w:r w:rsidRPr="00B210E0">
              <w:rPr>
                <w:rFonts w:ascii="Arial" w:hAnsi="Arial" w:cs="Arial"/>
                <w:sz w:val="22"/>
                <w:szCs w:val="22"/>
              </w:rPr>
              <w:t>. Cambridge: Polity.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8038058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Rogerson, R, Sadler</w:t>
            </w:r>
            <w:proofErr w:type="gramStart"/>
            <w:r w:rsidRPr="00B210E0">
              <w:rPr>
                <w:rFonts w:ascii="Arial" w:hAnsi="Arial" w:cs="Arial"/>
                <w:sz w:val="22"/>
                <w:szCs w:val="22"/>
              </w:rPr>
              <w:t>,.</w:t>
            </w:r>
            <w:proofErr w:type="gramEnd"/>
            <w:r w:rsidRPr="00B210E0">
              <w:rPr>
                <w:rFonts w:ascii="Arial" w:hAnsi="Arial" w:cs="Arial"/>
                <w:sz w:val="22"/>
                <w:szCs w:val="22"/>
              </w:rPr>
              <w:t xml:space="preserve"> Green, A. &amp; Wong, </w:t>
            </w:r>
            <w:proofErr w:type="gramStart"/>
            <w:r w:rsidRPr="00B210E0">
              <w:rPr>
                <w:rFonts w:ascii="Arial" w:hAnsi="Arial" w:cs="Arial"/>
                <w:sz w:val="22"/>
                <w:szCs w:val="22"/>
              </w:rPr>
              <w:t>C</w:t>
            </w:r>
            <w:proofErr w:type="gramEnd"/>
            <w:r w:rsidRPr="00B210E0">
              <w:rPr>
                <w:rFonts w:ascii="Arial" w:hAnsi="Arial" w:cs="Arial"/>
                <w:sz w:val="22"/>
                <w:szCs w:val="22"/>
              </w:rPr>
              <w:t xml:space="preserve">. (2011)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Sustainable Communities: Skills and Learning for Place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, Hereford: University of Hereford. 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45031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Lafferty, M. (2001) Sustainable Communities in Europe. London: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Earthscan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356379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Further 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Manzi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T., Lucas, K., Jones, T. L. and Allen, J. (2010)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Social Sustainability in Urban Areas: Communities, Connectivity and the Urban Fabric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. London: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Earthscan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067513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ACCAC Guidance – Curriculum and Qualifications (2008)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Education for Sustainable Development and Global Citizenship</w:t>
            </w:r>
            <w:r w:rsidRPr="00B210E0">
              <w:rPr>
                <w:rFonts w:ascii="Arial" w:hAnsi="Arial" w:cs="Arial"/>
                <w:sz w:val="22"/>
                <w:szCs w:val="22"/>
              </w:rPr>
              <w:t>. Cardiff: ACCAC.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028689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Leonard, L. and Kenny, P. (2010) Sustainable Justice and the Community: Advances in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Ecopolitics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 Bingley, UK: Emerald Group Publishing Limited.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23570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Blewitt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J. and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Cullingford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C. (2004)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The Sustainability Curriculum: The Challenge for Higher Education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. London: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Earthscan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679132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Brinn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D., Fowler, C. and Hester, C. (2001)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Making a Difference: Education for Sustainable Development within the Personal and Social Education Framework at Key Stage 2</w:t>
            </w:r>
            <w:r w:rsidRPr="00B210E0">
              <w:rPr>
                <w:rFonts w:ascii="Arial" w:hAnsi="Arial" w:cs="Arial"/>
                <w:sz w:val="22"/>
                <w:szCs w:val="22"/>
              </w:rPr>
              <w:t>. Sandy Bedfordshire: RSPB.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36198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Christie and Warburton, D. (2001)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From Here to Sustainability: The Real World Coalition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. London: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Earthscan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55730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Cudworth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E. and Walker K (2013)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Technology, Society and Inequality: New Horizons and Contested Futures (Digital Formations)</w:t>
            </w:r>
            <w:r w:rsidRPr="00B210E0">
              <w:rPr>
                <w:rFonts w:ascii="Arial" w:hAnsi="Arial" w:cs="Arial"/>
                <w:sz w:val="22"/>
                <w:szCs w:val="22"/>
              </w:rPr>
              <w:t>. USA: Peter Lang Pub.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715835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DETR/WAG (2005)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Consultation Document on Education for Sustainable Development – a Strategy for Wales</w:t>
            </w:r>
            <w:r w:rsidRPr="00B210E0">
              <w:rPr>
                <w:rFonts w:ascii="Arial" w:hAnsi="Arial" w:cs="Arial"/>
                <w:sz w:val="22"/>
                <w:szCs w:val="22"/>
              </w:rPr>
              <w:t>. Cardiff: DETR/WAG.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079084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Nikolopoulou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A., Abraham, T. &amp;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Mirbagheri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F. (eds.) (2010)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Education for Sustainable Development: Challenges, Strategies and Practices in a Globalizing World</w:t>
            </w:r>
            <w:r w:rsidRPr="00B210E0">
              <w:rPr>
                <w:rFonts w:ascii="Arial" w:hAnsi="Arial" w:cs="Arial"/>
                <w:sz w:val="22"/>
                <w:szCs w:val="22"/>
              </w:rPr>
              <w:t>. London: Sage.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552760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Riano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P. (1994)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Women in Grassroots Communication</w:t>
            </w:r>
            <w:r w:rsidRPr="00B210E0">
              <w:rPr>
                <w:rFonts w:ascii="Arial" w:hAnsi="Arial" w:cs="Arial"/>
                <w:sz w:val="22"/>
                <w:szCs w:val="22"/>
              </w:rPr>
              <w:t>.  London: Sage.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21561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Scott, W. and Gough, S. (2004)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 xml:space="preserve">Key Issues in Sustainable Development and Learning. 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New York: Routledge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Falmer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656221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Scott, W. (2008)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Sustainability and Learning: What Role for the Curriculum? Centre for Environmental Education</w:t>
            </w:r>
            <w:r w:rsidRPr="00B210E0">
              <w:rPr>
                <w:rFonts w:ascii="Arial" w:hAnsi="Arial" w:cs="Arial"/>
                <w:sz w:val="22"/>
                <w:szCs w:val="22"/>
              </w:rPr>
              <w:t>. Bath: Pentathlon GB.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597920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 xml:space="preserve">Sterling, S. (2001)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Sustainable Education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Dartington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>: Green Books.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939600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10E0" w:rsidRPr="00B210E0" w:rsidTr="00710573">
        <w:tc>
          <w:tcPr>
            <w:tcW w:w="1701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B210E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93" w:type="dxa"/>
          </w:tcPr>
          <w:p w:rsidR="00B210E0" w:rsidRPr="00B210E0" w:rsidRDefault="00B210E0" w:rsidP="00710573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Tilbury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D., Stevenson, R.B., Fein, J. and </w:t>
            </w:r>
            <w:proofErr w:type="spellStart"/>
            <w:r w:rsidRPr="00B210E0">
              <w:rPr>
                <w:rFonts w:ascii="Arial" w:hAnsi="Arial" w:cs="Arial"/>
                <w:sz w:val="22"/>
                <w:szCs w:val="22"/>
              </w:rPr>
              <w:t>Schreuder</w:t>
            </w:r>
            <w:proofErr w:type="spellEnd"/>
            <w:r w:rsidRPr="00B210E0">
              <w:rPr>
                <w:rFonts w:ascii="Arial" w:hAnsi="Arial" w:cs="Arial"/>
                <w:sz w:val="22"/>
                <w:szCs w:val="22"/>
              </w:rPr>
              <w:t xml:space="preserve">, D. (2002) </w:t>
            </w:r>
            <w:r w:rsidRPr="00B210E0">
              <w:rPr>
                <w:rFonts w:ascii="Arial" w:hAnsi="Arial" w:cs="Arial"/>
                <w:i/>
                <w:sz w:val="22"/>
                <w:szCs w:val="22"/>
              </w:rPr>
              <w:t>Education and Sustainability: Responding to the Global Challenge.</w:t>
            </w:r>
            <w:r w:rsidRPr="00B210E0">
              <w:rPr>
                <w:rFonts w:ascii="Arial" w:hAnsi="Arial" w:cs="Arial"/>
                <w:sz w:val="22"/>
                <w:szCs w:val="22"/>
              </w:rPr>
              <w:t xml:space="preserve"> Cambridge: IUCN.</w:t>
            </w:r>
          </w:p>
        </w:tc>
        <w:tc>
          <w:tcPr>
            <w:tcW w:w="1420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24730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B210E0" w:rsidRPr="00B210E0" w:rsidRDefault="00B210E0" w:rsidP="00710573">
                <w:pPr>
                  <w:spacing w:after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210E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B210E0" w:rsidRPr="00B210E0" w:rsidRDefault="00B210E0" w:rsidP="0071057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347FC" w:rsidRPr="00B210E0" w:rsidRDefault="003347FC">
      <w:pPr>
        <w:rPr>
          <w:rFonts w:ascii="Arial" w:hAnsi="Arial" w:cs="Arial"/>
        </w:rPr>
      </w:pPr>
    </w:p>
    <w:sectPr w:rsidR="003347FC" w:rsidRPr="00B21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5351"/>
    <w:multiLevelType w:val="hybridMultilevel"/>
    <w:tmpl w:val="0598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E541E"/>
    <w:multiLevelType w:val="hybridMultilevel"/>
    <w:tmpl w:val="B112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E0"/>
    <w:rsid w:val="003347FC"/>
    <w:rsid w:val="00B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DE0754-905A-4E5A-9DC7-D96CBA2A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0E0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210E0"/>
    <w:pPr>
      <w:ind w:left="720"/>
      <w:contextualSpacing/>
    </w:pPr>
  </w:style>
  <w:style w:type="table" w:styleId="TableGrid">
    <w:name w:val="Table Grid"/>
    <w:basedOn w:val="TableNormal"/>
    <w:uiPriority w:val="59"/>
    <w:rsid w:val="00B210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B210E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B210E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B210E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B210E0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B210E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3565FE0EA7948048CC85744F45CF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8530BE-585E-40C9-BBD8-72C31138096D}"/>
      </w:docPartPr>
      <w:docPartBody>
        <w:p w:rsidR="00000000" w:rsidRDefault="004C603F" w:rsidP="004C603F">
          <w:pPr>
            <w:pStyle w:val="43565FE0EA7948048CC85744F45CFA98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FB142D31524A4376B063625461781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3A01B-63DD-4CB6-B166-6800FF4162CF}"/>
      </w:docPartPr>
      <w:docPartBody>
        <w:p w:rsidR="00000000" w:rsidRDefault="004C603F" w:rsidP="004C603F">
          <w:pPr>
            <w:pStyle w:val="FB142D31524A4376B063625461781FFB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03F"/>
    <w:rsid w:val="004C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603F"/>
    <w:rPr>
      <w:color w:val="808080"/>
    </w:rPr>
  </w:style>
  <w:style w:type="paragraph" w:customStyle="1" w:styleId="43565FE0EA7948048CC85744F45CFA98">
    <w:name w:val="43565FE0EA7948048CC85744F45CFA98"/>
    <w:rsid w:val="004C603F"/>
  </w:style>
  <w:style w:type="paragraph" w:customStyle="1" w:styleId="FB142D31524A4376B063625461781FFB">
    <w:name w:val="FB142D31524A4376B063625461781FFB"/>
    <w:rsid w:val="004C60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Cornelius</dc:creator>
  <cp:keywords/>
  <dc:description/>
  <cp:lastModifiedBy>Sarah Cornelius</cp:lastModifiedBy>
  <cp:revision>1</cp:revision>
  <dcterms:created xsi:type="dcterms:W3CDTF">2019-04-05T13:40:00Z</dcterms:created>
  <dcterms:modified xsi:type="dcterms:W3CDTF">2019-04-05T13:41:00Z</dcterms:modified>
</cp:coreProperties>
</file>