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9DE" w:rsidRPr="00C569DE" w:rsidRDefault="00C569DE" w:rsidP="00C569DE">
      <w:pPr>
        <w:spacing w:before="100" w:beforeAutospacing="1" w:after="100" w:afterAutospacing="1" w:line="240" w:lineRule="auto"/>
        <w:outlineLvl w:val="1"/>
        <w:rPr>
          <w:rFonts w:ascii="Times New Roman" w:eastAsia="Times New Roman" w:hAnsi="Times New Roman" w:cs="Times New Roman"/>
          <w:b/>
          <w:bCs/>
          <w:color w:val="000000"/>
          <w:sz w:val="36"/>
          <w:szCs w:val="36"/>
          <w:lang w:eastAsia="en-GB"/>
        </w:rPr>
      </w:pPr>
      <w:r w:rsidRPr="00C569DE">
        <w:rPr>
          <w:rFonts w:ascii="Times New Roman" w:eastAsia="Times New Roman" w:hAnsi="Times New Roman" w:cs="Times New Roman"/>
          <w:b/>
          <w:bCs/>
          <w:color w:val="000000"/>
          <w:sz w:val="36"/>
          <w:szCs w:val="36"/>
          <w:lang w:eastAsia="en-GB"/>
        </w:rPr>
        <w:t>Course in Medicine [1270-74]</w:t>
      </w:r>
    </w:p>
    <w:p w:rsidR="00C569DE" w:rsidRPr="00C569DE" w:rsidRDefault="00C569DE" w:rsidP="00C569DE">
      <w:pPr>
        <w:spacing w:after="0" w:line="240" w:lineRule="auto"/>
        <w:rPr>
          <w:rFonts w:ascii="Times New Roman" w:eastAsia="Times New Roman" w:hAnsi="Times New Roman" w:cs="Times New Roman"/>
          <w:sz w:val="24"/>
          <w:szCs w:val="24"/>
          <w:lang w:eastAsia="en-GB"/>
        </w:rPr>
      </w:pPr>
      <w:proofErr w:type="gramStart"/>
      <w:r w:rsidRPr="00C569DE">
        <w:rPr>
          <w:rFonts w:ascii="Times New Roman" w:eastAsia="Times New Roman" w:hAnsi="Times New Roman" w:cs="Times New Roman"/>
          <w:color w:val="000000"/>
          <w:sz w:val="27"/>
          <w:szCs w:val="27"/>
          <w:shd w:val="clear" w:color="auto" w:fill="FFFFFF"/>
          <w:lang w:eastAsia="en-GB"/>
        </w:rPr>
        <w:t>from</w:t>
      </w:r>
      <w:proofErr w:type="gramEnd"/>
      <w:r w:rsidRPr="00C569DE">
        <w:rPr>
          <w:rFonts w:ascii="Times New Roman" w:eastAsia="Times New Roman" w:hAnsi="Times New Roman" w:cs="Times New Roman"/>
          <w:color w:val="000000"/>
          <w:sz w:val="27"/>
          <w:szCs w:val="27"/>
          <w:shd w:val="clear" w:color="auto" w:fill="FFFFFF"/>
          <w:lang w:eastAsia="en-GB"/>
        </w:rPr>
        <w:t xml:space="preserve"> Chart. Univ. Paris. I, No - 453, p. 517. Latin.</w:t>
      </w:r>
    </w:p>
    <w:p w:rsidR="00C569DE" w:rsidRPr="00C569DE" w:rsidRDefault="00C569DE" w:rsidP="00C569D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569DE">
        <w:rPr>
          <w:rFonts w:ascii="Times New Roman" w:eastAsia="Times New Roman" w:hAnsi="Times New Roman" w:cs="Times New Roman"/>
          <w:color w:val="000000"/>
          <w:sz w:val="27"/>
          <w:szCs w:val="27"/>
          <w:lang w:eastAsia="en-GB"/>
        </w:rPr>
        <w:t>This is the form for licensing bachelors of medicine. First, the master under whom the bachelor is, ought to testify to the chancellor, in the presence of the masters called together for this purpose, concerning the suitability of licensing the bachelor. He ought to prove his time of study by at least two examinations; and the time which he ought to have studied is five and one-half years, if he has ruled in arts or has been a licentiate; or six, if he has not.</w:t>
      </w:r>
    </w:p>
    <w:p w:rsidR="00C569DE" w:rsidRPr="00C569DE" w:rsidRDefault="00C569DE" w:rsidP="00C569D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569DE">
        <w:rPr>
          <w:rFonts w:ascii="Times New Roman" w:eastAsia="Times New Roman" w:hAnsi="Times New Roman" w:cs="Times New Roman"/>
          <w:color w:val="000000"/>
          <w:sz w:val="27"/>
          <w:szCs w:val="27"/>
          <w:lang w:eastAsia="en-GB"/>
        </w:rPr>
        <w:t xml:space="preserve">The course of study is as follows: he ought to have </w:t>
      </w:r>
      <w:proofErr w:type="spellStart"/>
      <w:r w:rsidRPr="00C569DE">
        <w:rPr>
          <w:rFonts w:ascii="Times New Roman" w:eastAsia="Times New Roman" w:hAnsi="Times New Roman" w:cs="Times New Roman"/>
          <w:color w:val="000000"/>
          <w:sz w:val="27"/>
          <w:szCs w:val="27"/>
          <w:lang w:eastAsia="en-GB"/>
        </w:rPr>
        <w:t>reard</w:t>
      </w:r>
      <w:proofErr w:type="spellEnd"/>
      <w:r w:rsidRPr="00C569DE">
        <w:rPr>
          <w:rFonts w:ascii="Times New Roman" w:eastAsia="Times New Roman" w:hAnsi="Times New Roman" w:cs="Times New Roman"/>
          <w:color w:val="000000"/>
          <w:sz w:val="27"/>
          <w:szCs w:val="27"/>
          <w:lang w:eastAsia="en-GB"/>
        </w:rPr>
        <w:t xml:space="preserve"> the </w:t>
      </w:r>
      <w:proofErr w:type="spellStart"/>
      <w:r w:rsidRPr="00C569DE">
        <w:rPr>
          <w:rFonts w:ascii="Times New Roman" w:eastAsia="Times New Roman" w:hAnsi="Times New Roman" w:cs="Times New Roman"/>
          <w:color w:val="000000"/>
          <w:sz w:val="27"/>
          <w:szCs w:val="27"/>
          <w:lang w:eastAsia="en-GB"/>
        </w:rPr>
        <w:t>Medica</w:t>
      </w:r>
      <w:proofErr w:type="spellEnd"/>
      <w:r w:rsidRPr="00C569DE">
        <w:rPr>
          <w:rFonts w:ascii="Times New Roman" w:eastAsia="Times New Roman" w:hAnsi="Times New Roman" w:cs="Times New Roman"/>
          <w:color w:val="000000"/>
          <w:sz w:val="27"/>
          <w:szCs w:val="27"/>
          <w:lang w:eastAsia="en-GB"/>
        </w:rPr>
        <w:t xml:space="preserve"> [perhaps the Liber </w:t>
      </w:r>
      <w:proofErr w:type="spellStart"/>
      <w:r w:rsidRPr="00C569DE">
        <w:rPr>
          <w:rFonts w:ascii="Times New Roman" w:eastAsia="Times New Roman" w:hAnsi="Times New Roman" w:cs="Times New Roman"/>
          <w:color w:val="000000"/>
          <w:sz w:val="27"/>
          <w:szCs w:val="27"/>
          <w:lang w:eastAsia="en-GB"/>
        </w:rPr>
        <w:t>Tegni</w:t>
      </w:r>
      <w:proofErr w:type="spellEnd"/>
      <w:r w:rsidRPr="00C569DE">
        <w:rPr>
          <w:rFonts w:ascii="Times New Roman" w:eastAsia="Times New Roman" w:hAnsi="Times New Roman" w:cs="Times New Roman"/>
          <w:color w:val="000000"/>
          <w:sz w:val="27"/>
          <w:szCs w:val="27"/>
          <w:lang w:eastAsia="en-GB"/>
        </w:rPr>
        <w:t xml:space="preserve"> of Galen]' twice in the regular courses and once in an extraordinary course with the exception of </w:t>
      </w:r>
      <w:proofErr w:type="spellStart"/>
      <w:r w:rsidRPr="00C569DE">
        <w:rPr>
          <w:rFonts w:ascii="Times New Roman" w:eastAsia="Times New Roman" w:hAnsi="Times New Roman" w:cs="Times New Roman"/>
          <w:color w:val="000000"/>
          <w:sz w:val="27"/>
          <w:szCs w:val="27"/>
          <w:lang w:eastAsia="en-GB"/>
        </w:rPr>
        <w:t>Theophilus</w:t>
      </w:r>
      <w:proofErr w:type="spellEnd"/>
      <w:r w:rsidRPr="00C569DE">
        <w:rPr>
          <w:rFonts w:ascii="Times New Roman" w:eastAsia="Times New Roman" w:hAnsi="Times New Roman" w:cs="Times New Roman"/>
          <w:color w:val="000000"/>
          <w:sz w:val="27"/>
          <w:szCs w:val="27"/>
          <w:lang w:eastAsia="en-GB"/>
        </w:rPr>
        <w:t xml:space="preserve"> [a 7th century Byzantine physician] On Urines, which it is sufficient to have heard once in either a regular or an extraordinary course; the Viaticum [composed by </w:t>
      </w:r>
      <w:proofErr w:type="spellStart"/>
      <w:r w:rsidRPr="00C569DE">
        <w:rPr>
          <w:rFonts w:ascii="Times New Roman" w:eastAsia="Times New Roman" w:hAnsi="Times New Roman" w:cs="Times New Roman"/>
          <w:color w:val="000000"/>
          <w:sz w:val="27"/>
          <w:szCs w:val="27"/>
          <w:lang w:eastAsia="en-GB"/>
        </w:rPr>
        <w:t>Abd</w:t>
      </w:r>
      <w:proofErr w:type="spellEnd"/>
      <w:r w:rsidRPr="00C569DE">
        <w:rPr>
          <w:rFonts w:ascii="Times New Roman" w:eastAsia="Times New Roman" w:hAnsi="Times New Roman" w:cs="Times New Roman"/>
          <w:color w:val="000000"/>
          <w:sz w:val="27"/>
          <w:szCs w:val="27"/>
          <w:lang w:eastAsia="en-GB"/>
        </w:rPr>
        <w:t xml:space="preserve"> </w:t>
      </w:r>
      <w:proofErr w:type="spellStart"/>
      <w:r w:rsidRPr="00C569DE">
        <w:rPr>
          <w:rFonts w:ascii="Times New Roman" w:eastAsia="Times New Roman" w:hAnsi="Times New Roman" w:cs="Times New Roman"/>
          <w:color w:val="000000"/>
          <w:sz w:val="27"/>
          <w:szCs w:val="27"/>
          <w:lang w:eastAsia="en-GB"/>
        </w:rPr>
        <w:t>Jafar</w:t>
      </w:r>
      <w:proofErr w:type="spellEnd"/>
      <w:r w:rsidRPr="00C569DE">
        <w:rPr>
          <w:rFonts w:ascii="Times New Roman" w:eastAsia="Times New Roman" w:hAnsi="Times New Roman" w:cs="Times New Roman"/>
          <w:color w:val="000000"/>
          <w:sz w:val="27"/>
          <w:szCs w:val="27"/>
          <w:lang w:eastAsia="en-GB"/>
        </w:rPr>
        <w:t xml:space="preserve"> Ahmed] twice in regular courses: the other books of Isaac [a Jewish physician who wrote a </w:t>
      </w:r>
      <w:r w:rsidRPr="00C569DE">
        <w:rPr>
          <w:rFonts w:ascii="Times New Roman" w:eastAsia="Times New Roman" w:hAnsi="Times New Roman" w:cs="Times New Roman"/>
          <w:i/>
          <w:iCs/>
          <w:color w:val="000000"/>
          <w:sz w:val="27"/>
          <w:szCs w:val="27"/>
          <w:lang w:eastAsia="en-GB"/>
        </w:rPr>
        <w:t xml:space="preserve">Liber </w:t>
      </w:r>
      <w:proofErr w:type="spellStart"/>
      <w:r w:rsidRPr="00C569DE">
        <w:rPr>
          <w:rFonts w:ascii="Times New Roman" w:eastAsia="Times New Roman" w:hAnsi="Times New Roman" w:cs="Times New Roman"/>
          <w:i/>
          <w:iCs/>
          <w:color w:val="000000"/>
          <w:sz w:val="27"/>
          <w:szCs w:val="27"/>
          <w:lang w:eastAsia="en-GB"/>
        </w:rPr>
        <w:t>dietarum</w:t>
      </w:r>
      <w:proofErr w:type="spellEnd"/>
      <w:r w:rsidRPr="00C569DE">
        <w:rPr>
          <w:rFonts w:ascii="Times New Roman" w:eastAsia="Times New Roman" w:hAnsi="Times New Roman" w:cs="Times New Roman"/>
          <w:i/>
          <w:iCs/>
          <w:color w:val="000000"/>
          <w:sz w:val="27"/>
          <w:szCs w:val="27"/>
          <w:lang w:eastAsia="en-GB"/>
        </w:rPr>
        <w:t xml:space="preserve"> </w:t>
      </w:r>
      <w:proofErr w:type="spellStart"/>
      <w:r w:rsidRPr="00C569DE">
        <w:rPr>
          <w:rFonts w:ascii="Times New Roman" w:eastAsia="Times New Roman" w:hAnsi="Times New Roman" w:cs="Times New Roman"/>
          <w:i/>
          <w:iCs/>
          <w:color w:val="000000"/>
          <w:sz w:val="27"/>
          <w:szCs w:val="27"/>
          <w:lang w:eastAsia="en-GB"/>
        </w:rPr>
        <w:t>universalium</w:t>
      </w:r>
      <w:proofErr w:type="spellEnd"/>
      <w:r w:rsidRPr="00C569DE">
        <w:rPr>
          <w:rFonts w:ascii="Times New Roman" w:eastAsia="Times New Roman" w:hAnsi="Times New Roman" w:cs="Times New Roman"/>
          <w:i/>
          <w:iCs/>
          <w:color w:val="000000"/>
          <w:sz w:val="27"/>
          <w:szCs w:val="27"/>
          <w:lang w:eastAsia="en-GB"/>
        </w:rPr>
        <w:t xml:space="preserve">, Liber </w:t>
      </w:r>
      <w:proofErr w:type="spellStart"/>
      <w:r w:rsidRPr="00C569DE">
        <w:rPr>
          <w:rFonts w:ascii="Times New Roman" w:eastAsia="Times New Roman" w:hAnsi="Times New Roman" w:cs="Times New Roman"/>
          <w:i/>
          <w:iCs/>
          <w:color w:val="000000"/>
          <w:sz w:val="27"/>
          <w:szCs w:val="27"/>
          <w:lang w:eastAsia="en-GB"/>
        </w:rPr>
        <w:t>itarum</w:t>
      </w:r>
      <w:proofErr w:type="spellEnd"/>
      <w:r w:rsidRPr="00C569DE">
        <w:rPr>
          <w:rFonts w:ascii="Times New Roman" w:eastAsia="Times New Roman" w:hAnsi="Times New Roman" w:cs="Times New Roman"/>
          <w:i/>
          <w:iCs/>
          <w:color w:val="000000"/>
          <w:sz w:val="27"/>
          <w:szCs w:val="27"/>
          <w:lang w:eastAsia="en-GB"/>
        </w:rPr>
        <w:t xml:space="preserve"> </w:t>
      </w:r>
      <w:proofErr w:type="spellStart"/>
      <w:r w:rsidRPr="00C569DE">
        <w:rPr>
          <w:rFonts w:ascii="Times New Roman" w:eastAsia="Times New Roman" w:hAnsi="Times New Roman" w:cs="Times New Roman"/>
          <w:i/>
          <w:iCs/>
          <w:color w:val="000000"/>
          <w:sz w:val="27"/>
          <w:szCs w:val="27"/>
          <w:lang w:eastAsia="en-GB"/>
        </w:rPr>
        <w:t>particularium</w:t>
      </w:r>
      <w:proofErr w:type="spellEnd"/>
      <w:r w:rsidRPr="00C569DE">
        <w:rPr>
          <w:rFonts w:ascii="Times New Roman" w:eastAsia="Times New Roman" w:hAnsi="Times New Roman" w:cs="Times New Roman"/>
          <w:i/>
          <w:iCs/>
          <w:color w:val="000000"/>
          <w:sz w:val="27"/>
          <w:szCs w:val="27"/>
          <w:lang w:eastAsia="en-GB"/>
        </w:rPr>
        <w:t xml:space="preserve">, Liber </w:t>
      </w:r>
      <w:proofErr w:type="spellStart"/>
      <w:r w:rsidRPr="00C569DE">
        <w:rPr>
          <w:rFonts w:ascii="Times New Roman" w:eastAsia="Times New Roman" w:hAnsi="Times New Roman" w:cs="Times New Roman"/>
          <w:i/>
          <w:iCs/>
          <w:color w:val="000000"/>
          <w:sz w:val="27"/>
          <w:szCs w:val="27"/>
          <w:lang w:eastAsia="en-GB"/>
        </w:rPr>
        <w:t>urinarium</w:t>
      </w:r>
      <w:proofErr w:type="spellEnd"/>
      <w:r w:rsidRPr="00C569DE">
        <w:rPr>
          <w:rFonts w:ascii="Times New Roman" w:eastAsia="Times New Roman" w:hAnsi="Times New Roman" w:cs="Times New Roman"/>
          <w:i/>
          <w:iCs/>
          <w:color w:val="000000"/>
          <w:sz w:val="27"/>
          <w:szCs w:val="27"/>
          <w:lang w:eastAsia="en-GB"/>
        </w:rPr>
        <w:t xml:space="preserve">, Liber </w:t>
      </w:r>
      <w:proofErr w:type="spellStart"/>
      <w:r w:rsidRPr="00C569DE">
        <w:rPr>
          <w:rFonts w:ascii="Times New Roman" w:eastAsia="Times New Roman" w:hAnsi="Times New Roman" w:cs="Times New Roman"/>
          <w:i/>
          <w:iCs/>
          <w:color w:val="000000"/>
          <w:sz w:val="27"/>
          <w:szCs w:val="27"/>
          <w:lang w:eastAsia="en-GB"/>
        </w:rPr>
        <w:t>febrium</w:t>
      </w:r>
      <w:proofErr w:type="spellEnd"/>
      <w:r w:rsidRPr="00C569DE">
        <w:rPr>
          <w:rFonts w:ascii="Times New Roman" w:eastAsia="Times New Roman" w:hAnsi="Times New Roman" w:cs="Times New Roman"/>
          <w:color w:val="000000"/>
          <w:sz w:val="27"/>
          <w:szCs w:val="27"/>
          <w:lang w:eastAsia="en-GB"/>
        </w:rPr>
        <w:t xml:space="preserve">, all translated from Arabic by Constantine the African] once in a regular course, twice in extraordinary courses, except the Particular Diets, which it is sufficient to have heard in an extraordinary or regular course ; the book of Antidotes of Nicholas, [Antidotes was then used in about the same sense as Book of Medicaments. This one was by Nicholas of Salerno] once. The Verses of </w:t>
      </w:r>
      <w:proofErr w:type="spellStart"/>
      <w:r w:rsidRPr="00C569DE">
        <w:rPr>
          <w:rFonts w:ascii="Times New Roman" w:eastAsia="Times New Roman" w:hAnsi="Times New Roman" w:cs="Times New Roman"/>
          <w:color w:val="000000"/>
          <w:sz w:val="27"/>
          <w:szCs w:val="27"/>
          <w:lang w:eastAsia="en-GB"/>
        </w:rPr>
        <w:t>Aegidius</w:t>
      </w:r>
      <w:proofErr w:type="spellEnd"/>
      <w:r w:rsidRPr="00C569DE">
        <w:rPr>
          <w:rFonts w:ascii="Times New Roman" w:eastAsia="Times New Roman" w:hAnsi="Times New Roman" w:cs="Times New Roman"/>
          <w:color w:val="000000"/>
          <w:sz w:val="27"/>
          <w:szCs w:val="27"/>
          <w:lang w:eastAsia="en-GB"/>
        </w:rPr>
        <w:t xml:space="preserve"> [of </w:t>
      </w:r>
      <w:proofErr w:type="spellStart"/>
      <w:r w:rsidRPr="00C569DE">
        <w:rPr>
          <w:rFonts w:ascii="Times New Roman" w:eastAsia="Times New Roman" w:hAnsi="Times New Roman" w:cs="Times New Roman"/>
          <w:color w:val="000000"/>
          <w:sz w:val="27"/>
          <w:szCs w:val="27"/>
          <w:lang w:eastAsia="en-GB"/>
        </w:rPr>
        <w:t>Corbeil</w:t>
      </w:r>
      <w:proofErr w:type="spellEnd"/>
      <w:r w:rsidRPr="00C569DE">
        <w:rPr>
          <w:rFonts w:ascii="Times New Roman" w:eastAsia="Times New Roman" w:hAnsi="Times New Roman" w:cs="Times New Roman"/>
          <w:color w:val="000000"/>
          <w:sz w:val="27"/>
          <w:szCs w:val="27"/>
          <w:lang w:eastAsia="en-GB"/>
        </w:rPr>
        <w:t>, who taught at Paris under Philip Augustus. He wrote his works in verse] is not required. Also, he ought to have read the books on Theory and Practice. [</w:t>
      </w:r>
      <w:proofErr w:type="gramStart"/>
      <w:r w:rsidRPr="00C569DE">
        <w:rPr>
          <w:rFonts w:ascii="Times New Roman" w:eastAsia="Times New Roman" w:hAnsi="Times New Roman" w:cs="Times New Roman"/>
          <w:color w:val="000000"/>
          <w:sz w:val="27"/>
          <w:szCs w:val="27"/>
          <w:lang w:eastAsia="en-GB"/>
        </w:rPr>
        <w:t>by</w:t>
      </w:r>
      <w:proofErr w:type="gramEnd"/>
      <w:r w:rsidRPr="00C569DE">
        <w:rPr>
          <w:rFonts w:ascii="Times New Roman" w:eastAsia="Times New Roman" w:hAnsi="Times New Roman" w:cs="Times New Roman"/>
          <w:color w:val="000000"/>
          <w:sz w:val="27"/>
          <w:szCs w:val="27"/>
          <w:lang w:eastAsia="en-GB"/>
        </w:rPr>
        <w:t xml:space="preserve"> this is perhaps meant the Opus </w:t>
      </w:r>
      <w:proofErr w:type="spellStart"/>
      <w:r w:rsidRPr="00C569DE">
        <w:rPr>
          <w:rFonts w:ascii="Times New Roman" w:eastAsia="Times New Roman" w:hAnsi="Times New Roman" w:cs="Times New Roman"/>
          <w:color w:val="000000"/>
          <w:sz w:val="27"/>
          <w:szCs w:val="27"/>
          <w:lang w:eastAsia="en-GB"/>
        </w:rPr>
        <w:t>Pantegni</w:t>
      </w:r>
      <w:proofErr w:type="spellEnd"/>
      <w:r w:rsidRPr="00C569DE">
        <w:rPr>
          <w:rFonts w:ascii="Times New Roman" w:eastAsia="Times New Roman" w:hAnsi="Times New Roman" w:cs="Times New Roman"/>
          <w:color w:val="000000"/>
          <w:sz w:val="27"/>
          <w:szCs w:val="27"/>
          <w:lang w:eastAsia="en-GB"/>
        </w:rPr>
        <w:t>, by Ali ben Abbas. This was divided into Theory and Practice. It was sometimes attributed to Constantine the African.]</w:t>
      </w:r>
    </w:p>
    <w:p w:rsidR="00C569DE" w:rsidRPr="00C569DE" w:rsidRDefault="00C569DE" w:rsidP="00C569DE">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569DE">
        <w:rPr>
          <w:rFonts w:ascii="Times New Roman" w:eastAsia="Times New Roman" w:hAnsi="Times New Roman" w:cs="Times New Roman"/>
          <w:color w:val="000000"/>
          <w:sz w:val="27"/>
          <w:szCs w:val="27"/>
          <w:lang w:eastAsia="en-GB"/>
        </w:rPr>
        <w:t xml:space="preserve">And he ought to swear this. Moreover, if </w:t>
      </w:r>
      <w:proofErr w:type="spellStart"/>
      <w:r w:rsidRPr="00C569DE">
        <w:rPr>
          <w:rFonts w:ascii="Times New Roman" w:eastAsia="Times New Roman" w:hAnsi="Times New Roman" w:cs="Times New Roman"/>
          <w:color w:val="000000"/>
          <w:sz w:val="27"/>
          <w:szCs w:val="27"/>
          <w:lang w:eastAsia="en-GB"/>
        </w:rPr>
        <w:t>any one</w:t>
      </w:r>
      <w:proofErr w:type="spellEnd"/>
      <w:r w:rsidRPr="00C569DE">
        <w:rPr>
          <w:rFonts w:ascii="Times New Roman" w:eastAsia="Times New Roman" w:hAnsi="Times New Roman" w:cs="Times New Roman"/>
          <w:color w:val="000000"/>
          <w:sz w:val="27"/>
          <w:szCs w:val="27"/>
          <w:lang w:eastAsia="en-GB"/>
        </w:rPr>
        <w:t xml:space="preserve"> is convicted of perjury or lying he, although licensed, may be degraded.</w:t>
      </w:r>
    </w:p>
    <w:p w:rsidR="00C569DE" w:rsidRPr="00C569DE" w:rsidRDefault="00C569DE" w:rsidP="00C569DE">
      <w:pPr>
        <w:spacing w:before="100" w:beforeAutospacing="1" w:after="100" w:afterAutospacing="1" w:line="240" w:lineRule="auto"/>
        <w:rPr>
          <w:rFonts w:ascii="Times New Roman" w:eastAsia="Times New Roman" w:hAnsi="Times New Roman" w:cs="Times New Roman"/>
          <w:color w:val="000000"/>
          <w:sz w:val="27"/>
          <w:szCs w:val="27"/>
          <w:lang w:eastAsia="en-GB"/>
        </w:rPr>
      </w:pPr>
      <w:proofErr w:type="gramStart"/>
      <w:r w:rsidRPr="00C569DE">
        <w:rPr>
          <w:rFonts w:ascii="Times New Roman" w:eastAsia="Times New Roman" w:hAnsi="Times New Roman" w:cs="Times New Roman"/>
          <w:color w:val="000000"/>
          <w:sz w:val="27"/>
          <w:szCs w:val="27"/>
          <w:lang w:eastAsia="en-GB"/>
        </w:rPr>
        <w:t>trans</w:t>
      </w:r>
      <w:proofErr w:type="gramEnd"/>
      <w:r w:rsidRPr="00C569DE">
        <w:rPr>
          <w:rFonts w:ascii="Times New Roman" w:eastAsia="Times New Roman" w:hAnsi="Times New Roman" w:cs="Times New Roman"/>
          <w:color w:val="000000"/>
          <w:sz w:val="27"/>
          <w:szCs w:val="27"/>
          <w:lang w:eastAsia="en-GB"/>
        </w:rPr>
        <w:t xml:space="preserve"> in University of Pennsylvania. Dept. of History: </w:t>
      </w:r>
      <w:r w:rsidRPr="00C569DE">
        <w:rPr>
          <w:rFonts w:ascii="Times New Roman" w:eastAsia="Times New Roman" w:hAnsi="Times New Roman" w:cs="Times New Roman"/>
          <w:i/>
          <w:iCs/>
          <w:color w:val="000000"/>
          <w:sz w:val="27"/>
          <w:szCs w:val="27"/>
          <w:lang w:eastAsia="en-GB"/>
        </w:rPr>
        <w:t>Translations and Reprints from the Original Sources of European history, </w:t>
      </w:r>
      <w:r w:rsidRPr="00C569DE">
        <w:rPr>
          <w:rFonts w:ascii="Times New Roman" w:eastAsia="Times New Roman" w:hAnsi="Times New Roman" w:cs="Times New Roman"/>
          <w:color w:val="000000"/>
          <w:sz w:val="27"/>
          <w:szCs w:val="27"/>
          <w:lang w:eastAsia="en-GB"/>
        </w:rPr>
        <w:t xml:space="preserve">published for the Dept. of History of the University of Pennsylvania., Philadelphia, University of Pennsylvania Press [1897?-1907?]. </w:t>
      </w:r>
      <w:proofErr w:type="spellStart"/>
      <w:r w:rsidRPr="00C569DE">
        <w:rPr>
          <w:rFonts w:ascii="Times New Roman" w:eastAsia="Times New Roman" w:hAnsi="Times New Roman" w:cs="Times New Roman"/>
          <w:color w:val="000000"/>
          <w:sz w:val="27"/>
          <w:szCs w:val="27"/>
          <w:lang w:eastAsia="en-GB"/>
        </w:rPr>
        <w:t>Vol</w:t>
      </w:r>
      <w:proofErr w:type="spellEnd"/>
      <w:r w:rsidRPr="00C569DE">
        <w:rPr>
          <w:rFonts w:ascii="Times New Roman" w:eastAsia="Times New Roman" w:hAnsi="Times New Roman" w:cs="Times New Roman"/>
          <w:color w:val="000000"/>
          <w:sz w:val="27"/>
          <w:szCs w:val="27"/>
          <w:lang w:eastAsia="en-GB"/>
        </w:rPr>
        <w:t xml:space="preserve"> 2: no.3, 15-17</w:t>
      </w:r>
    </w:p>
    <w:p w:rsidR="00414CBC" w:rsidRDefault="00C569DE">
      <w:bookmarkStart w:id="0" w:name="_GoBack"/>
      <w:bookmarkEnd w:id="0"/>
    </w:p>
    <w:sectPr w:rsidR="00414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9DE"/>
    <w:rsid w:val="009837D2"/>
    <w:rsid w:val="00A73D20"/>
    <w:rsid w:val="00C5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F4E291-6F17-4754-B0C1-CF5CB400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569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9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2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1</cp:revision>
  <cp:lastPrinted>2015-10-26T10:23:00Z</cp:lastPrinted>
  <dcterms:created xsi:type="dcterms:W3CDTF">2015-10-26T10:12:00Z</dcterms:created>
  <dcterms:modified xsi:type="dcterms:W3CDTF">2015-10-26T10:23:00Z</dcterms:modified>
</cp:coreProperties>
</file>