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4839929"/>
        <w:docPartObj>
          <w:docPartGallery w:val="Cover Pages"/>
          <w:docPartUnique/>
        </w:docPartObj>
      </w:sdtPr>
      <w:sdtEndPr/>
      <w:sdtContent>
        <w:p w:rsidR="008518B4" w:rsidRDefault="008518B4"/>
        <w:p w:rsidR="008518B4" w:rsidRDefault="008518B4">
          <w:r>
            <w:rPr>
              <w:noProof/>
              <w:lang w:eastAsia="en-GB"/>
            </w:rPr>
            <mc:AlternateContent>
              <mc:Choice Requires="wps">
                <w:drawing>
                  <wp:anchor distT="0" distB="0" distL="182880" distR="182880" simplePos="0" relativeHeight="251660288" behindDoc="0" locked="0" layoutInCell="1" allowOverlap="1">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150BC" w:rsidRDefault="00C75946">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D150BC">
                                      <w:rPr>
                                        <w:color w:val="5B9BD5" w:themeColor="accent1"/>
                                        <w:sz w:val="72"/>
                                        <w:szCs w:val="72"/>
                                      </w:rPr>
                                      <w:t>Construction of the Loughor Bridge</w:t>
                                    </w:r>
                                  </w:sdtContent>
                                </w:sdt>
                              </w:p>
                              <w:sdt>
                                <w:sdtPr>
                                  <w:rPr>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rsidR="00D150BC" w:rsidRDefault="00D150BC">
                                    <w:pPr>
                                      <w:pStyle w:val="NoSpacing"/>
                                      <w:spacing w:before="40" w:after="40"/>
                                      <w:rPr>
                                        <w:caps/>
                                        <w:color w:val="1F3864" w:themeColor="accent5" w:themeShade="80"/>
                                        <w:sz w:val="28"/>
                                        <w:szCs w:val="28"/>
                                      </w:rPr>
                                    </w:pPr>
                                    <w:r>
                                      <w:rPr>
                                        <w:caps/>
                                        <w:color w:val="1F3864" w:themeColor="accent5" w:themeShade="80"/>
                                        <w:sz w:val="28"/>
                                        <w:szCs w:val="28"/>
                                      </w:rPr>
                                      <w:t>Submission 2</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rsidR="00D150BC" w:rsidRDefault="00D150BC">
                                    <w:pPr>
                                      <w:pStyle w:val="NoSpacing"/>
                                      <w:spacing w:before="80" w:after="40"/>
                                      <w:rPr>
                                        <w:caps/>
                                        <w:color w:val="4472C4" w:themeColor="accent5"/>
                                        <w:sz w:val="24"/>
                                        <w:szCs w:val="24"/>
                                      </w:rPr>
                                    </w:pPr>
                                    <w:r>
                                      <w:rPr>
                                        <w:caps/>
                                        <w:color w:val="4472C4" w:themeColor="accent5"/>
                                        <w:sz w:val="24"/>
                                        <w:szCs w:val="24"/>
                                      </w:rPr>
                                      <w:t>Patrick Nolan</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rsidR="00D150BC" w:rsidRDefault="00A253C2">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D150BC">
                                <w:rPr>
                                  <w:color w:val="5B9BD5" w:themeColor="accent1"/>
                                  <w:sz w:val="72"/>
                                  <w:szCs w:val="72"/>
                                </w:rPr>
                                <w:t>Construction of the Loughor Bridge</w:t>
                              </w:r>
                            </w:sdtContent>
                          </w:sdt>
                        </w:p>
                        <w:sdt>
                          <w:sdtPr>
                            <w:rPr>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rsidR="00D150BC" w:rsidRDefault="00D150BC">
                              <w:pPr>
                                <w:pStyle w:val="NoSpacing"/>
                                <w:spacing w:before="40" w:after="40"/>
                                <w:rPr>
                                  <w:caps/>
                                  <w:color w:val="1F3864" w:themeColor="accent5" w:themeShade="80"/>
                                  <w:sz w:val="28"/>
                                  <w:szCs w:val="28"/>
                                </w:rPr>
                              </w:pPr>
                              <w:r>
                                <w:rPr>
                                  <w:caps/>
                                  <w:color w:val="1F3864" w:themeColor="accent5" w:themeShade="80"/>
                                  <w:sz w:val="28"/>
                                  <w:szCs w:val="28"/>
                                </w:rPr>
                                <w:t>Submission 2</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rsidR="00D150BC" w:rsidRDefault="00D150BC">
                              <w:pPr>
                                <w:pStyle w:val="NoSpacing"/>
                                <w:spacing w:before="80" w:after="40"/>
                                <w:rPr>
                                  <w:caps/>
                                  <w:color w:val="4472C4" w:themeColor="accent5"/>
                                  <w:sz w:val="24"/>
                                  <w:szCs w:val="24"/>
                                </w:rPr>
                              </w:pPr>
                              <w:r>
                                <w:rPr>
                                  <w:caps/>
                                  <w:color w:val="4472C4" w:themeColor="accent5"/>
                                  <w:sz w:val="24"/>
                                  <w:szCs w:val="24"/>
                                </w:rPr>
                                <w:t>Patrick Nolan</w:t>
                              </w:r>
                            </w:p>
                          </w:sdtContent>
                        </w:sdt>
                      </w:txbxContent>
                    </v:textbox>
                    <w10:wrap type="square" anchorx="margin"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EndPr/>
                                <w:sdtContent>
                                  <w:p w:rsidR="00D150BC" w:rsidRDefault="00D150BC">
                                    <w:pPr>
                                      <w:pStyle w:val="NoSpacing"/>
                                      <w:jc w:val="right"/>
                                      <w:rPr>
                                        <w:color w:val="FFFFFF" w:themeColor="background1"/>
                                        <w:sz w:val="24"/>
                                        <w:szCs w:val="24"/>
                                      </w:rPr>
                                    </w:pPr>
                                    <w:r>
                                      <w:rPr>
                                        <w:color w:val="FFFFFF" w:themeColor="background1"/>
                                        <w:sz w:val="24"/>
                                        <w:szCs w:val="24"/>
                                      </w:rPr>
                                      <w:t>2018</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" fillcolor="#5b9bd5 [3204]" stroked="f" strokeweight="1pt">
                    <v:path arrowok="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EndPr/>
                          <w:sdtContent>
                            <w:p w:rsidR="00D150BC" w:rsidRDefault="00D150BC">
                              <w:pPr>
                                <w:pStyle w:val="NoSpacing"/>
                                <w:jc w:val="right"/>
                                <w:rPr>
                                  <w:color w:val="FFFFFF" w:themeColor="background1"/>
                                  <w:sz w:val="24"/>
                                  <w:szCs w:val="24"/>
                                </w:rPr>
                              </w:pPr>
                              <w:r>
                                <w:rPr>
                                  <w:color w:val="FFFFFF" w:themeColor="background1"/>
                                  <w:sz w:val="24"/>
                                  <w:szCs w:val="24"/>
                                </w:rPr>
                                <w:t>2018</w:t>
                              </w:r>
                            </w:p>
                          </w:sdtContent>
                        </w:sdt>
                      </w:txbxContent>
                    </v:textbox>
                    <w10:wrap anchorx="margin" anchory="page"/>
                  </v:rect>
                </w:pict>
              </mc:Fallback>
            </mc:AlternateContent>
          </w:r>
          <w:r>
            <w:br w:type="page"/>
          </w:r>
        </w:p>
        <w:bookmarkStart w:id="0" w:name="_GoBack" w:displacedByCustomXml="next"/>
        <w:bookmarkEnd w:id="0" w:displacedByCustomXml="next"/>
      </w:sdtContent>
    </w:sdt>
    <w:p w:rsidR="00746EE9" w:rsidRDefault="00746EE9"/>
    <w:sdt>
      <w:sdtPr>
        <w:rPr>
          <w:rFonts w:asciiTheme="minorHAnsi" w:eastAsiaTheme="minorHAnsi" w:hAnsiTheme="minorHAnsi" w:cstheme="minorBidi"/>
          <w:color w:val="auto"/>
          <w:sz w:val="22"/>
          <w:szCs w:val="22"/>
          <w:lang w:val="en-GB"/>
        </w:rPr>
        <w:id w:val="-973053994"/>
        <w:docPartObj>
          <w:docPartGallery w:val="Table of Contents"/>
          <w:docPartUnique/>
        </w:docPartObj>
      </w:sdtPr>
      <w:sdtEndPr>
        <w:rPr>
          <w:b/>
          <w:bCs/>
          <w:noProof/>
        </w:rPr>
      </w:sdtEndPr>
      <w:sdtContent>
        <w:p w:rsidR="004E7A31" w:rsidRDefault="004E7A31">
          <w:pPr>
            <w:pStyle w:val="TOCHeading"/>
          </w:pPr>
          <w:r>
            <w:t>Contents</w:t>
          </w:r>
        </w:p>
        <w:p w:rsidR="00201DB3" w:rsidRDefault="004E7A3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7062045" w:history="1">
            <w:r w:rsidR="00201DB3" w:rsidRPr="00E45386">
              <w:rPr>
                <w:rStyle w:val="Hyperlink"/>
                <w:noProof/>
              </w:rPr>
              <w:t>Table of Figures</w:t>
            </w:r>
            <w:r w:rsidR="00201DB3">
              <w:rPr>
                <w:noProof/>
                <w:webHidden/>
              </w:rPr>
              <w:tab/>
            </w:r>
            <w:r w:rsidR="00201DB3">
              <w:rPr>
                <w:noProof/>
                <w:webHidden/>
              </w:rPr>
              <w:fldChar w:fldCharType="begin"/>
            </w:r>
            <w:r w:rsidR="00201DB3">
              <w:rPr>
                <w:noProof/>
                <w:webHidden/>
              </w:rPr>
              <w:instrText xml:space="preserve"> PAGEREF _Toc507062045 \h </w:instrText>
            </w:r>
            <w:r w:rsidR="00201DB3">
              <w:rPr>
                <w:noProof/>
                <w:webHidden/>
              </w:rPr>
            </w:r>
            <w:r w:rsidR="00201DB3">
              <w:rPr>
                <w:noProof/>
                <w:webHidden/>
              </w:rPr>
              <w:fldChar w:fldCharType="separate"/>
            </w:r>
            <w:r w:rsidR="00201DB3">
              <w:rPr>
                <w:noProof/>
                <w:webHidden/>
              </w:rPr>
              <w:t>2</w:t>
            </w:r>
            <w:r w:rsidR="00201DB3">
              <w:rPr>
                <w:noProof/>
                <w:webHidden/>
              </w:rPr>
              <w:fldChar w:fldCharType="end"/>
            </w:r>
          </w:hyperlink>
        </w:p>
        <w:p w:rsidR="00201DB3" w:rsidRDefault="00C75946">
          <w:pPr>
            <w:pStyle w:val="TOC1"/>
            <w:tabs>
              <w:tab w:val="left" w:pos="660"/>
              <w:tab w:val="right" w:leader="dot" w:pos="9016"/>
            </w:tabs>
            <w:rPr>
              <w:rFonts w:eastAsiaTheme="minorEastAsia"/>
              <w:noProof/>
              <w:lang w:eastAsia="en-GB"/>
            </w:rPr>
          </w:pPr>
          <w:hyperlink w:anchor="_Toc507062046" w:history="1">
            <w:r w:rsidR="00201DB3" w:rsidRPr="00E45386">
              <w:rPr>
                <w:rStyle w:val="Hyperlink"/>
                <w:noProof/>
              </w:rPr>
              <w:t>1.0</w:t>
            </w:r>
            <w:r w:rsidR="00201DB3">
              <w:rPr>
                <w:rFonts w:eastAsiaTheme="minorEastAsia"/>
                <w:noProof/>
                <w:lang w:eastAsia="en-GB"/>
              </w:rPr>
              <w:tab/>
            </w:r>
            <w:r w:rsidR="00201DB3" w:rsidRPr="00E45386">
              <w:rPr>
                <w:rStyle w:val="Hyperlink"/>
                <w:noProof/>
              </w:rPr>
              <w:t>Introduction</w:t>
            </w:r>
            <w:r w:rsidR="00201DB3">
              <w:rPr>
                <w:noProof/>
                <w:webHidden/>
              </w:rPr>
              <w:tab/>
            </w:r>
            <w:r w:rsidR="00201DB3">
              <w:rPr>
                <w:noProof/>
                <w:webHidden/>
              </w:rPr>
              <w:fldChar w:fldCharType="begin"/>
            </w:r>
            <w:r w:rsidR="00201DB3">
              <w:rPr>
                <w:noProof/>
                <w:webHidden/>
              </w:rPr>
              <w:instrText xml:space="preserve"> PAGEREF _Toc507062046 \h </w:instrText>
            </w:r>
            <w:r w:rsidR="00201DB3">
              <w:rPr>
                <w:noProof/>
                <w:webHidden/>
              </w:rPr>
            </w:r>
            <w:r w:rsidR="00201DB3">
              <w:rPr>
                <w:noProof/>
                <w:webHidden/>
              </w:rPr>
              <w:fldChar w:fldCharType="separate"/>
            </w:r>
            <w:r w:rsidR="00201DB3">
              <w:rPr>
                <w:noProof/>
                <w:webHidden/>
              </w:rPr>
              <w:t>3</w:t>
            </w:r>
            <w:r w:rsidR="00201DB3">
              <w:rPr>
                <w:noProof/>
                <w:webHidden/>
              </w:rPr>
              <w:fldChar w:fldCharType="end"/>
            </w:r>
          </w:hyperlink>
        </w:p>
        <w:p w:rsidR="00201DB3" w:rsidRDefault="00C75946">
          <w:pPr>
            <w:pStyle w:val="TOC1"/>
            <w:tabs>
              <w:tab w:val="left" w:pos="660"/>
              <w:tab w:val="right" w:leader="dot" w:pos="9016"/>
            </w:tabs>
            <w:rPr>
              <w:rFonts w:eastAsiaTheme="minorEastAsia"/>
              <w:noProof/>
              <w:lang w:eastAsia="en-GB"/>
            </w:rPr>
          </w:pPr>
          <w:hyperlink w:anchor="_Toc507062047" w:history="1">
            <w:r w:rsidR="00201DB3" w:rsidRPr="00E45386">
              <w:rPr>
                <w:rStyle w:val="Hyperlink"/>
                <w:noProof/>
              </w:rPr>
              <w:t>2.0</w:t>
            </w:r>
            <w:r w:rsidR="00201DB3">
              <w:rPr>
                <w:rFonts w:eastAsiaTheme="minorEastAsia"/>
                <w:noProof/>
                <w:lang w:eastAsia="en-GB"/>
              </w:rPr>
              <w:tab/>
            </w:r>
            <w:r w:rsidR="00201DB3" w:rsidRPr="00E45386">
              <w:rPr>
                <w:rStyle w:val="Hyperlink"/>
                <w:noProof/>
              </w:rPr>
              <w:t>Construction Methodology</w:t>
            </w:r>
            <w:r w:rsidR="00201DB3">
              <w:rPr>
                <w:noProof/>
                <w:webHidden/>
              </w:rPr>
              <w:tab/>
            </w:r>
            <w:r w:rsidR="00201DB3">
              <w:rPr>
                <w:noProof/>
                <w:webHidden/>
              </w:rPr>
              <w:fldChar w:fldCharType="begin"/>
            </w:r>
            <w:r w:rsidR="00201DB3">
              <w:rPr>
                <w:noProof/>
                <w:webHidden/>
              </w:rPr>
              <w:instrText xml:space="preserve"> PAGEREF _Toc507062047 \h </w:instrText>
            </w:r>
            <w:r w:rsidR="00201DB3">
              <w:rPr>
                <w:noProof/>
                <w:webHidden/>
              </w:rPr>
            </w:r>
            <w:r w:rsidR="00201DB3">
              <w:rPr>
                <w:noProof/>
                <w:webHidden/>
              </w:rPr>
              <w:fldChar w:fldCharType="separate"/>
            </w:r>
            <w:r w:rsidR="00201DB3">
              <w:rPr>
                <w:noProof/>
                <w:webHidden/>
              </w:rPr>
              <w:t>4</w:t>
            </w:r>
            <w:r w:rsidR="00201DB3">
              <w:rPr>
                <w:noProof/>
                <w:webHidden/>
              </w:rPr>
              <w:fldChar w:fldCharType="end"/>
            </w:r>
          </w:hyperlink>
        </w:p>
        <w:p w:rsidR="00201DB3" w:rsidRDefault="00C75946">
          <w:pPr>
            <w:pStyle w:val="TOC1"/>
            <w:tabs>
              <w:tab w:val="left" w:pos="660"/>
              <w:tab w:val="right" w:leader="dot" w:pos="9016"/>
            </w:tabs>
            <w:rPr>
              <w:rFonts w:eastAsiaTheme="minorEastAsia"/>
              <w:noProof/>
              <w:lang w:eastAsia="en-GB"/>
            </w:rPr>
          </w:pPr>
          <w:hyperlink w:anchor="_Toc507062048" w:history="1">
            <w:r w:rsidR="00201DB3" w:rsidRPr="00E45386">
              <w:rPr>
                <w:rStyle w:val="Hyperlink"/>
                <w:noProof/>
                <w:lang w:eastAsia="en-GB"/>
              </w:rPr>
              <w:t>3.0</w:t>
            </w:r>
            <w:r w:rsidR="00201DB3">
              <w:rPr>
                <w:rFonts w:eastAsiaTheme="minorEastAsia"/>
                <w:noProof/>
                <w:lang w:eastAsia="en-GB"/>
              </w:rPr>
              <w:tab/>
            </w:r>
            <w:r w:rsidR="00201DB3" w:rsidRPr="00E45386">
              <w:rPr>
                <w:rStyle w:val="Hyperlink"/>
                <w:noProof/>
                <w:lang w:eastAsia="en-GB"/>
              </w:rPr>
              <w:t>Expected duration of construction</w:t>
            </w:r>
            <w:r w:rsidR="00201DB3">
              <w:rPr>
                <w:noProof/>
                <w:webHidden/>
              </w:rPr>
              <w:tab/>
            </w:r>
            <w:r w:rsidR="00201DB3">
              <w:rPr>
                <w:noProof/>
                <w:webHidden/>
              </w:rPr>
              <w:fldChar w:fldCharType="begin"/>
            </w:r>
            <w:r w:rsidR="00201DB3">
              <w:rPr>
                <w:noProof/>
                <w:webHidden/>
              </w:rPr>
              <w:instrText xml:space="preserve"> PAGEREF _Toc507062048 \h </w:instrText>
            </w:r>
            <w:r w:rsidR="00201DB3">
              <w:rPr>
                <w:noProof/>
                <w:webHidden/>
              </w:rPr>
            </w:r>
            <w:r w:rsidR="00201DB3">
              <w:rPr>
                <w:noProof/>
                <w:webHidden/>
              </w:rPr>
              <w:fldChar w:fldCharType="separate"/>
            </w:r>
            <w:r w:rsidR="00201DB3">
              <w:rPr>
                <w:noProof/>
                <w:webHidden/>
              </w:rPr>
              <w:t>5</w:t>
            </w:r>
            <w:r w:rsidR="00201DB3">
              <w:rPr>
                <w:noProof/>
                <w:webHidden/>
              </w:rPr>
              <w:fldChar w:fldCharType="end"/>
            </w:r>
          </w:hyperlink>
        </w:p>
        <w:p w:rsidR="00201DB3" w:rsidRDefault="00C75946">
          <w:pPr>
            <w:pStyle w:val="TOC1"/>
            <w:tabs>
              <w:tab w:val="left" w:pos="660"/>
              <w:tab w:val="right" w:leader="dot" w:pos="9016"/>
            </w:tabs>
            <w:rPr>
              <w:rFonts w:eastAsiaTheme="minorEastAsia"/>
              <w:noProof/>
              <w:lang w:eastAsia="en-GB"/>
            </w:rPr>
          </w:pPr>
          <w:hyperlink w:anchor="_Toc507062049" w:history="1">
            <w:r w:rsidR="00201DB3" w:rsidRPr="00E45386">
              <w:rPr>
                <w:rStyle w:val="Hyperlink"/>
                <w:noProof/>
                <w:lang w:eastAsia="en-GB"/>
              </w:rPr>
              <w:t>4.0</w:t>
            </w:r>
            <w:r w:rsidR="00201DB3">
              <w:rPr>
                <w:rFonts w:eastAsiaTheme="minorEastAsia"/>
                <w:noProof/>
                <w:lang w:eastAsia="en-GB"/>
              </w:rPr>
              <w:tab/>
            </w:r>
            <w:r w:rsidR="00201DB3" w:rsidRPr="00E45386">
              <w:rPr>
                <w:rStyle w:val="Hyperlink"/>
                <w:noProof/>
                <w:lang w:eastAsia="en-GB"/>
              </w:rPr>
              <w:t>Expected labour required for each month</w:t>
            </w:r>
            <w:r w:rsidR="00201DB3">
              <w:rPr>
                <w:noProof/>
                <w:webHidden/>
              </w:rPr>
              <w:tab/>
            </w:r>
            <w:r w:rsidR="00201DB3">
              <w:rPr>
                <w:noProof/>
                <w:webHidden/>
              </w:rPr>
              <w:fldChar w:fldCharType="begin"/>
            </w:r>
            <w:r w:rsidR="00201DB3">
              <w:rPr>
                <w:noProof/>
                <w:webHidden/>
              </w:rPr>
              <w:instrText xml:space="preserve"> PAGEREF _Toc507062049 \h </w:instrText>
            </w:r>
            <w:r w:rsidR="00201DB3">
              <w:rPr>
                <w:noProof/>
                <w:webHidden/>
              </w:rPr>
            </w:r>
            <w:r w:rsidR="00201DB3">
              <w:rPr>
                <w:noProof/>
                <w:webHidden/>
              </w:rPr>
              <w:fldChar w:fldCharType="separate"/>
            </w:r>
            <w:r w:rsidR="00201DB3">
              <w:rPr>
                <w:noProof/>
                <w:webHidden/>
              </w:rPr>
              <w:t>5</w:t>
            </w:r>
            <w:r w:rsidR="00201DB3">
              <w:rPr>
                <w:noProof/>
                <w:webHidden/>
              </w:rPr>
              <w:fldChar w:fldCharType="end"/>
            </w:r>
          </w:hyperlink>
        </w:p>
        <w:p w:rsidR="00201DB3" w:rsidRDefault="00C75946">
          <w:pPr>
            <w:pStyle w:val="TOC1"/>
            <w:tabs>
              <w:tab w:val="left" w:pos="660"/>
              <w:tab w:val="right" w:leader="dot" w:pos="9016"/>
            </w:tabs>
            <w:rPr>
              <w:rFonts w:eastAsiaTheme="minorEastAsia"/>
              <w:noProof/>
              <w:lang w:eastAsia="en-GB"/>
            </w:rPr>
          </w:pPr>
          <w:hyperlink w:anchor="_Toc507062050" w:history="1">
            <w:r w:rsidR="00201DB3" w:rsidRPr="00E45386">
              <w:rPr>
                <w:rStyle w:val="Hyperlink"/>
                <w:noProof/>
              </w:rPr>
              <w:t>5.0</w:t>
            </w:r>
            <w:r w:rsidR="00201DB3">
              <w:rPr>
                <w:rFonts w:eastAsiaTheme="minorEastAsia"/>
                <w:noProof/>
                <w:lang w:eastAsia="en-GB"/>
              </w:rPr>
              <w:tab/>
            </w:r>
            <w:r w:rsidR="00201DB3" w:rsidRPr="00E45386">
              <w:rPr>
                <w:rStyle w:val="Hyperlink"/>
                <w:noProof/>
                <w:lang w:eastAsia="en-GB"/>
              </w:rPr>
              <w:t>Estimated cost for the construction</w:t>
            </w:r>
            <w:r w:rsidR="00201DB3">
              <w:rPr>
                <w:noProof/>
                <w:webHidden/>
              </w:rPr>
              <w:tab/>
            </w:r>
            <w:r w:rsidR="00201DB3">
              <w:rPr>
                <w:noProof/>
                <w:webHidden/>
              </w:rPr>
              <w:fldChar w:fldCharType="begin"/>
            </w:r>
            <w:r w:rsidR="00201DB3">
              <w:rPr>
                <w:noProof/>
                <w:webHidden/>
              </w:rPr>
              <w:instrText xml:space="preserve"> PAGEREF _Toc507062050 \h </w:instrText>
            </w:r>
            <w:r w:rsidR="00201DB3">
              <w:rPr>
                <w:noProof/>
                <w:webHidden/>
              </w:rPr>
            </w:r>
            <w:r w:rsidR="00201DB3">
              <w:rPr>
                <w:noProof/>
                <w:webHidden/>
              </w:rPr>
              <w:fldChar w:fldCharType="separate"/>
            </w:r>
            <w:r w:rsidR="00201DB3">
              <w:rPr>
                <w:noProof/>
                <w:webHidden/>
              </w:rPr>
              <w:t>6</w:t>
            </w:r>
            <w:r w:rsidR="00201DB3">
              <w:rPr>
                <w:noProof/>
                <w:webHidden/>
              </w:rPr>
              <w:fldChar w:fldCharType="end"/>
            </w:r>
          </w:hyperlink>
        </w:p>
        <w:p w:rsidR="00201DB3" w:rsidRDefault="00C75946">
          <w:pPr>
            <w:pStyle w:val="TOC1"/>
            <w:tabs>
              <w:tab w:val="left" w:pos="660"/>
              <w:tab w:val="right" w:leader="dot" w:pos="9016"/>
            </w:tabs>
            <w:rPr>
              <w:rFonts w:eastAsiaTheme="minorEastAsia"/>
              <w:noProof/>
              <w:lang w:eastAsia="en-GB"/>
            </w:rPr>
          </w:pPr>
          <w:hyperlink w:anchor="_Toc507062051" w:history="1">
            <w:r w:rsidR="00201DB3" w:rsidRPr="00E45386">
              <w:rPr>
                <w:rStyle w:val="Hyperlink"/>
                <w:noProof/>
              </w:rPr>
              <w:t>6.0</w:t>
            </w:r>
            <w:r w:rsidR="00201DB3">
              <w:rPr>
                <w:rFonts w:eastAsiaTheme="minorEastAsia"/>
                <w:noProof/>
                <w:lang w:eastAsia="en-GB"/>
              </w:rPr>
              <w:tab/>
            </w:r>
            <w:r w:rsidR="00201DB3" w:rsidRPr="00E45386">
              <w:rPr>
                <w:rStyle w:val="Hyperlink"/>
                <w:noProof/>
              </w:rPr>
              <w:t>Conclusion</w:t>
            </w:r>
            <w:r w:rsidR="00201DB3">
              <w:rPr>
                <w:noProof/>
                <w:webHidden/>
              </w:rPr>
              <w:tab/>
            </w:r>
            <w:r w:rsidR="00201DB3">
              <w:rPr>
                <w:noProof/>
                <w:webHidden/>
              </w:rPr>
              <w:fldChar w:fldCharType="begin"/>
            </w:r>
            <w:r w:rsidR="00201DB3">
              <w:rPr>
                <w:noProof/>
                <w:webHidden/>
              </w:rPr>
              <w:instrText xml:space="preserve"> PAGEREF _Toc507062051 \h </w:instrText>
            </w:r>
            <w:r w:rsidR="00201DB3">
              <w:rPr>
                <w:noProof/>
                <w:webHidden/>
              </w:rPr>
            </w:r>
            <w:r w:rsidR="00201DB3">
              <w:rPr>
                <w:noProof/>
                <w:webHidden/>
              </w:rPr>
              <w:fldChar w:fldCharType="separate"/>
            </w:r>
            <w:r w:rsidR="00201DB3">
              <w:rPr>
                <w:noProof/>
                <w:webHidden/>
              </w:rPr>
              <w:t>6</w:t>
            </w:r>
            <w:r w:rsidR="00201DB3">
              <w:rPr>
                <w:noProof/>
                <w:webHidden/>
              </w:rPr>
              <w:fldChar w:fldCharType="end"/>
            </w:r>
          </w:hyperlink>
        </w:p>
        <w:p w:rsidR="00201DB3" w:rsidRDefault="00C75946">
          <w:pPr>
            <w:pStyle w:val="TOC1"/>
            <w:tabs>
              <w:tab w:val="left" w:pos="660"/>
              <w:tab w:val="right" w:leader="dot" w:pos="9016"/>
            </w:tabs>
            <w:rPr>
              <w:rFonts w:eastAsiaTheme="minorEastAsia"/>
              <w:noProof/>
              <w:lang w:eastAsia="en-GB"/>
            </w:rPr>
          </w:pPr>
          <w:hyperlink w:anchor="_Toc507062052" w:history="1">
            <w:r w:rsidR="00201DB3" w:rsidRPr="00E45386">
              <w:rPr>
                <w:rStyle w:val="Hyperlink"/>
                <w:noProof/>
              </w:rPr>
              <w:t>7.0</w:t>
            </w:r>
            <w:r w:rsidR="00201DB3">
              <w:rPr>
                <w:rFonts w:eastAsiaTheme="minorEastAsia"/>
                <w:noProof/>
                <w:lang w:eastAsia="en-GB"/>
              </w:rPr>
              <w:tab/>
            </w:r>
            <w:r w:rsidR="00201DB3" w:rsidRPr="00E45386">
              <w:rPr>
                <w:rStyle w:val="Hyperlink"/>
                <w:noProof/>
              </w:rPr>
              <w:t>References</w:t>
            </w:r>
            <w:r w:rsidR="00201DB3">
              <w:rPr>
                <w:noProof/>
                <w:webHidden/>
              </w:rPr>
              <w:tab/>
            </w:r>
            <w:r w:rsidR="00201DB3">
              <w:rPr>
                <w:noProof/>
                <w:webHidden/>
              </w:rPr>
              <w:fldChar w:fldCharType="begin"/>
            </w:r>
            <w:r w:rsidR="00201DB3">
              <w:rPr>
                <w:noProof/>
                <w:webHidden/>
              </w:rPr>
              <w:instrText xml:space="preserve"> PAGEREF _Toc507062052 \h </w:instrText>
            </w:r>
            <w:r w:rsidR="00201DB3">
              <w:rPr>
                <w:noProof/>
                <w:webHidden/>
              </w:rPr>
            </w:r>
            <w:r w:rsidR="00201DB3">
              <w:rPr>
                <w:noProof/>
                <w:webHidden/>
              </w:rPr>
              <w:fldChar w:fldCharType="separate"/>
            </w:r>
            <w:r w:rsidR="00201DB3">
              <w:rPr>
                <w:noProof/>
                <w:webHidden/>
              </w:rPr>
              <w:t>7</w:t>
            </w:r>
            <w:r w:rsidR="00201DB3">
              <w:rPr>
                <w:noProof/>
                <w:webHidden/>
              </w:rPr>
              <w:fldChar w:fldCharType="end"/>
            </w:r>
          </w:hyperlink>
        </w:p>
        <w:p w:rsidR="00201DB3" w:rsidRDefault="00C75946">
          <w:pPr>
            <w:pStyle w:val="TOC1"/>
            <w:tabs>
              <w:tab w:val="right" w:leader="dot" w:pos="9016"/>
            </w:tabs>
            <w:rPr>
              <w:rFonts w:eastAsiaTheme="minorEastAsia"/>
              <w:noProof/>
              <w:lang w:eastAsia="en-GB"/>
            </w:rPr>
          </w:pPr>
          <w:hyperlink w:anchor="_Toc507062053" w:history="1">
            <w:r w:rsidR="00201DB3" w:rsidRPr="00E45386">
              <w:rPr>
                <w:rStyle w:val="Hyperlink"/>
                <w:noProof/>
              </w:rPr>
              <w:t>Appendix</w:t>
            </w:r>
            <w:r w:rsidR="00201DB3">
              <w:rPr>
                <w:noProof/>
                <w:webHidden/>
              </w:rPr>
              <w:tab/>
            </w:r>
            <w:r w:rsidR="00201DB3">
              <w:rPr>
                <w:noProof/>
                <w:webHidden/>
              </w:rPr>
              <w:fldChar w:fldCharType="begin"/>
            </w:r>
            <w:r w:rsidR="00201DB3">
              <w:rPr>
                <w:noProof/>
                <w:webHidden/>
              </w:rPr>
              <w:instrText xml:space="preserve"> PAGEREF _Toc507062053 \h </w:instrText>
            </w:r>
            <w:r w:rsidR="00201DB3">
              <w:rPr>
                <w:noProof/>
                <w:webHidden/>
              </w:rPr>
            </w:r>
            <w:r w:rsidR="00201DB3">
              <w:rPr>
                <w:noProof/>
                <w:webHidden/>
              </w:rPr>
              <w:fldChar w:fldCharType="separate"/>
            </w:r>
            <w:r w:rsidR="00201DB3">
              <w:rPr>
                <w:noProof/>
                <w:webHidden/>
              </w:rPr>
              <w:t>8</w:t>
            </w:r>
            <w:r w:rsidR="00201DB3">
              <w:rPr>
                <w:noProof/>
                <w:webHidden/>
              </w:rPr>
              <w:fldChar w:fldCharType="end"/>
            </w:r>
          </w:hyperlink>
        </w:p>
        <w:p w:rsidR="000400C2" w:rsidRDefault="004E7A31">
          <w:pPr>
            <w:rPr>
              <w:b/>
              <w:bCs/>
              <w:noProof/>
            </w:rPr>
          </w:pPr>
          <w:r>
            <w:rPr>
              <w:b/>
              <w:bCs/>
              <w:noProof/>
            </w:rPr>
            <w:fldChar w:fldCharType="end"/>
          </w:r>
        </w:p>
      </w:sdtContent>
    </w:sdt>
    <w:p w:rsidR="00F61045" w:rsidRDefault="00F61045">
      <w:pPr>
        <w:rPr>
          <w:b/>
          <w:bCs/>
          <w:noProof/>
        </w:rPr>
      </w:pPr>
    </w:p>
    <w:p w:rsidR="00F61045" w:rsidRDefault="00F61045">
      <w:pPr>
        <w:rPr>
          <w:b/>
          <w:bCs/>
          <w:noProof/>
        </w:rPr>
      </w:pPr>
    </w:p>
    <w:p w:rsidR="00F61045" w:rsidRDefault="00F61045">
      <w:pPr>
        <w:rPr>
          <w:b/>
          <w:bCs/>
          <w:noProof/>
        </w:rPr>
      </w:pPr>
    </w:p>
    <w:p w:rsidR="00F61045" w:rsidRDefault="00F61045">
      <w:pPr>
        <w:rPr>
          <w:b/>
          <w:bCs/>
          <w:noProof/>
        </w:rPr>
      </w:pPr>
    </w:p>
    <w:p w:rsidR="00F61045" w:rsidRDefault="00F61045">
      <w:pPr>
        <w:rPr>
          <w:b/>
          <w:bCs/>
          <w:noProof/>
        </w:rPr>
      </w:pPr>
    </w:p>
    <w:p w:rsidR="00F61045" w:rsidRDefault="00F61045">
      <w:pPr>
        <w:rPr>
          <w:b/>
          <w:bCs/>
          <w:noProof/>
        </w:rPr>
      </w:pPr>
    </w:p>
    <w:p w:rsidR="00F61045" w:rsidRDefault="00F61045">
      <w:pPr>
        <w:rPr>
          <w:b/>
          <w:bCs/>
          <w:noProof/>
        </w:rPr>
      </w:pPr>
    </w:p>
    <w:p w:rsidR="00F61045" w:rsidRDefault="00F61045">
      <w:pPr>
        <w:rPr>
          <w:b/>
          <w:bCs/>
          <w:noProof/>
        </w:rPr>
      </w:pPr>
    </w:p>
    <w:p w:rsidR="00F61045" w:rsidRDefault="00F61045">
      <w:pPr>
        <w:rPr>
          <w:b/>
          <w:bCs/>
          <w:noProof/>
        </w:rPr>
      </w:pPr>
    </w:p>
    <w:p w:rsidR="00F61045" w:rsidRDefault="00F61045">
      <w:pPr>
        <w:rPr>
          <w:b/>
          <w:bCs/>
          <w:noProof/>
        </w:rPr>
      </w:pPr>
    </w:p>
    <w:p w:rsidR="00F61045" w:rsidRDefault="00F61045">
      <w:pPr>
        <w:rPr>
          <w:b/>
          <w:bCs/>
          <w:noProof/>
        </w:rPr>
      </w:pPr>
    </w:p>
    <w:p w:rsidR="00F61045" w:rsidRDefault="00F61045">
      <w:pPr>
        <w:rPr>
          <w:b/>
          <w:bCs/>
          <w:noProof/>
        </w:rPr>
      </w:pPr>
    </w:p>
    <w:p w:rsidR="00F61045" w:rsidRDefault="00F61045">
      <w:pPr>
        <w:rPr>
          <w:b/>
          <w:bCs/>
          <w:noProof/>
        </w:rPr>
      </w:pPr>
    </w:p>
    <w:p w:rsidR="00F61045" w:rsidRDefault="00F61045">
      <w:pPr>
        <w:rPr>
          <w:b/>
          <w:bCs/>
          <w:noProof/>
        </w:rPr>
      </w:pPr>
    </w:p>
    <w:p w:rsidR="00F61045" w:rsidRDefault="00F61045">
      <w:pPr>
        <w:rPr>
          <w:b/>
          <w:bCs/>
          <w:noProof/>
        </w:rPr>
      </w:pPr>
    </w:p>
    <w:p w:rsidR="00F61045" w:rsidRDefault="00F61045">
      <w:pPr>
        <w:rPr>
          <w:b/>
          <w:bCs/>
          <w:noProof/>
        </w:rPr>
      </w:pPr>
    </w:p>
    <w:p w:rsidR="00F61045" w:rsidRDefault="00F61045">
      <w:pPr>
        <w:rPr>
          <w:b/>
          <w:bCs/>
          <w:noProof/>
        </w:rPr>
      </w:pPr>
    </w:p>
    <w:p w:rsidR="00F61045" w:rsidRDefault="00F61045">
      <w:pPr>
        <w:rPr>
          <w:b/>
          <w:bCs/>
          <w:noProof/>
        </w:rPr>
      </w:pPr>
    </w:p>
    <w:p w:rsidR="00F61045" w:rsidRDefault="00F61045"/>
    <w:p w:rsidR="00F61045" w:rsidRDefault="00B52B08" w:rsidP="00B52B08">
      <w:pPr>
        <w:pStyle w:val="Heading1"/>
        <w:rPr>
          <w:noProof/>
        </w:rPr>
      </w:pPr>
      <w:r>
        <w:lastRenderedPageBreak/>
        <w:tab/>
      </w:r>
      <w:bookmarkStart w:id="1" w:name="_Toc507062045"/>
      <w:r>
        <w:t>Table of Figures</w:t>
      </w:r>
      <w:bookmarkEnd w:id="1"/>
      <w:r>
        <w:t xml:space="preserve"> </w:t>
      </w:r>
      <w:r w:rsidR="00F61045">
        <w:br/>
      </w:r>
      <w:r>
        <w:fldChar w:fldCharType="begin"/>
      </w:r>
      <w:r>
        <w:instrText xml:space="preserve"> TOC \c "Figure" </w:instrText>
      </w:r>
      <w:r>
        <w:fldChar w:fldCharType="separate"/>
      </w:r>
    </w:p>
    <w:p w:rsidR="00F61045" w:rsidRDefault="00F61045">
      <w:pPr>
        <w:pStyle w:val="TableofFigures"/>
        <w:tabs>
          <w:tab w:val="right" w:leader="dot" w:pos="9016"/>
        </w:tabs>
        <w:rPr>
          <w:noProof/>
        </w:rPr>
      </w:pPr>
      <w:r>
        <w:rPr>
          <w:noProof/>
        </w:rPr>
        <w:t>Figure 1. Showing the drawing provided by the client. The engineer has labelled the sections with numbers, 1 and 6 are the abutments and 2 and 5 are the remaining piers. With 3 and 4 being the piers which are located in the water</w:t>
      </w:r>
      <w:r>
        <w:rPr>
          <w:noProof/>
        </w:rPr>
        <w:tab/>
      </w:r>
      <w:r>
        <w:rPr>
          <w:noProof/>
        </w:rPr>
        <w:fldChar w:fldCharType="begin"/>
      </w:r>
      <w:r>
        <w:rPr>
          <w:noProof/>
        </w:rPr>
        <w:instrText xml:space="preserve"> PAGEREF _Toc506990457 \h </w:instrText>
      </w:r>
      <w:r>
        <w:rPr>
          <w:noProof/>
        </w:rPr>
      </w:r>
      <w:r>
        <w:rPr>
          <w:noProof/>
        </w:rPr>
        <w:fldChar w:fldCharType="separate"/>
      </w:r>
      <w:r>
        <w:rPr>
          <w:noProof/>
        </w:rPr>
        <w:t>6</w:t>
      </w:r>
      <w:r>
        <w:rPr>
          <w:noProof/>
        </w:rPr>
        <w:fldChar w:fldCharType="end"/>
      </w:r>
    </w:p>
    <w:p w:rsidR="00F61045" w:rsidRPr="00F61045" w:rsidRDefault="00F61045" w:rsidP="00F61045"/>
    <w:p w:rsidR="00F61045" w:rsidRDefault="00F61045">
      <w:pPr>
        <w:pStyle w:val="TableofFigures"/>
        <w:tabs>
          <w:tab w:val="right" w:leader="dot" w:pos="9016"/>
        </w:tabs>
        <w:rPr>
          <w:noProof/>
        </w:rPr>
      </w:pPr>
      <w:r>
        <w:rPr>
          <w:noProof/>
        </w:rPr>
        <w:t>Figure 2. The produced Gantt chart using Asta PowerProject. The red line showing the critical path of the construction. Each activity number correlates to table 1.</w:t>
      </w:r>
      <w:r>
        <w:rPr>
          <w:noProof/>
        </w:rPr>
        <w:tab/>
      </w:r>
      <w:r>
        <w:rPr>
          <w:noProof/>
        </w:rPr>
        <w:fldChar w:fldCharType="begin"/>
      </w:r>
      <w:r>
        <w:rPr>
          <w:noProof/>
        </w:rPr>
        <w:instrText xml:space="preserve"> PAGEREF _Toc506990458 \h </w:instrText>
      </w:r>
      <w:r>
        <w:rPr>
          <w:noProof/>
        </w:rPr>
      </w:r>
      <w:r>
        <w:rPr>
          <w:noProof/>
        </w:rPr>
        <w:fldChar w:fldCharType="separate"/>
      </w:r>
      <w:r>
        <w:rPr>
          <w:noProof/>
        </w:rPr>
        <w:t>6</w:t>
      </w:r>
      <w:r>
        <w:rPr>
          <w:noProof/>
        </w:rPr>
        <w:fldChar w:fldCharType="end"/>
      </w:r>
    </w:p>
    <w:p w:rsidR="00F61045" w:rsidRPr="00F61045" w:rsidRDefault="00F61045" w:rsidP="00F61045"/>
    <w:p w:rsidR="00F61045" w:rsidRDefault="00F61045">
      <w:pPr>
        <w:pStyle w:val="TableofFigures"/>
        <w:tabs>
          <w:tab w:val="right" w:leader="dot" w:pos="9016"/>
        </w:tabs>
        <w:rPr>
          <w:noProof/>
        </w:rPr>
      </w:pPr>
      <w:r>
        <w:rPr>
          <w:noProof/>
        </w:rPr>
        <w:t>Figure 3. This graph is showing the amount of labourers per month, this has been produced using the information provided by the Spons 2018 price book (Aecom, 2017).</w:t>
      </w:r>
      <w:r>
        <w:rPr>
          <w:noProof/>
        </w:rPr>
        <w:tab/>
      </w:r>
      <w:r>
        <w:rPr>
          <w:noProof/>
        </w:rPr>
        <w:fldChar w:fldCharType="begin"/>
      </w:r>
      <w:r>
        <w:rPr>
          <w:noProof/>
        </w:rPr>
        <w:instrText xml:space="preserve"> PAGEREF _Toc506990459 \h </w:instrText>
      </w:r>
      <w:r>
        <w:rPr>
          <w:noProof/>
        </w:rPr>
      </w:r>
      <w:r>
        <w:rPr>
          <w:noProof/>
        </w:rPr>
        <w:fldChar w:fldCharType="separate"/>
      </w:r>
      <w:r>
        <w:rPr>
          <w:noProof/>
        </w:rPr>
        <w:t>7</w:t>
      </w:r>
      <w:r>
        <w:rPr>
          <w:noProof/>
        </w:rPr>
        <w:fldChar w:fldCharType="end"/>
      </w:r>
    </w:p>
    <w:p w:rsidR="00F61045" w:rsidRPr="00F61045" w:rsidRDefault="00F61045" w:rsidP="00F61045"/>
    <w:p w:rsidR="00F61045" w:rsidRDefault="00F61045">
      <w:pPr>
        <w:pStyle w:val="TableofFigures"/>
        <w:tabs>
          <w:tab w:val="right" w:leader="dot" w:pos="9016"/>
        </w:tabs>
        <w:rPr>
          <w:noProof/>
        </w:rPr>
      </w:pPr>
      <w:r>
        <w:rPr>
          <w:noProof/>
        </w:rPr>
        <w:t>Figure 4. This graph is showing the estimated cost for the construction in each month, produced using the information within the Spons 2018 price book (Aecom, 2017).</w:t>
      </w:r>
      <w:r>
        <w:rPr>
          <w:noProof/>
        </w:rPr>
        <w:tab/>
      </w:r>
      <w:r>
        <w:rPr>
          <w:noProof/>
        </w:rPr>
        <w:fldChar w:fldCharType="begin"/>
      </w:r>
      <w:r>
        <w:rPr>
          <w:noProof/>
        </w:rPr>
        <w:instrText xml:space="preserve"> PAGEREF _Toc506990460 \h </w:instrText>
      </w:r>
      <w:r>
        <w:rPr>
          <w:noProof/>
        </w:rPr>
      </w:r>
      <w:r>
        <w:rPr>
          <w:noProof/>
        </w:rPr>
        <w:fldChar w:fldCharType="separate"/>
      </w:r>
      <w:r>
        <w:rPr>
          <w:noProof/>
        </w:rPr>
        <w:t>7</w:t>
      </w:r>
      <w:r>
        <w:rPr>
          <w:noProof/>
        </w:rPr>
        <w:fldChar w:fldCharType="end"/>
      </w:r>
    </w:p>
    <w:p w:rsidR="00F61045" w:rsidRPr="00F61045" w:rsidRDefault="00F61045" w:rsidP="00F61045"/>
    <w:p w:rsidR="00F61045" w:rsidRDefault="00F61045">
      <w:pPr>
        <w:pStyle w:val="TableofFigures"/>
        <w:tabs>
          <w:tab w:val="right" w:leader="dot" w:pos="9016"/>
        </w:tabs>
        <w:rPr>
          <w:noProof/>
        </w:rPr>
      </w:pPr>
      <w:r>
        <w:rPr>
          <w:noProof/>
        </w:rPr>
        <w:t>Figure 5. Showing a pictoral representation of each activity and an estimation of how many labours will be required each month (see table 2 and Figure 3)), produced alongside the Spons 2018 price book (Aecom, 2017)</w:t>
      </w:r>
      <w:r>
        <w:rPr>
          <w:noProof/>
        </w:rPr>
        <w:tab/>
      </w:r>
      <w:r>
        <w:rPr>
          <w:noProof/>
        </w:rPr>
        <w:fldChar w:fldCharType="begin"/>
      </w:r>
      <w:r>
        <w:rPr>
          <w:noProof/>
        </w:rPr>
        <w:instrText xml:space="preserve"> PAGEREF _Toc506990461 \h </w:instrText>
      </w:r>
      <w:r>
        <w:rPr>
          <w:noProof/>
        </w:rPr>
      </w:r>
      <w:r>
        <w:rPr>
          <w:noProof/>
        </w:rPr>
        <w:fldChar w:fldCharType="separate"/>
      </w:r>
      <w:r>
        <w:rPr>
          <w:noProof/>
        </w:rPr>
        <w:t>8</w:t>
      </w:r>
      <w:r>
        <w:rPr>
          <w:noProof/>
        </w:rPr>
        <w:fldChar w:fldCharType="end"/>
      </w:r>
    </w:p>
    <w:p w:rsidR="00F61045" w:rsidRPr="00F61045" w:rsidRDefault="00F61045" w:rsidP="00F61045"/>
    <w:p w:rsidR="00F61045" w:rsidRDefault="00F61045">
      <w:pPr>
        <w:pStyle w:val="TableofFigures"/>
        <w:tabs>
          <w:tab w:val="right" w:leader="dot" w:pos="9016"/>
        </w:tabs>
        <w:rPr>
          <w:noProof/>
        </w:rPr>
      </w:pPr>
      <w:r>
        <w:rPr>
          <w:noProof/>
        </w:rPr>
        <w:t>Figure 6. Is showing the estimated cost for each activity and the monthly cost, associated with the construction (see Table 3 and Figure 4). Produced alongside the information provided in the Spons 2018 price book (Aecom, 2017).</w:t>
      </w:r>
      <w:r>
        <w:rPr>
          <w:noProof/>
        </w:rPr>
        <w:tab/>
      </w:r>
      <w:r>
        <w:rPr>
          <w:noProof/>
        </w:rPr>
        <w:fldChar w:fldCharType="begin"/>
      </w:r>
      <w:r>
        <w:rPr>
          <w:noProof/>
        </w:rPr>
        <w:instrText xml:space="preserve"> PAGEREF _Toc506990462 \h </w:instrText>
      </w:r>
      <w:r>
        <w:rPr>
          <w:noProof/>
        </w:rPr>
      </w:r>
      <w:r>
        <w:rPr>
          <w:noProof/>
        </w:rPr>
        <w:fldChar w:fldCharType="separate"/>
      </w:r>
      <w:r>
        <w:rPr>
          <w:noProof/>
        </w:rPr>
        <w:t>8</w:t>
      </w:r>
      <w:r>
        <w:rPr>
          <w:noProof/>
        </w:rPr>
        <w:fldChar w:fldCharType="end"/>
      </w:r>
    </w:p>
    <w:p w:rsidR="00F61045" w:rsidRPr="00F61045" w:rsidRDefault="00F61045" w:rsidP="00F61045"/>
    <w:p w:rsidR="00B52B08" w:rsidRDefault="00B52B08" w:rsidP="00B52B08">
      <w:pPr>
        <w:tabs>
          <w:tab w:val="left" w:pos="2254"/>
        </w:tabs>
        <w:rPr>
          <w:noProof/>
        </w:rPr>
      </w:pPr>
      <w:r>
        <w:fldChar w:fldCharType="end"/>
      </w:r>
      <w:r>
        <w:fldChar w:fldCharType="begin"/>
      </w:r>
      <w:r>
        <w:instrText xml:space="preserve"> TOC \c "Table" </w:instrText>
      </w:r>
      <w:r>
        <w:fldChar w:fldCharType="separate"/>
      </w:r>
      <w:r>
        <w:rPr>
          <w:noProof/>
        </w:rPr>
        <w:t>Table 1. Showing the activity description and duration, links to the activity numbers in figure 2……….</w:t>
      </w:r>
      <w:r>
        <w:rPr>
          <w:noProof/>
        </w:rPr>
        <w:fldChar w:fldCharType="begin"/>
      </w:r>
      <w:r>
        <w:rPr>
          <w:noProof/>
        </w:rPr>
        <w:instrText xml:space="preserve"> PAGEREF _Toc506979915 \h </w:instrText>
      </w:r>
      <w:r>
        <w:rPr>
          <w:noProof/>
        </w:rPr>
      </w:r>
      <w:r>
        <w:rPr>
          <w:noProof/>
        </w:rPr>
        <w:fldChar w:fldCharType="separate"/>
      </w:r>
      <w:r>
        <w:rPr>
          <w:noProof/>
        </w:rPr>
        <w:t>7</w:t>
      </w:r>
      <w:r>
        <w:rPr>
          <w:noProof/>
        </w:rPr>
        <w:fldChar w:fldCharType="end"/>
      </w:r>
    </w:p>
    <w:p w:rsidR="00B52B08" w:rsidRPr="00B52B08" w:rsidRDefault="00B52B08" w:rsidP="00B52B08">
      <w:pPr>
        <w:tabs>
          <w:tab w:val="left" w:pos="2254"/>
        </w:tabs>
        <w:rPr>
          <w:noProof/>
        </w:rPr>
      </w:pPr>
    </w:p>
    <w:p w:rsidR="00B52B08" w:rsidRDefault="00277D07">
      <w:pPr>
        <w:pStyle w:val="TableofFigures"/>
        <w:tabs>
          <w:tab w:val="right" w:leader="dot" w:pos="9016"/>
        </w:tabs>
        <w:rPr>
          <w:noProof/>
        </w:rPr>
      </w:pPr>
      <w:r>
        <w:rPr>
          <w:noProof/>
        </w:rPr>
        <w:t>Table 2. Showing the estimated</w:t>
      </w:r>
      <w:r w:rsidR="00B52B08">
        <w:rPr>
          <w:noProof/>
        </w:rPr>
        <w:t xml:space="preserve"> figure of labourers needed for each month shown in figure 2.</w:t>
      </w:r>
      <w:r w:rsidR="00B52B08">
        <w:rPr>
          <w:noProof/>
        </w:rPr>
        <w:tab/>
      </w:r>
      <w:r w:rsidR="00B52B08">
        <w:rPr>
          <w:noProof/>
        </w:rPr>
        <w:fldChar w:fldCharType="begin"/>
      </w:r>
      <w:r w:rsidR="00B52B08">
        <w:rPr>
          <w:noProof/>
        </w:rPr>
        <w:instrText xml:space="preserve"> PAGEREF _Toc506979916 \h </w:instrText>
      </w:r>
      <w:r w:rsidR="00B52B08">
        <w:rPr>
          <w:noProof/>
        </w:rPr>
      </w:r>
      <w:r w:rsidR="00B52B08">
        <w:rPr>
          <w:noProof/>
        </w:rPr>
        <w:fldChar w:fldCharType="separate"/>
      </w:r>
      <w:r w:rsidR="00B52B08">
        <w:rPr>
          <w:noProof/>
        </w:rPr>
        <w:t>9</w:t>
      </w:r>
      <w:r w:rsidR="00B52B08">
        <w:rPr>
          <w:noProof/>
        </w:rPr>
        <w:fldChar w:fldCharType="end"/>
      </w:r>
    </w:p>
    <w:p w:rsidR="00B52B08" w:rsidRPr="00B52B08" w:rsidRDefault="00B52B08" w:rsidP="00B52B08"/>
    <w:p w:rsidR="00B52B08" w:rsidRDefault="00B52B08">
      <w:pPr>
        <w:pStyle w:val="TableofFigures"/>
        <w:tabs>
          <w:tab w:val="right" w:leader="dot" w:pos="9016"/>
        </w:tabs>
        <w:rPr>
          <w:rFonts w:eastAsiaTheme="minorEastAsia"/>
          <w:noProof/>
          <w:lang w:eastAsia="en-GB"/>
        </w:rPr>
      </w:pPr>
      <w:r>
        <w:rPr>
          <w:noProof/>
        </w:rPr>
        <w:t>Table 3. Showing the estimated figures for the construction per month, shown in figure 3.</w:t>
      </w:r>
      <w:r>
        <w:rPr>
          <w:noProof/>
        </w:rPr>
        <w:tab/>
      </w:r>
      <w:r>
        <w:rPr>
          <w:noProof/>
        </w:rPr>
        <w:fldChar w:fldCharType="begin"/>
      </w:r>
      <w:r>
        <w:rPr>
          <w:noProof/>
        </w:rPr>
        <w:instrText xml:space="preserve"> PAGEREF _Toc506979917 \h </w:instrText>
      </w:r>
      <w:r>
        <w:rPr>
          <w:noProof/>
        </w:rPr>
      </w:r>
      <w:r>
        <w:rPr>
          <w:noProof/>
        </w:rPr>
        <w:fldChar w:fldCharType="separate"/>
      </w:r>
      <w:r>
        <w:rPr>
          <w:noProof/>
        </w:rPr>
        <w:t>9</w:t>
      </w:r>
      <w:r>
        <w:rPr>
          <w:noProof/>
        </w:rPr>
        <w:fldChar w:fldCharType="end"/>
      </w:r>
    </w:p>
    <w:p w:rsidR="000400C2" w:rsidRDefault="00B52B08" w:rsidP="00B52B08">
      <w:pPr>
        <w:tabs>
          <w:tab w:val="left" w:pos="2254"/>
        </w:tabs>
      </w:pPr>
      <w:r>
        <w:fldChar w:fldCharType="end"/>
      </w:r>
    </w:p>
    <w:p w:rsidR="000400C2" w:rsidRDefault="000400C2"/>
    <w:p w:rsidR="000400C2" w:rsidRDefault="000400C2"/>
    <w:p w:rsidR="000400C2" w:rsidRDefault="000400C2"/>
    <w:p w:rsidR="000400C2" w:rsidRDefault="000400C2"/>
    <w:p w:rsidR="00F61045" w:rsidRDefault="00F61045"/>
    <w:p w:rsidR="00F61045" w:rsidRDefault="00F61045"/>
    <w:p w:rsidR="00211E4F" w:rsidRPr="00211E4F" w:rsidRDefault="000400C2" w:rsidP="00211E4F">
      <w:pPr>
        <w:pStyle w:val="Heading1"/>
        <w:numPr>
          <w:ilvl w:val="0"/>
          <w:numId w:val="2"/>
        </w:numPr>
      </w:pPr>
      <w:bookmarkStart w:id="2" w:name="_Toc507062046"/>
      <w:r>
        <w:lastRenderedPageBreak/>
        <w:t>Introduction</w:t>
      </w:r>
      <w:bookmarkEnd w:id="2"/>
      <w:r>
        <w:t xml:space="preserve"> </w:t>
      </w:r>
    </w:p>
    <w:p w:rsidR="000400C2" w:rsidRDefault="00B33125" w:rsidP="00F87427">
      <w:pPr>
        <w:spacing w:line="360" w:lineRule="auto"/>
        <w:jc w:val="both"/>
      </w:pPr>
      <w:r>
        <w:t xml:space="preserve">The </w:t>
      </w:r>
      <w:r w:rsidR="00604B2D">
        <w:t>client</w:t>
      </w:r>
      <w:r w:rsidR="009C5B68">
        <w:t xml:space="preserve"> </w:t>
      </w:r>
      <w:r w:rsidR="00812C3B">
        <w:t>has instructed that</w:t>
      </w:r>
      <w:r w:rsidR="009C5B68">
        <w:t xml:space="preserve"> a bridge, with four piers and two abutments to span the Loughor River</w:t>
      </w:r>
      <w:r w:rsidR="0012542F">
        <w:t xml:space="preserve"> is to be constructed</w:t>
      </w:r>
      <w:r w:rsidR="00812C3B">
        <w:t xml:space="preserve"> (see figure 1)</w:t>
      </w:r>
      <w:r w:rsidR="009C5B68">
        <w:t xml:space="preserve">. </w:t>
      </w:r>
      <w:r w:rsidR="00812C3B">
        <w:t>The exact span of the intended bridge is unknown so this has been assumed to be 100m</w:t>
      </w:r>
      <w:r w:rsidR="00FB418F">
        <w:t>; therefore each bridge deck section</w:t>
      </w:r>
      <w:r w:rsidR="0012542F">
        <w:t xml:space="preserve"> will have a span of 20m. The</w:t>
      </w:r>
      <w:r w:rsidR="00FB418F">
        <w:t xml:space="preserve"> subs</w:t>
      </w:r>
      <w:r w:rsidR="0012542F">
        <w:t>trata for the project is</w:t>
      </w:r>
      <w:r w:rsidR="00FB418F">
        <w:t xml:space="preserve"> four meters of lime and mud, with the bearing layer being si</w:t>
      </w:r>
      <w:r w:rsidR="0012542F">
        <w:t>tuated below this layer of soil</w:t>
      </w:r>
      <w:r w:rsidR="00E21684">
        <w:t xml:space="preserve"> (see Figure 1)</w:t>
      </w:r>
      <w:r w:rsidR="00FB418F">
        <w:t xml:space="preserve">.  </w:t>
      </w:r>
    </w:p>
    <w:p w:rsidR="00FB418F" w:rsidRDefault="00F87427" w:rsidP="00F87427">
      <w:pPr>
        <w:spacing w:line="360" w:lineRule="auto"/>
        <w:jc w:val="both"/>
      </w:pPr>
      <w:r>
        <w:t xml:space="preserve">The </w:t>
      </w:r>
      <w:r w:rsidR="00FB418F">
        <w:t xml:space="preserve">brief has not </w:t>
      </w:r>
      <w:r w:rsidR="00E21684">
        <w:t>stipulated</w:t>
      </w:r>
      <w:r w:rsidR="0012542F">
        <w:t xml:space="preserve"> any</w:t>
      </w:r>
      <w:r w:rsidR="00604B2D">
        <w:t xml:space="preserve"> time</w:t>
      </w:r>
      <w:r w:rsidR="00FB418F">
        <w:t xml:space="preserve"> </w:t>
      </w:r>
      <w:r w:rsidR="00FB418F" w:rsidRPr="00F87427">
        <w:t>or cost</w:t>
      </w:r>
      <w:r w:rsidR="0012542F">
        <w:t xml:space="preserve"> requirements</w:t>
      </w:r>
      <w:r w:rsidR="00FB418F" w:rsidRPr="00F87427">
        <w:t>. Therefore,</w:t>
      </w:r>
      <w:r w:rsidR="00604B2D" w:rsidRPr="00F87427">
        <w:t xml:space="preserve"> this design has not </w:t>
      </w:r>
      <w:r w:rsidR="00FB418F" w:rsidRPr="00F87427">
        <w:t>altered the process to cater to any external contrib</w:t>
      </w:r>
      <w:r w:rsidR="00FB418F" w:rsidRPr="00F87427">
        <w:rPr>
          <w:rFonts w:cstheme="minorHAnsi"/>
        </w:rPr>
        <w:t xml:space="preserve">uting factors. </w:t>
      </w:r>
      <w:r w:rsidR="0012542F">
        <w:t>Clamp and Cox (2002) highlight the importance</w:t>
      </w:r>
      <w:r w:rsidR="00604B2D">
        <w:t xml:space="preserve"> </w:t>
      </w:r>
      <w:r w:rsidR="0012542F">
        <w:t xml:space="preserve">of </w:t>
      </w:r>
      <w:r w:rsidR="00604B2D">
        <w:t>engineers and wor</w:t>
      </w:r>
      <w:r w:rsidR="0012542F">
        <w:t>king professionals having</w:t>
      </w:r>
      <w:r w:rsidR="00604B2D">
        <w:t xml:space="preserve"> an ‘eye’ o</w:t>
      </w:r>
      <w:r w:rsidR="0012542F">
        <w:t xml:space="preserve">n factors such as time and cost. </w:t>
      </w:r>
      <w:r>
        <w:t xml:space="preserve">This leads to </w:t>
      </w:r>
      <w:r w:rsidR="00604B2D">
        <w:t>more innovative construction methods being implemented</w:t>
      </w:r>
      <w:r w:rsidR="00B0712D">
        <w:t xml:space="preserve">. Thus, </w:t>
      </w:r>
      <w:r w:rsidR="00604B2D">
        <w:t>within this project the engineer has chosen to introduce prefabricated elements where pos</w:t>
      </w:r>
      <w:r>
        <w:t>sible. T</w:t>
      </w:r>
      <w:r w:rsidR="00604B2D">
        <w:t>his</w:t>
      </w:r>
      <w:r>
        <w:t xml:space="preserve"> increases</w:t>
      </w:r>
      <w:r w:rsidR="00604B2D">
        <w:t xml:space="preserve"> </w:t>
      </w:r>
      <w:r>
        <w:t xml:space="preserve">productivity on site </w:t>
      </w:r>
      <w:r w:rsidR="00B0712D">
        <w:t>which</w:t>
      </w:r>
      <w:r w:rsidR="00604B2D">
        <w:t xml:space="preserve"> would re</w:t>
      </w:r>
      <w:r w:rsidR="00B0712D">
        <w:t>duce overall construction duration,</w:t>
      </w:r>
      <w:r>
        <w:t xml:space="preserve"> reducing the cost for the project</w:t>
      </w:r>
      <w:r w:rsidR="00604B2D">
        <w:t xml:space="preserve"> </w:t>
      </w:r>
      <w:sdt>
        <w:sdtPr>
          <w:id w:val="778217618"/>
          <w:citation/>
        </w:sdtPr>
        <w:sdtEndPr/>
        <w:sdtContent>
          <w:r w:rsidR="00604B2D">
            <w:fldChar w:fldCharType="begin"/>
          </w:r>
          <w:r w:rsidR="00604B2D">
            <w:instrText xml:space="preserve"> CITATION Ber11 \l 2057 </w:instrText>
          </w:r>
          <w:r w:rsidR="00604B2D">
            <w:fldChar w:fldCharType="separate"/>
          </w:r>
          <w:r w:rsidR="00DF56A3" w:rsidRPr="00DF56A3">
            <w:rPr>
              <w:noProof/>
            </w:rPr>
            <w:t>(Bernstein, et al., 2011)</w:t>
          </w:r>
          <w:r w:rsidR="00604B2D">
            <w:fldChar w:fldCharType="end"/>
          </w:r>
        </w:sdtContent>
      </w:sdt>
      <w:r>
        <w:t>.</w:t>
      </w:r>
    </w:p>
    <w:p w:rsidR="00B33125" w:rsidRDefault="00B33125" w:rsidP="00B33125"/>
    <w:p w:rsidR="00560906" w:rsidRDefault="00560906" w:rsidP="00B33125"/>
    <w:p w:rsidR="00560906" w:rsidRDefault="00560906" w:rsidP="00B33125"/>
    <w:p w:rsidR="00560906" w:rsidRDefault="00560906" w:rsidP="00B33125"/>
    <w:p w:rsidR="00560906" w:rsidRDefault="00560906" w:rsidP="00B33125"/>
    <w:p w:rsidR="00560906" w:rsidRDefault="00560906" w:rsidP="00B33125"/>
    <w:p w:rsidR="00560906" w:rsidRDefault="00560906" w:rsidP="00B33125"/>
    <w:p w:rsidR="00B52B08" w:rsidRDefault="00B52B08" w:rsidP="00B33125"/>
    <w:p w:rsidR="00B52B08" w:rsidRDefault="00B52B08" w:rsidP="00B33125"/>
    <w:p w:rsidR="00B52B08" w:rsidRDefault="00B52B08" w:rsidP="00B33125"/>
    <w:p w:rsidR="00B52B08" w:rsidRDefault="00B52B08" w:rsidP="00B33125"/>
    <w:p w:rsidR="00B52B08" w:rsidRDefault="00B52B08" w:rsidP="00B33125"/>
    <w:p w:rsidR="00B52B08" w:rsidRDefault="00B52B08" w:rsidP="00B33125"/>
    <w:p w:rsidR="00B52B08" w:rsidRDefault="00B52B08" w:rsidP="00B33125"/>
    <w:p w:rsidR="00B52B08" w:rsidRDefault="00B52B08" w:rsidP="00B33125"/>
    <w:p w:rsidR="00776846" w:rsidRDefault="00776846" w:rsidP="00B33125"/>
    <w:p w:rsidR="00560906" w:rsidRPr="00AA428E" w:rsidRDefault="00560906" w:rsidP="00B33125"/>
    <w:p w:rsidR="00E21684" w:rsidRDefault="00211E4F" w:rsidP="00211E4F">
      <w:pPr>
        <w:pStyle w:val="Heading1"/>
        <w:numPr>
          <w:ilvl w:val="0"/>
          <w:numId w:val="2"/>
        </w:numPr>
      </w:pPr>
      <w:bookmarkStart w:id="3" w:name="_Toc507062047"/>
      <w:r>
        <w:lastRenderedPageBreak/>
        <w:t>Construction Methodology</w:t>
      </w:r>
      <w:bookmarkEnd w:id="3"/>
      <w:r>
        <w:t xml:space="preserve"> </w:t>
      </w:r>
    </w:p>
    <w:p w:rsidR="00211E4F" w:rsidRPr="00D71975" w:rsidRDefault="00776846" w:rsidP="00A07E0A">
      <w:pPr>
        <w:spacing w:line="360" w:lineRule="auto"/>
        <w:jc w:val="both"/>
      </w:pPr>
      <w:r>
        <w:t>The</w:t>
      </w:r>
      <w:r w:rsidR="00211E4F">
        <w:t xml:space="preserve"> construction method </w:t>
      </w:r>
      <w:r>
        <w:t xml:space="preserve">chosen will utilize the edge of the abutment to act as a ‘simple joint’, opposed to a ‘ridged joint’ which is where the bridge deck section and the abutment </w:t>
      </w:r>
      <w:r w:rsidRPr="00D71975">
        <w:t xml:space="preserve">are </w:t>
      </w:r>
      <w:r w:rsidR="00B0712D" w:rsidRPr="00D71975">
        <w:t xml:space="preserve">rigidly </w:t>
      </w:r>
      <w:r w:rsidRPr="00D71975">
        <w:t xml:space="preserve">connected </w:t>
      </w:r>
      <w:sdt>
        <w:sdtPr>
          <w:id w:val="-1683342462"/>
          <w:citation/>
        </w:sdtPr>
        <w:sdtEndPr/>
        <w:sdtContent>
          <w:r w:rsidRPr="00D71975">
            <w:fldChar w:fldCharType="begin"/>
          </w:r>
          <w:r w:rsidRPr="00D71975">
            <w:instrText xml:space="preserve"> CITATION Kha14 \l 2057 </w:instrText>
          </w:r>
          <w:r w:rsidRPr="00D71975">
            <w:fldChar w:fldCharType="separate"/>
          </w:r>
          <w:r w:rsidR="00DF56A3" w:rsidRPr="00D71975">
            <w:rPr>
              <w:noProof/>
            </w:rPr>
            <w:t>(Khan, 2014)</w:t>
          </w:r>
          <w:r w:rsidRPr="00D71975">
            <w:fldChar w:fldCharType="end"/>
          </w:r>
        </w:sdtContent>
      </w:sdt>
      <w:r w:rsidRPr="00D71975">
        <w:t>. The use o</w:t>
      </w:r>
      <w:r w:rsidR="00B0712D" w:rsidRPr="00D71975">
        <w:t>f a ‘ridged joint’ can cause</w:t>
      </w:r>
      <w:r w:rsidRPr="00D71975">
        <w:t xml:space="preserve"> a bending moment </w:t>
      </w:r>
      <w:r w:rsidR="00B0712D" w:rsidRPr="00D71975">
        <w:t>to be exerted onto the abutment,</w:t>
      </w:r>
      <w:r w:rsidRPr="00D71975">
        <w:t xml:space="preserve"> which could cause cracking or failure. Therefore, a ‘simple joint’ has been implemented by means of using </w:t>
      </w:r>
      <w:r w:rsidR="00211E4F" w:rsidRPr="00D71975">
        <w:t>bridge bearings and expansion joints</w:t>
      </w:r>
      <w:r w:rsidRPr="00D71975">
        <w:t xml:space="preserve">. This </w:t>
      </w:r>
      <w:r w:rsidR="00211E4F" w:rsidRPr="00D71975">
        <w:t>ensure</w:t>
      </w:r>
      <w:r w:rsidRPr="00D71975">
        <w:t>s</w:t>
      </w:r>
      <w:r w:rsidR="00211E4F" w:rsidRPr="00D71975">
        <w:t xml:space="preserve"> there is no </w:t>
      </w:r>
      <w:r w:rsidRPr="00D71975">
        <w:t xml:space="preserve">bending </w:t>
      </w:r>
      <w:r w:rsidR="00211E4F" w:rsidRPr="00D71975">
        <w:t xml:space="preserve">moment in the abutment </w:t>
      </w:r>
      <w:sdt>
        <w:sdtPr>
          <w:id w:val="-1802066236"/>
          <w:citation/>
        </w:sdtPr>
        <w:sdtEndPr/>
        <w:sdtContent>
          <w:r w:rsidR="00211E4F" w:rsidRPr="00D71975">
            <w:fldChar w:fldCharType="begin"/>
          </w:r>
          <w:r w:rsidR="00211E4F" w:rsidRPr="00D71975">
            <w:instrText xml:space="preserve"> CITATION Jam17 \l 2057 </w:instrText>
          </w:r>
          <w:r w:rsidR="00211E4F" w:rsidRPr="00D71975">
            <w:fldChar w:fldCharType="separate"/>
          </w:r>
          <w:r w:rsidR="00DF56A3" w:rsidRPr="00D71975">
            <w:rPr>
              <w:noProof/>
            </w:rPr>
            <w:t>(Jamal, 2017)</w:t>
          </w:r>
          <w:r w:rsidR="00211E4F" w:rsidRPr="00D71975">
            <w:fldChar w:fldCharType="end"/>
          </w:r>
        </w:sdtContent>
      </w:sdt>
      <w:r w:rsidRPr="00D71975">
        <w:t>. The same method has been used on the piers to ensure the same outcome.</w:t>
      </w:r>
    </w:p>
    <w:p w:rsidR="00062D89" w:rsidRDefault="00B0712D" w:rsidP="00A07E0A">
      <w:pPr>
        <w:spacing w:line="360" w:lineRule="auto"/>
        <w:jc w:val="both"/>
      </w:pPr>
      <w:r w:rsidRPr="00D71975">
        <w:t>T</w:t>
      </w:r>
      <w:r w:rsidR="00211E4F" w:rsidRPr="00D71975">
        <w:t>h</w:t>
      </w:r>
      <w:r w:rsidR="00062D89" w:rsidRPr="00D71975">
        <w:t>e piers which stand within the R</w:t>
      </w:r>
      <w:r w:rsidR="00211E4F" w:rsidRPr="00D71975">
        <w:t xml:space="preserve">iver </w:t>
      </w:r>
      <w:r w:rsidR="00BB770A" w:rsidRPr="00D71975">
        <w:t>Loughor</w:t>
      </w:r>
      <w:r w:rsidR="00211E4F" w:rsidRPr="00D71975">
        <w:t xml:space="preserve"> have been surrounded by sheet piling, with </w:t>
      </w:r>
      <w:r w:rsidRPr="00D71975">
        <w:t xml:space="preserve">granular </w:t>
      </w:r>
      <w:r w:rsidR="00211E4F">
        <w:t>backfill to the pile cap</w:t>
      </w:r>
      <w:r w:rsidR="00776846">
        <w:t xml:space="preserve"> level</w:t>
      </w:r>
      <w:r w:rsidR="00062D89">
        <w:t>. T</w:t>
      </w:r>
      <w:r w:rsidR="00256F91">
        <w:t xml:space="preserve">his is because the </w:t>
      </w:r>
      <w:r w:rsidR="00062D89">
        <w:t>backfill</w:t>
      </w:r>
      <w:r w:rsidR="00256F91">
        <w:t xml:space="preserve"> should allow th</w:t>
      </w:r>
      <w:r w:rsidR="00062D89">
        <w:t xml:space="preserve">e structure to be sturdier, </w:t>
      </w:r>
      <w:r w:rsidR="00256F91">
        <w:t>due to the River Loughor</w:t>
      </w:r>
      <w:r w:rsidR="00062D89">
        <w:t xml:space="preserve"> being tidal, which, </w:t>
      </w:r>
      <w:r w:rsidR="00256F91">
        <w:t>would subject</w:t>
      </w:r>
      <w:r w:rsidR="00062D89">
        <w:t xml:space="preserve"> the piers</w:t>
      </w:r>
      <w:r>
        <w:t xml:space="preserve"> to a</w:t>
      </w:r>
      <w:r w:rsidR="00062D89">
        <w:t xml:space="preserve"> horizontal</w:t>
      </w:r>
      <w:r>
        <w:t xml:space="preserve"> force due to tidal pressure</w:t>
      </w:r>
      <w:r w:rsidR="00256F91">
        <w:t xml:space="preserve"> </w:t>
      </w:r>
      <w:sdt>
        <w:sdtPr>
          <w:id w:val="-2000030692"/>
          <w:citation/>
        </w:sdtPr>
        <w:sdtEndPr/>
        <w:sdtContent>
          <w:r w:rsidR="00256F91">
            <w:fldChar w:fldCharType="begin"/>
          </w:r>
          <w:r w:rsidR="00256F91">
            <w:instrText xml:space="preserve"> CITATION Wan15 \l 2057 </w:instrText>
          </w:r>
          <w:r w:rsidR="00256F91">
            <w:fldChar w:fldCharType="separate"/>
          </w:r>
          <w:r w:rsidR="00DF56A3" w:rsidRPr="00DF56A3">
            <w:rPr>
              <w:noProof/>
            </w:rPr>
            <w:t>(Wang, et al., 2015)</w:t>
          </w:r>
          <w:r w:rsidR="00256F91">
            <w:fldChar w:fldCharType="end"/>
          </w:r>
        </w:sdtContent>
      </w:sdt>
      <w:r w:rsidR="00256F91">
        <w:t xml:space="preserve"> </w:t>
      </w:r>
      <w:r w:rsidR="00776846">
        <w:t>. The</w:t>
      </w:r>
      <w:r w:rsidR="00211E4F">
        <w:t xml:space="preserve"> sheet piling has been form</w:t>
      </w:r>
      <w:r w:rsidR="00776846">
        <w:t>ed in a rhombus shap</w:t>
      </w:r>
      <w:r w:rsidR="00256F91">
        <w:t>e; this shape will, in comparison to a standard squared sheet piling, reduce the</w:t>
      </w:r>
      <w:r w:rsidR="00062D89">
        <w:t xml:space="preserve"> effect that</w:t>
      </w:r>
      <w:r w:rsidR="00256F91">
        <w:t xml:space="preserve"> scouring</w:t>
      </w:r>
      <w:r w:rsidR="00211E4F">
        <w:t xml:space="preserve"> might have</w:t>
      </w:r>
      <w:r w:rsidR="00256F91">
        <w:t xml:space="preserve"> on the piers </w:t>
      </w:r>
      <w:sdt>
        <w:sdtPr>
          <w:id w:val="-1079358016"/>
          <w:citation/>
        </w:sdtPr>
        <w:sdtEndPr/>
        <w:sdtContent>
          <w:r w:rsidR="00256F91">
            <w:fldChar w:fldCharType="begin"/>
          </w:r>
          <w:r w:rsidR="00256F91">
            <w:instrText xml:space="preserve"> CITATION Ent16 \l 2057 </w:instrText>
          </w:r>
          <w:r w:rsidR="00256F91">
            <w:fldChar w:fldCharType="separate"/>
          </w:r>
          <w:r w:rsidR="00DF56A3" w:rsidRPr="00DF56A3">
            <w:rPr>
              <w:noProof/>
            </w:rPr>
            <w:t>(Enteasar &amp; Ghorab , 2016)</w:t>
          </w:r>
          <w:r w:rsidR="00256F91">
            <w:fldChar w:fldCharType="end"/>
          </w:r>
        </w:sdtContent>
      </w:sdt>
      <w:r>
        <w:t>. T</w:t>
      </w:r>
      <w:r w:rsidR="00062D89">
        <w:t>his shape</w:t>
      </w:r>
      <w:r>
        <w:t xml:space="preserve"> is more expensive</w:t>
      </w:r>
      <w:r w:rsidR="00062D89">
        <w:t xml:space="preserve"> to</w:t>
      </w:r>
      <w:r>
        <w:t xml:space="preserve"> install initially,</w:t>
      </w:r>
      <w:r w:rsidR="00062D89">
        <w:t xml:space="preserve"> but the long term effect of scouring being reduced will result in the reduction of</w:t>
      </w:r>
      <w:r>
        <w:t xml:space="preserve"> the</w:t>
      </w:r>
      <w:r w:rsidR="00062D89">
        <w:t xml:space="preserve"> overall cost of maintaining this structure </w:t>
      </w:r>
      <w:sdt>
        <w:sdtPr>
          <w:id w:val="1340357688"/>
          <w:citation/>
        </w:sdtPr>
        <w:sdtEndPr/>
        <w:sdtContent>
          <w:r w:rsidR="00062D89">
            <w:fldChar w:fldCharType="begin"/>
          </w:r>
          <w:r w:rsidR="00062D89">
            <w:instrText xml:space="preserve"> CITATION Ent16 \l 2057 </w:instrText>
          </w:r>
          <w:r w:rsidR="00062D89">
            <w:fldChar w:fldCharType="separate"/>
          </w:r>
          <w:r w:rsidR="00DF56A3" w:rsidRPr="00DF56A3">
            <w:rPr>
              <w:noProof/>
            </w:rPr>
            <w:t>(Enteasar &amp; Ghorab , 2016)</w:t>
          </w:r>
          <w:r w:rsidR="00062D89">
            <w:fldChar w:fldCharType="end"/>
          </w:r>
        </w:sdtContent>
      </w:sdt>
      <w:r w:rsidR="00062D89">
        <w:t xml:space="preserve">. </w:t>
      </w:r>
      <w:r w:rsidR="00211E4F">
        <w:t xml:space="preserve"> </w:t>
      </w:r>
    </w:p>
    <w:p w:rsidR="00B05B60" w:rsidRDefault="00B05B60" w:rsidP="00A07E0A">
      <w:pPr>
        <w:spacing w:line="360" w:lineRule="auto"/>
        <w:jc w:val="both"/>
      </w:pPr>
      <w:r>
        <w:t>As a result of the scale of this project simultaneous construction methods have been implemented</w:t>
      </w:r>
      <w:r w:rsidR="000121CD">
        <w:t xml:space="preserve">. This allows whole sections to be built whilst other aspects of the construction might be held up, thus allowing for a quicker construction </w:t>
      </w:r>
      <w:sdt>
        <w:sdtPr>
          <w:id w:val="-409932018"/>
          <w:citation/>
        </w:sdtPr>
        <w:sdtEndPr/>
        <w:sdtContent>
          <w:r w:rsidR="000121CD">
            <w:fldChar w:fldCharType="begin"/>
          </w:r>
          <w:r w:rsidR="000121CD">
            <w:instrText xml:space="preserve"> CITATION Kha14 \l 2057 </w:instrText>
          </w:r>
          <w:r w:rsidR="000121CD">
            <w:fldChar w:fldCharType="separate"/>
          </w:r>
          <w:r w:rsidR="00DF56A3" w:rsidRPr="00DF56A3">
            <w:rPr>
              <w:noProof/>
            </w:rPr>
            <w:t>(Khan, 2014)</w:t>
          </w:r>
          <w:r w:rsidR="000121CD">
            <w:fldChar w:fldCharType="end"/>
          </w:r>
        </w:sdtContent>
      </w:sdt>
      <w:r>
        <w:t>.</w:t>
      </w:r>
      <w:r w:rsidR="000121CD">
        <w:t xml:space="preserve"> The downside to using this style of construction is that it is more expensive because the client will have to pay for multiple activities at once. The benefit of this is that the project is finished quicker </w:t>
      </w:r>
      <w:sdt>
        <w:sdtPr>
          <w:id w:val="-2041272807"/>
          <w:citation/>
        </w:sdtPr>
        <w:sdtEndPr/>
        <w:sdtContent>
          <w:r w:rsidR="000121CD">
            <w:fldChar w:fldCharType="begin"/>
          </w:r>
          <w:r w:rsidR="000121CD">
            <w:instrText xml:space="preserve"> CITATION Kha14 \l 2057 </w:instrText>
          </w:r>
          <w:r w:rsidR="000121CD">
            <w:fldChar w:fldCharType="separate"/>
          </w:r>
          <w:r w:rsidR="00DF56A3" w:rsidRPr="00DF56A3">
            <w:rPr>
              <w:noProof/>
            </w:rPr>
            <w:t>(Khan, 2014)</w:t>
          </w:r>
          <w:r w:rsidR="000121CD">
            <w:fldChar w:fldCharType="end"/>
          </w:r>
        </w:sdtContent>
      </w:sdt>
      <w:r w:rsidR="000121CD">
        <w:t xml:space="preserve">. </w:t>
      </w:r>
      <w:r>
        <w:t xml:space="preserve"> This technique was used for the </w:t>
      </w:r>
      <w:r w:rsidR="000121CD">
        <w:t>abutments</w:t>
      </w:r>
      <w:r>
        <w:t xml:space="preserve">, piers and also the bridge deck sections (see Figure 2).  </w:t>
      </w:r>
      <w:r w:rsidR="001E2ADA" w:rsidRPr="001E2ADA">
        <w:t>The disadvantage of using this style of construction is that the success of the project is heavily reliant on the initial planning stages. As a result of this project requiring simultaneous construction methods (Khan, 2014). For example, when bridge deck section three is being constructed, there must be the communication and planning in place to ensure that bridge deck section two does not have any delays, which would result in the whole construction being delayed and therefore waiting for this bridge deck section to be finished. Contradictory to this, if the correct planning and communication channels are in place, this style of simultaneous construction methods could hugely increase productivity, thus reducing the overall construction duration being reduced (Bernstein, et al., 2011)</w:t>
      </w:r>
    </w:p>
    <w:p w:rsidR="00B41572" w:rsidRDefault="000121CD" w:rsidP="00D71975">
      <w:pPr>
        <w:spacing w:line="360" w:lineRule="auto"/>
        <w:jc w:val="both"/>
      </w:pPr>
      <w:r>
        <w:t>The decision was made not to use any incremental launching methods (IL</w:t>
      </w:r>
      <w:r w:rsidR="001E2ADA">
        <w:t>M) for the bridge deck sections</w:t>
      </w:r>
      <w:r>
        <w:t xml:space="preserve"> because of the assumption that the bridge</w:t>
      </w:r>
      <w:r w:rsidR="001E2ADA">
        <w:t>’s span will be 100m. This is not</w:t>
      </w:r>
      <w:r>
        <w:t xml:space="preserve"> a viabl</w:t>
      </w:r>
      <w:r w:rsidR="001E2ADA">
        <w:t>e option for ILM because</w:t>
      </w:r>
      <w:r>
        <w:t xml:space="preserve"> ILM</w:t>
      </w:r>
      <w:r w:rsidR="00B450F5">
        <w:t xml:space="preserve"> </w:t>
      </w:r>
      <w:r w:rsidR="001E2ADA">
        <w:t xml:space="preserve">is </w:t>
      </w:r>
      <w:r w:rsidR="00B450F5">
        <w:t>only</w:t>
      </w:r>
      <w:r>
        <w:t xml:space="preserve"> used for bridges with a span </w:t>
      </w:r>
      <w:r w:rsidR="00A07E0A">
        <w:rPr>
          <w:rFonts w:cstheme="minorHAnsi"/>
        </w:rPr>
        <w:t xml:space="preserve">≥250m </w:t>
      </w:r>
      <w:sdt>
        <w:sdtPr>
          <w:rPr>
            <w:rFonts w:cstheme="minorHAnsi"/>
          </w:rPr>
          <w:id w:val="467020469"/>
          <w:citation/>
        </w:sdtPr>
        <w:sdtEndPr/>
        <w:sdtContent>
          <w:r w:rsidR="00A07E0A">
            <w:rPr>
              <w:rFonts w:cstheme="minorHAnsi"/>
            </w:rPr>
            <w:fldChar w:fldCharType="begin"/>
          </w:r>
          <w:r w:rsidR="00A07E0A">
            <w:rPr>
              <w:rFonts w:cstheme="minorHAnsi"/>
            </w:rPr>
            <w:instrText xml:space="preserve"> CITATION The17 \l 2057 </w:instrText>
          </w:r>
          <w:r w:rsidR="00A07E0A">
            <w:rPr>
              <w:rFonts w:cstheme="minorHAnsi"/>
            </w:rPr>
            <w:fldChar w:fldCharType="separate"/>
          </w:r>
          <w:r w:rsidR="00DF56A3" w:rsidRPr="00DF56A3">
            <w:rPr>
              <w:rFonts w:cstheme="minorHAnsi"/>
              <w:noProof/>
            </w:rPr>
            <w:t>(TheConstructor.org, 2017)</w:t>
          </w:r>
          <w:r w:rsidR="00A07E0A">
            <w:rPr>
              <w:rFonts w:cstheme="minorHAnsi"/>
            </w:rPr>
            <w:fldChar w:fldCharType="end"/>
          </w:r>
        </w:sdtContent>
      </w:sdt>
      <w:r w:rsidR="00A07E0A">
        <w:rPr>
          <w:rFonts w:cstheme="minorHAnsi"/>
        </w:rPr>
        <w:t>.</w:t>
      </w:r>
    </w:p>
    <w:p w:rsidR="00211E4F" w:rsidRDefault="00211E4F" w:rsidP="00211E4F">
      <w:pPr>
        <w:pStyle w:val="Heading1"/>
        <w:numPr>
          <w:ilvl w:val="0"/>
          <w:numId w:val="2"/>
        </w:numPr>
        <w:rPr>
          <w:noProof/>
          <w:lang w:eastAsia="en-GB"/>
        </w:rPr>
      </w:pPr>
      <w:bookmarkStart w:id="4" w:name="_Toc507062048"/>
      <w:r>
        <w:rPr>
          <w:noProof/>
          <w:lang w:eastAsia="en-GB"/>
        </w:rPr>
        <w:lastRenderedPageBreak/>
        <w:t>Expected duration of construction</w:t>
      </w:r>
      <w:bookmarkEnd w:id="4"/>
    </w:p>
    <w:p w:rsidR="00F40B6C" w:rsidRPr="00826372" w:rsidRDefault="00F40B6C" w:rsidP="00606A8C">
      <w:pPr>
        <w:spacing w:line="360" w:lineRule="auto"/>
        <w:jc w:val="both"/>
        <w:rPr>
          <w:rFonts w:eastAsiaTheme="minorEastAsia"/>
          <w:lang w:eastAsia="en-GB"/>
        </w:rPr>
      </w:pPr>
      <w:r>
        <w:rPr>
          <w:lang w:eastAsia="en-GB"/>
        </w:rPr>
        <w:t>The duration for each activity has been calculated using the equation for work duration</w:t>
      </w:r>
      <w:r w:rsidR="00DF56A3">
        <w:rPr>
          <w:lang w:eastAsia="en-GB"/>
        </w:rPr>
        <w:t xml:space="preserve"> below</w:t>
      </w:r>
      <w:r>
        <w:rPr>
          <w:lang w:eastAsia="en-GB"/>
        </w:rPr>
        <w:t>.</w:t>
      </w:r>
    </w:p>
    <w:p w:rsidR="00F40B6C" w:rsidRPr="00826372" w:rsidRDefault="00F40B6C" w:rsidP="00606A8C">
      <w:pPr>
        <w:pStyle w:val="ListParagraph"/>
        <w:numPr>
          <w:ilvl w:val="0"/>
          <w:numId w:val="3"/>
        </w:numPr>
        <w:spacing w:line="360" w:lineRule="auto"/>
        <w:jc w:val="both"/>
        <w:rPr>
          <w:rFonts w:eastAsiaTheme="minorEastAsia"/>
          <w:lang w:eastAsia="en-GB"/>
        </w:rPr>
      </w:pPr>
      <m:oMath>
        <m:r>
          <w:rPr>
            <w:rFonts w:ascii="Cambria Math" w:hAnsi="Cambria Math"/>
            <w:lang w:eastAsia="en-GB"/>
          </w:rPr>
          <m:t>WD=</m:t>
        </m:r>
        <m:f>
          <m:fPr>
            <m:ctrlPr>
              <w:rPr>
                <w:rFonts w:ascii="Cambria Math" w:hAnsi="Cambria Math"/>
                <w:i/>
                <w:lang w:eastAsia="en-GB"/>
              </w:rPr>
            </m:ctrlPr>
          </m:fPr>
          <m:num>
            <m:r>
              <w:rPr>
                <w:rFonts w:ascii="Cambria Math" w:hAnsi="Cambria Math"/>
                <w:lang w:eastAsia="en-GB"/>
              </w:rPr>
              <m:t>Quantity of work</m:t>
            </m:r>
          </m:num>
          <m:den>
            <m:r>
              <w:rPr>
                <w:rFonts w:ascii="Cambria Math" w:hAnsi="Cambria Math"/>
                <w:lang w:eastAsia="en-GB"/>
              </w:rPr>
              <m:t>Number of gangs ×Production rate</m:t>
            </m:r>
          </m:den>
        </m:f>
      </m:oMath>
    </w:p>
    <w:p w:rsidR="00606A8C" w:rsidRDefault="00FB418F" w:rsidP="00606A8C">
      <w:pPr>
        <w:spacing w:line="360" w:lineRule="auto"/>
        <w:jc w:val="both"/>
        <w:rPr>
          <w:rFonts w:eastAsiaTheme="minorEastAsia"/>
          <w:lang w:eastAsia="en-GB"/>
        </w:rPr>
      </w:pPr>
      <w:r>
        <w:rPr>
          <w:rFonts w:eastAsiaTheme="minorEastAsia"/>
          <w:lang w:eastAsia="en-GB"/>
        </w:rPr>
        <w:t>This equation has enabled</w:t>
      </w:r>
      <w:r w:rsidR="00F40B6C">
        <w:rPr>
          <w:rFonts w:eastAsiaTheme="minorEastAsia"/>
          <w:lang w:eastAsia="en-GB"/>
        </w:rPr>
        <w:t xml:space="preserve"> a Gantt chart to</w:t>
      </w:r>
      <w:r w:rsidR="00DF56A3">
        <w:rPr>
          <w:rFonts w:eastAsiaTheme="minorEastAsia"/>
          <w:lang w:eastAsia="en-GB"/>
        </w:rPr>
        <w:t xml:space="preserve"> be produced (see Figure 2), which pictorially displays the information gained using the </w:t>
      </w:r>
      <w:proofErr w:type="spellStart"/>
      <w:r w:rsidR="00DF56A3">
        <w:rPr>
          <w:rFonts w:eastAsiaTheme="minorEastAsia"/>
          <w:lang w:eastAsia="en-GB"/>
        </w:rPr>
        <w:t>Spons</w:t>
      </w:r>
      <w:proofErr w:type="spellEnd"/>
      <w:r w:rsidR="00DF56A3">
        <w:rPr>
          <w:rFonts w:eastAsiaTheme="minorEastAsia"/>
          <w:lang w:eastAsia="en-GB"/>
        </w:rPr>
        <w:t xml:space="preserve"> 2018 Price book, and also the above equation </w:t>
      </w:r>
      <w:sdt>
        <w:sdtPr>
          <w:rPr>
            <w:rFonts w:eastAsiaTheme="minorEastAsia"/>
            <w:lang w:eastAsia="en-GB"/>
          </w:rPr>
          <w:id w:val="1639687297"/>
          <w:citation/>
        </w:sdtPr>
        <w:sdtEndPr/>
        <w:sdtContent>
          <w:r w:rsidR="00DF56A3">
            <w:rPr>
              <w:rFonts w:eastAsiaTheme="minorEastAsia"/>
              <w:lang w:eastAsia="en-GB"/>
            </w:rPr>
            <w:fldChar w:fldCharType="begin"/>
          </w:r>
          <w:r w:rsidR="00DF56A3">
            <w:rPr>
              <w:rFonts w:eastAsiaTheme="minorEastAsia"/>
              <w:lang w:eastAsia="en-GB"/>
            </w:rPr>
            <w:instrText xml:space="preserve"> CITATION Aec17 \l 2057 </w:instrText>
          </w:r>
          <w:r w:rsidR="00DF56A3">
            <w:rPr>
              <w:rFonts w:eastAsiaTheme="minorEastAsia"/>
              <w:lang w:eastAsia="en-GB"/>
            </w:rPr>
            <w:fldChar w:fldCharType="separate"/>
          </w:r>
          <w:r w:rsidR="00DF56A3" w:rsidRPr="00DF56A3">
            <w:rPr>
              <w:rFonts w:eastAsiaTheme="minorEastAsia"/>
              <w:noProof/>
              <w:lang w:eastAsia="en-GB"/>
            </w:rPr>
            <w:t>(Aecom, 2017)</w:t>
          </w:r>
          <w:r w:rsidR="00DF56A3">
            <w:rPr>
              <w:rFonts w:eastAsiaTheme="minorEastAsia"/>
              <w:lang w:eastAsia="en-GB"/>
            </w:rPr>
            <w:fldChar w:fldCharType="end"/>
          </w:r>
        </w:sdtContent>
      </w:sdt>
      <w:r w:rsidR="004B79B0">
        <w:rPr>
          <w:rFonts w:eastAsiaTheme="minorEastAsia"/>
          <w:lang w:eastAsia="en-GB"/>
        </w:rPr>
        <w:t xml:space="preserve">. </w:t>
      </w:r>
      <w:r w:rsidR="006D6FD1">
        <w:rPr>
          <w:rFonts w:eastAsiaTheme="minorEastAsia"/>
          <w:lang w:eastAsia="en-GB"/>
        </w:rPr>
        <w:t>The expected duration</w:t>
      </w:r>
      <w:r w:rsidR="004B79B0">
        <w:rPr>
          <w:rFonts w:eastAsiaTheme="minorEastAsia"/>
          <w:lang w:eastAsia="en-GB"/>
        </w:rPr>
        <w:t xml:space="preserve"> for this project is </w:t>
      </w:r>
      <w:r w:rsidR="006D6FD1">
        <w:rPr>
          <w:rFonts w:eastAsiaTheme="minorEastAsia"/>
          <w:lang w:eastAsia="en-GB"/>
        </w:rPr>
        <w:t>eighteen weeks, this is comprised of eight hour working days, with lab</w:t>
      </w:r>
      <w:r w:rsidR="00606A8C">
        <w:rPr>
          <w:rFonts w:eastAsiaTheme="minorEastAsia"/>
          <w:lang w:eastAsia="en-GB"/>
        </w:rPr>
        <w:t xml:space="preserve">ourers working five days a week. If there were factors effecting time, then more labourers could be brought into increase productivity and decrease overall duration </w:t>
      </w:r>
      <w:sdt>
        <w:sdtPr>
          <w:rPr>
            <w:rFonts w:eastAsiaTheme="minorEastAsia"/>
            <w:lang w:eastAsia="en-GB"/>
          </w:rPr>
          <w:id w:val="-1599864029"/>
          <w:citation/>
        </w:sdtPr>
        <w:sdtEndPr/>
        <w:sdtContent>
          <w:r w:rsidR="00606A8C">
            <w:rPr>
              <w:rFonts w:eastAsiaTheme="minorEastAsia"/>
              <w:lang w:eastAsia="en-GB"/>
            </w:rPr>
            <w:fldChar w:fldCharType="begin"/>
          </w:r>
          <w:r w:rsidR="00606A8C">
            <w:rPr>
              <w:rFonts w:eastAsiaTheme="minorEastAsia"/>
              <w:lang w:eastAsia="en-GB"/>
            </w:rPr>
            <w:instrText xml:space="preserve"> CITATION Ber11 \l 2057 </w:instrText>
          </w:r>
          <w:r w:rsidR="00606A8C">
            <w:rPr>
              <w:rFonts w:eastAsiaTheme="minorEastAsia"/>
              <w:lang w:eastAsia="en-GB"/>
            </w:rPr>
            <w:fldChar w:fldCharType="separate"/>
          </w:r>
          <w:r w:rsidR="00606A8C" w:rsidRPr="00606A8C">
            <w:rPr>
              <w:rFonts w:eastAsiaTheme="minorEastAsia"/>
              <w:noProof/>
              <w:lang w:eastAsia="en-GB"/>
            </w:rPr>
            <w:t>(Bernstein, et al., 2011)</w:t>
          </w:r>
          <w:r w:rsidR="00606A8C">
            <w:rPr>
              <w:rFonts w:eastAsiaTheme="minorEastAsia"/>
              <w:lang w:eastAsia="en-GB"/>
            </w:rPr>
            <w:fldChar w:fldCharType="end"/>
          </w:r>
        </w:sdtContent>
      </w:sdt>
      <w:r w:rsidR="00606A8C">
        <w:rPr>
          <w:rFonts w:eastAsiaTheme="minorEastAsia"/>
          <w:lang w:eastAsia="en-GB"/>
        </w:rPr>
        <w:t>.</w:t>
      </w:r>
      <w:r w:rsidR="006D6FD1">
        <w:rPr>
          <w:rFonts w:eastAsiaTheme="minorEastAsia"/>
          <w:lang w:eastAsia="en-GB"/>
        </w:rPr>
        <w:t xml:space="preserve"> </w:t>
      </w:r>
    </w:p>
    <w:p w:rsidR="00606A8C" w:rsidRDefault="006D6FD1" w:rsidP="00606A8C">
      <w:pPr>
        <w:spacing w:line="360" w:lineRule="auto"/>
        <w:jc w:val="both"/>
        <w:rPr>
          <w:rFonts w:eastAsiaTheme="minorEastAsia"/>
          <w:lang w:eastAsia="en-GB"/>
        </w:rPr>
      </w:pPr>
      <w:r>
        <w:rPr>
          <w:rFonts w:eastAsiaTheme="minorEastAsia"/>
          <w:lang w:eastAsia="en-GB"/>
        </w:rPr>
        <w:t xml:space="preserve">This duration </w:t>
      </w:r>
      <w:r w:rsidR="0069443C">
        <w:rPr>
          <w:rFonts w:eastAsiaTheme="minorEastAsia"/>
          <w:lang w:eastAsia="en-GB"/>
        </w:rPr>
        <w:t>is un</w:t>
      </w:r>
      <w:r w:rsidR="00BB770A">
        <w:rPr>
          <w:rFonts w:eastAsiaTheme="minorEastAsia"/>
          <w:lang w:eastAsia="en-GB"/>
        </w:rPr>
        <w:t>-</w:t>
      </w:r>
      <w:r w:rsidR="0069443C">
        <w:rPr>
          <w:rFonts w:eastAsiaTheme="minorEastAsia"/>
          <w:lang w:eastAsia="en-GB"/>
        </w:rPr>
        <w:t xml:space="preserve">factored </w:t>
      </w:r>
      <w:r w:rsidR="00606A8C">
        <w:rPr>
          <w:rFonts w:eastAsiaTheme="minorEastAsia"/>
          <w:lang w:eastAsia="en-GB"/>
        </w:rPr>
        <w:t xml:space="preserve">estimation, which means that there have been no factors of safety applied to this equation. This would therefore allow for a tolerance in regards to weather conditions or unexpected events. Therefore, this duration might fluctuate dependant on factors effecting weather, logistics and other factors </w:t>
      </w:r>
      <w:sdt>
        <w:sdtPr>
          <w:rPr>
            <w:rFonts w:eastAsiaTheme="minorEastAsia"/>
            <w:lang w:eastAsia="en-GB"/>
          </w:rPr>
          <w:id w:val="-1753352212"/>
          <w:citation/>
        </w:sdtPr>
        <w:sdtEndPr/>
        <w:sdtContent>
          <w:r w:rsidR="00606A8C">
            <w:rPr>
              <w:rFonts w:eastAsiaTheme="minorEastAsia"/>
              <w:lang w:eastAsia="en-GB"/>
            </w:rPr>
            <w:fldChar w:fldCharType="begin"/>
          </w:r>
          <w:r w:rsidR="00606A8C">
            <w:rPr>
              <w:rFonts w:eastAsiaTheme="minorEastAsia"/>
              <w:lang w:eastAsia="en-GB"/>
            </w:rPr>
            <w:instrText xml:space="preserve"> CITATION Kha14 \l 2057 </w:instrText>
          </w:r>
          <w:r w:rsidR="00606A8C">
            <w:rPr>
              <w:rFonts w:eastAsiaTheme="minorEastAsia"/>
              <w:lang w:eastAsia="en-GB"/>
            </w:rPr>
            <w:fldChar w:fldCharType="separate"/>
          </w:r>
          <w:r w:rsidR="00606A8C" w:rsidRPr="00606A8C">
            <w:rPr>
              <w:rFonts w:eastAsiaTheme="minorEastAsia"/>
              <w:noProof/>
              <w:lang w:eastAsia="en-GB"/>
            </w:rPr>
            <w:t>(Khan, 2014)</w:t>
          </w:r>
          <w:r w:rsidR="00606A8C">
            <w:rPr>
              <w:rFonts w:eastAsiaTheme="minorEastAsia"/>
              <w:lang w:eastAsia="en-GB"/>
            </w:rPr>
            <w:fldChar w:fldCharType="end"/>
          </w:r>
        </w:sdtContent>
      </w:sdt>
      <w:r w:rsidR="00606A8C">
        <w:rPr>
          <w:rFonts w:eastAsiaTheme="minorEastAsia"/>
          <w:lang w:eastAsia="en-GB"/>
        </w:rPr>
        <w:t xml:space="preserve">. </w:t>
      </w:r>
    </w:p>
    <w:p w:rsidR="00211E4F" w:rsidRDefault="00211E4F" w:rsidP="00211E4F">
      <w:pPr>
        <w:pStyle w:val="Heading1"/>
        <w:numPr>
          <w:ilvl w:val="0"/>
          <w:numId w:val="2"/>
        </w:numPr>
        <w:rPr>
          <w:rFonts w:eastAsiaTheme="minorEastAsia"/>
          <w:lang w:eastAsia="en-GB"/>
        </w:rPr>
      </w:pPr>
      <w:bookmarkStart w:id="5" w:name="_Toc507062049"/>
      <w:r>
        <w:rPr>
          <w:rFonts w:eastAsiaTheme="minorEastAsia"/>
          <w:lang w:eastAsia="en-GB"/>
        </w:rPr>
        <w:t>Expected labour required for each month</w:t>
      </w:r>
      <w:bookmarkEnd w:id="5"/>
    </w:p>
    <w:p w:rsidR="00A8210C" w:rsidRPr="00560472" w:rsidRDefault="00E04DCD" w:rsidP="000B7BA9">
      <w:pPr>
        <w:spacing w:line="360" w:lineRule="auto"/>
        <w:jc w:val="both"/>
        <w:rPr>
          <w:lang w:eastAsia="en-GB"/>
        </w:rPr>
      </w:pPr>
      <w:r w:rsidRPr="00560472">
        <w:rPr>
          <w:lang w:eastAsia="en-GB"/>
        </w:rPr>
        <w:t>The labour required for each month has been calculated by using the ‘</w:t>
      </w:r>
      <w:proofErr w:type="spellStart"/>
      <w:r w:rsidRPr="00560472">
        <w:rPr>
          <w:lang w:eastAsia="en-GB"/>
        </w:rPr>
        <w:t>Spons</w:t>
      </w:r>
      <w:proofErr w:type="spellEnd"/>
      <w:r w:rsidRPr="00560472">
        <w:rPr>
          <w:lang w:eastAsia="en-GB"/>
        </w:rPr>
        <w:t xml:space="preserve"> Civil engineering and Highway price book 2018’. This gives figures and amount of labours per activity.</w:t>
      </w:r>
      <w:r w:rsidR="00606A8C" w:rsidRPr="00560472">
        <w:rPr>
          <w:lang w:eastAsia="en-GB"/>
        </w:rPr>
        <w:t xml:space="preserve"> For example, one gang comprised of two plant operators, three labourers and one supervisor</w:t>
      </w:r>
      <w:r w:rsidR="00A8210C" w:rsidRPr="00560472">
        <w:rPr>
          <w:lang w:eastAsia="en-GB"/>
        </w:rPr>
        <w:t>, this would be noted as six labourers required for that particular activity (see Figure 3, 5 and Table 2).</w:t>
      </w:r>
    </w:p>
    <w:p w:rsidR="00941D81" w:rsidRDefault="00D71975" w:rsidP="000B7BA9">
      <w:pPr>
        <w:spacing w:line="360" w:lineRule="auto"/>
        <w:jc w:val="both"/>
        <w:rPr>
          <w:lang w:eastAsia="en-GB"/>
        </w:rPr>
      </w:pPr>
      <w:r w:rsidRPr="00560472">
        <w:rPr>
          <w:lang w:eastAsia="en-GB"/>
        </w:rPr>
        <w:t xml:space="preserve">The total amount of estimated labours for the entire project is 405 (see Figure 3 and Table 2). </w:t>
      </w:r>
      <w:r w:rsidR="00A8210C" w:rsidRPr="00560472">
        <w:rPr>
          <w:lang w:eastAsia="en-GB"/>
        </w:rPr>
        <w:t>In each month of the con</w:t>
      </w:r>
      <w:r w:rsidR="00077D3E" w:rsidRPr="00560472">
        <w:rPr>
          <w:lang w:eastAsia="en-GB"/>
        </w:rPr>
        <w:t>struction the amount of labourers</w:t>
      </w:r>
      <w:r w:rsidR="00A8210C" w:rsidRPr="00560472">
        <w:rPr>
          <w:lang w:eastAsia="en-GB"/>
        </w:rPr>
        <w:t xml:space="preserve"> required </w:t>
      </w:r>
      <w:r w:rsidR="00077D3E" w:rsidRPr="00560472">
        <w:rPr>
          <w:lang w:eastAsia="en-GB"/>
        </w:rPr>
        <w:t>changes</w:t>
      </w:r>
      <w:r w:rsidR="00A8210C" w:rsidRPr="00560472">
        <w:rPr>
          <w:lang w:eastAsia="en-GB"/>
        </w:rPr>
        <w:t xml:space="preserve"> in conjunction with what activity is occurring that month. For example, month five only requires </w:t>
      </w:r>
      <w:r w:rsidR="00560472" w:rsidRPr="00560472">
        <w:rPr>
          <w:lang w:eastAsia="en-GB"/>
        </w:rPr>
        <w:t>14</w:t>
      </w:r>
      <w:r w:rsidR="00077D3E" w:rsidRPr="00560472">
        <w:rPr>
          <w:lang w:eastAsia="en-GB"/>
        </w:rPr>
        <w:t xml:space="preserve"> labourers </w:t>
      </w:r>
      <w:r w:rsidR="00512455" w:rsidRPr="00560472">
        <w:rPr>
          <w:lang w:eastAsia="en-GB"/>
        </w:rPr>
        <w:t>because there is not as much occurring compared with</w:t>
      </w:r>
      <w:r w:rsidR="00077D3E" w:rsidRPr="00560472">
        <w:rPr>
          <w:lang w:eastAsia="en-GB"/>
        </w:rPr>
        <w:t xml:space="preserve"> month three, where </w:t>
      </w:r>
      <w:r w:rsidR="0012542F" w:rsidRPr="00560472">
        <w:rPr>
          <w:lang w:eastAsia="en-GB"/>
        </w:rPr>
        <w:t>126</w:t>
      </w:r>
      <w:r w:rsidR="00512455" w:rsidRPr="00560472">
        <w:rPr>
          <w:lang w:eastAsia="en-GB"/>
        </w:rPr>
        <w:t xml:space="preserve"> labourers are required, b</w:t>
      </w:r>
      <w:r w:rsidR="00077D3E" w:rsidRPr="00560472">
        <w:rPr>
          <w:lang w:eastAsia="en-GB"/>
        </w:rPr>
        <w:t xml:space="preserve">ecause </w:t>
      </w:r>
      <w:r w:rsidR="000A2639" w:rsidRPr="00560472">
        <w:rPr>
          <w:lang w:eastAsia="en-GB"/>
        </w:rPr>
        <w:t>during this phase the bridge deck section</w:t>
      </w:r>
      <w:r w:rsidR="00512455" w:rsidRPr="00560472">
        <w:rPr>
          <w:lang w:eastAsia="en-GB"/>
        </w:rPr>
        <w:t>s</w:t>
      </w:r>
      <w:r w:rsidR="000A2639" w:rsidRPr="00560472">
        <w:rPr>
          <w:lang w:eastAsia="en-GB"/>
        </w:rPr>
        <w:t xml:space="preserve"> are being constructed (see Figure 2, 3 and 5).</w:t>
      </w:r>
      <w:r w:rsidRPr="00560472">
        <w:rPr>
          <w:lang w:eastAsia="en-GB"/>
        </w:rPr>
        <w:t xml:space="preserve"> Therefore, if there were any delays during the construction the client could request that more labourers work on certain aspects to increase productivity, resulting in a different amount of labourers required </w:t>
      </w:r>
      <w:sdt>
        <w:sdtPr>
          <w:rPr>
            <w:lang w:eastAsia="en-GB"/>
          </w:rPr>
          <w:id w:val="-759135947"/>
          <w:citation/>
        </w:sdtPr>
        <w:sdtContent>
          <w:r w:rsidRPr="00560472">
            <w:rPr>
              <w:lang w:eastAsia="en-GB"/>
            </w:rPr>
            <w:fldChar w:fldCharType="begin"/>
          </w:r>
          <w:r w:rsidRPr="00560472">
            <w:rPr>
              <w:lang w:eastAsia="en-GB"/>
            </w:rPr>
            <w:instrText xml:space="preserve"> CITATION Kha14 \l 2057 </w:instrText>
          </w:r>
          <w:r w:rsidRPr="00560472">
            <w:rPr>
              <w:lang w:eastAsia="en-GB"/>
            </w:rPr>
            <w:fldChar w:fldCharType="separate"/>
          </w:r>
          <w:r w:rsidRPr="00560472">
            <w:rPr>
              <w:noProof/>
              <w:lang w:eastAsia="en-GB"/>
            </w:rPr>
            <w:t>(Khan, 2014)</w:t>
          </w:r>
          <w:r w:rsidRPr="00560472">
            <w:rPr>
              <w:lang w:eastAsia="en-GB"/>
            </w:rPr>
            <w:fldChar w:fldCharType="end"/>
          </w:r>
        </w:sdtContent>
      </w:sdt>
      <w:r w:rsidRPr="00560472">
        <w:rPr>
          <w:lang w:eastAsia="en-GB"/>
        </w:rPr>
        <w:t>.</w:t>
      </w:r>
      <w:r w:rsidR="00560472">
        <w:rPr>
          <w:lang w:eastAsia="en-GB"/>
        </w:rPr>
        <w:t xml:space="preserve"> </w:t>
      </w:r>
    </w:p>
    <w:p w:rsidR="00941D81" w:rsidRDefault="00941D81" w:rsidP="000B7BA9">
      <w:pPr>
        <w:spacing w:line="360" w:lineRule="auto"/>
        <w:jc w:val="both"/>
        <w:rPr>
          <w:lang w:eastAsia="en-GB"/>
        </w:rPr>
      </w:pPr>
    </w:p>
    <w:p w:rsidR="00941D81" w:rsidRDefault="00941D81" w:rsidP="000B7BA9">
      <w:pPr>
        <w:spacing w:line="360" w:lineRule="auto"/>
        <w:jc w:val="both"/>
        <w:rPr>
          <w:lang w:eastAsia="en-GB"/>
        </w:rPr>
      </w:pPr>
    </w:p>
    <w:p w:rsidR="00941D81" w:rsidRDefault="00941D81" w:rsidP="000B7BA9">
      <w:pPr>
        <w:spacing w:line="360" w:lineRule="auto"/>
        <w:jc w:val="both"/>
        <w:rPr>
          <w:lang w:eastAsia="en-GB"/>
        </w:rPr>
      </w:pPr>
    </w:p>
    <w:p w:rsidR="00941D81" w:rsidRPr="00F40B6C" w:rsidRDefault="00941D81" w:rsidP="000B7BA9">
      <w:pPr>
        <w:spacing w:line="360" w:lineRule="auto"/>
        <w:jc w:val="both"/>
        <w:rPr>
          <w:lang w:eastAsia="en-GB"/>
        </w:rPr>
      </w:pPr>
    </w:p>
    <w:p w:rsidR="00211E4F" w:rsidRPr="00211E4F" w:rsidRDefault="00211E4F" w:rsidP="00211E4F">
      <w:pPr>
        <w:pStyle w:val="Heading1"/>
        <w:numPr>
          <w:ilvl w:val="0"/>
          <w:numId w:val="2"/>
        </w:numPr>
      </w:pPr>
      <w:bookmarkStart w:id="6" w:name="_Toc507062050"/>
      <w:r>
        <w:rPr>
          <w:rFonts w:eastAsiaTheme="minorEastAsia"/>
          <w:lang w:eastAsia="en-GB"/>
        </w:rPr>
        <w:lastRenderedPageBreak/>
        <w:t>Estimated cost for the construction</w:t>
      </w:r>
      <w:bookmarkEnd w:id="6"/>
    </w:p>
    <w:p w:rsidR="00F70206" w:rsidRDefault="00A37B7F" w:rsidP="00941D81">
      <w:pPr>
        <w:spacing w:line="360" w:lineRule="auto"/>
        <w:jc w:val="both"/>
        <w:rPr>
          <w:rFonts w:eastAsiaTheme="minorEastAsia"/>
          <w:lang w:eastAsia="en-GB"/>
        </w:rPr>
      </w:pPr>
      <w:r>
        <w:rPr>
          <w:rFonts w:eastAsiaTheme="minorEastAsia"/>
          <w:lang w:eastAsia="en-GB"/>
        </w:rPr>
        <w:t>The estimated cost for the construction much like the amount of labourers required, will fluctuate depending on what activity is occurring that month (see Figure 4 and Table 3). The cost forecasted for this project is very dependent on the duration of the construction, because if</w:t>
      </w:r>
      <w:r w:rsidR="008D5E5A">
        <w:rPr>
          <w:rFonts w:eastAsiaTheme="minorEastAsia"/>
          <w:lang w:eastAsia="en-GB"/>
        </w:rPr>
        <w:t xml:space="preserve"> there is any delays with any aspect this will directly consequence the budget </w:t>
      </w:r>
      <w:sdt>
        <w:sdtPr>
          <w:rPr>
            <w:rFonts w:eastAsiaTheme="minorEastAsia"/>
            <w:lang w:eastAsia="en-GB"/>
          </w:rPr>
          <w:id w:val="-476993530"/>
          <w:citation/>
        </w:sdtPr>
        <w:sdtEndPr/>
        <w:sdtContent>
          <w:r w:rsidR="008D5E5A">
            <w:rPr>
              <w:rFonts w:eastAsiaTheme="minorEastAsia"/>
              <w:lang w:eastAsia="en-GB"/>
            </w:rPr>
            <w:fldChar w:fldCharType="begin"/>
          </w:r>
          <w:r w:rsidR="008D5E5A">
            <w:rPr>
              <w:rFonts w:eastAsiaTheme="minorEastAsia"/>
              <w:lang w:eastAsia="en-GB"/>
            </w:rPr>
            <w:instrText xml:space="preserve"> CITATION Cla02 \l 2057 </w:instrText>
          </w:r>
          <w:r w:rsidR="008D5E5A">
            <w:rPr>
              <w:rFonts w:eastAsiaTheme="minorEastAsia"/>
              <w:lang w:eastAsia="en-GB"/>
            </w:rPr>
            <w:fldChar w:fldCharType="separate"/>
          </w:r>
          <w:r w:rsidR="008D5E5A" w:rsidRPr="008D5E5A">
            <w:rPr>
              <w:rFonts w:eastAsiaTheme="minorEastAsia"/>
              <w:noProof/>
              <w:lang w:eastAsia="en-GB"/>
            </w:rPr>
            <w:t>(Clamp &amp; Cox, 2002)</w:t>
          </w:r>
          <w:r w:rsidR="008D5E5A">
            <w:rPr>
              <w:rFonts w:eastAsiaTheme="minorEastAsia"/>
              <w:lang w:eastAsia="en-GB"/>
            </w:rPr>
            <w:fldChar w:fldCharType="end"/>
          </w:r>
        </w:sdtContent>
      </w:sdt>
      <w:r w:rsidR="008D5E5A">
        <w:rPr>
          <w:rFonts w:eastAsiaTheme="minorEastAsia"/>
          <w:lang w:eastAsia="en-GB"/>
        </w:rPr>
        <w:t xml:space="preserve">. </w:t>
      </w:r>
    </w:p>
    <w:p w:rsidR="008D5E5A" w:rsidRDefault="008D5E5A" w:rsidP="00941D81">
      <w:pPr>
        <w:spacing w:line="360" w:lineRule="auto"/>
        <w:jc w:val="both"/>
        <w:rPr>
          <w:rFonts w:eastAsiaTheme="minorEastAsia"/>
          <w:lang w:eastAsia="en-GB"/>
        </w:rPr>
      </w:pPr>
      <w:r>
        <w:rPr>
          <w:rFonts w:eastAsiaTheme="minorEastAsia"/>
          <w:lang w:eastAsia="en-GB"/>
        </w:rPr>
        <w:t>The estimated cost for the entire project is £480,575.84. The forecasted cost for the project is that of the lowest cost is associated with month five, which is £4,060.00 (see Figure 4). This, is due to the final month having the least amount of work estimated to occur that month (see Figure 6). The most expensive month</w:t>
      </w:r>
      <w:r w:rsidR="00941D81">
        <w:rPr>
          <w:rFonts w:eastAsiaTheme="minorEastAsia"/>
          <w:lang w:eastAsia="en-GB"/>
        </w:rPr>
        <w:t xml:space="preserve"> during the construction is</w:t>
      </w:r>
      <w:r>
        <w:rPr>
          <w:rFonts w:eastAsiaTheme="minorEastAsia"/>
          <w:lang w:eastAsia="en-GB"/>
        </w:rPr>
        <w:t xml:space="preserve"> month </w:t>
      </w:r>
      <w:r w:rsidR="00941D81">
        <w:rPr>
          <w:rFonts w:eastAsiaTheme="minorEastAsia"/>
          <w:lang w:eastAsia="en-GB"/>
        </w:rPr>
        <w:t xml:space="preserve">two </w:t>
      </w:r>
      <w:r>
        <w:rPr>
          <w:rFonts w:eastAsiaTheme="minorEastAsia"/>
          <w:lang w:eastAsia="en-GB"/>
        </w:rPr>
        <w:t>where</w:t>
      </w:r>
      <w:r w:rsidR="00941D81">
        <w:rPr>
          <w:rFonts w:eastAsiaTheme="minorEastAsia"/>
          <w:lang w:eastAsia="en-GB"/>
        </w:rPr>
        <w:t xml:space="preserve">, </w:t>
      </w:r>
      <w:r>
        <w:rPr>
          <w:rFonts w:eastAsiaTheme="minorEastAsia"/>
          <w:lang w:eastAsia="en-GB"/>
        </w:rPr>
        <w:t>£209,897.55</w:t>
      </w:r>
      <w:r w:rsidR="00941D81">
        <w:rPr>
          <w:rFonts w:eastAsiaTheme="minorEastAsia"/>
          <w:lang w:eastAsia="en-GB"/>
        </w:rPr>
        <w:t xml:space="preserve"> is estimated</w:t>
      </w:r>
      <w:r>
        <w:rPr>
          <w:rFonts w:eastAsiaTheme="minorEastAsia"/>
          <w:lang w:eastAsia="en-GB"/>
        </w:rPr>
        <w:t xml:space="preserve">. As a result of the both ends of the bridge deck sections are being constructed, whilst simultaneously the piers are being constructed; causing the highest associated cost for the client. Therefore, the client must have an understanding on where the </w:t>
      </w:r>
      <w:r w:rsidR="00941D81">
        <w:rPr>
          <w:rFonts w:eastAsiaTheme="minorEastAsia"/>
          <w:lang w:eastAsia="en-GB"/>
        </w:rPr>
        <w:t>associated</w:t>
      </w:r>
      <w:r>
        <w:rPr>
          <w:rFonts w:eastAsiaTheme="minorEastAsia"/>
          <w:lang w:eastAsia="en-GB"/>
        </w:rPr>
        <w:t xml:space="preserve"> cost is resting with the construction.    </w:t>
      </w:r>
    </w:p>
    <w:p w:rsidR="000400C2" w:rsidRDefault="000400C2" w:rsidP="000400C2"/>
    <w:p w:rsidR="00AA428E" w:rsidRDefault="00AA428E" w:rsidP="00595084">
      <w:pPr>
        <w:pStyle w:val="Heading1"/>
        <w:numPr>
          <w:ilvl w:val="0"/>
          <w:numId w:val="2"/>
        </w:numPr>
      </w:pPr>
      <w:bookmarkStart w:id="7" w:name="_Toc507062051"/>
      <w:r>
        <w:t>Conclusion</w:t>
      </w:r>
      <w:bookmarkEnd w:id="7"/>
    </w:p>
    <w:p w:rsidR="00560472" w:rsidRPr="00560472" w:rsidRDefault="00560472" w:rsidP="00560472">
      <w:pPr>
        <w:spacing w:line="360" w:lineRule="auto"/>
        <w:jc w:val="both"/>
      </w:pPr>
      <w:r>
        <w:t xml:space="preserve">The client should understand that the below figures are an estimation and could fluctuate due to external contributing factors such as weather, cost, and if during the construction in the regional area there is a skills shortage; because this skills shortage would increase the cost of certain trades, changing the estimated cost </w:t>
      </w:r>
      <w:sdt>
        <w:sdtPr>
          <w:id w:val="-44751192"/>
          <w:citation/>
        </w:sdtPr>
        <w:sdtContent>
          <w:r>
            <w:fldChar w:fldCharType="begin"/>
          </w:r>
          <w:r>
            <w:instrText xml:space="preserve"> CITATION Aec17 \l 2057 </w:instrText>
          </w:r>
          <w:r>
            <w:fldChar w:fldCharType="separate"/>
          </w:r>
          <w:r w:rsidRPr="00560472">
            <w:rPr>
              <w:noProof/>
            </w:rPr>
            <w:t>(Aecom, 2017)</w:t>
          </w:r>
          <w:r>
            <w:fldChar w:fldCharType="end"/>
          </w:r>
        </w:sdtContent>
      </w:sdt>
      <w:r>
        <w:t xml:space="preserve">. </w:t>
      </w:r>
    </w:p>
    <w:p w:rsidR="00AA428E" w:rsidRDefault="00512455" w:rsidP="00560472">
      <w:pPr>
        <w:pStyle w:val="ListParagraph"/>
        <w:numPr>
          <w:ilvl w:val="0"/>
          <w:numId w:val="3"/>
        </w:numPr>
        <w:spacing w:line="360" w:lineRule="auto"/>
        <w:jc w:val="both"/>
      </w:pPr>
      <w:r w:rsidRPr="00512455">
        <w:t>The estimated cost for the entire project is £480,575.84</w:t>
      </w:r>
      <w:r w:rsidR="00560472">
        <w:t xml:space="preserve"> (see Table 3)</w:t>
      </w:r>
      <w:r w:rsidRPr="00512455">
        <w:t>.</w:t>
      </w:r>
    </w:p>
    <w:p w:rsidR="00512455" w:rsidRDefault="00560472" w:rsidP="00560472">
      <w:pPr>
        <w:pStyle w:val="ListParagraph"/>
        <w:numPr>
          <w:ilvl w:val="0"/>
          <w:numId w:val="3"/>
        </w:numPr>
        <w:spacing w:line="360" w:lineRule="auto"/>
        <w:jc w:val="both"/>
      </w:pPr>
      <w:r>
        <w:t>The estimated amount of labour required for this project is 405 see Table 2).</w:t>
      </w:r>
    </w:p>
    <w:p w:rsidR="009645A0" w:rsidRDefault="00512455" w:rsidP="00560472">
      <w:pPr>
        <w:pStyle w:val="ListParagraph"/>
        <w:numPr>
          <w:ilvl w:val="0"/>
          <w:numId w:val="3"/>
        </w:numPr>
        <w:spacing w:line="360" w:lineRule="auto"/>
        <w:jc w:val="both"/>
      </w:pPr>
      <w:r w:rsidRPr="00512455">
        <w:t>The expected duration fo</w:t>
      </w:r>
      <w:r w:rsidR="00560472">
        <w:t>r this project is 18 weeks (see Table 1).</w:t>
      </w:r>
    </w:p>
    <w:p w:rsidR="009645A0" w:rsidRDefault="009645A0" w:rsidP="00AA428E"/>
    <w:p w:rsidR="009645A0" w:rsidRDefault="009645A0" w:rsidP="00AA428E"/>
    <w:p w:rsidR="00AC02D5" w:rsidRDefault="00AC02D5" w:rsidP="00AA428E"/>
    <w:p w:rsidR="00AC02D5" w:rsidRDefault="00AC02D5" w:rsidP="00AA428E"/>
    <w:p w:rsidR="00AC02D5" w:rsidRDefault="00AC02D5" w:rsidP="00AA428E"/>
    <w:p w:rsidR="009645A0" w:rsidRDefault="009645A0" w:rsidP="00AA428E"/>
    <w:p w:rsidR="009645A0" w:rsidRDefault="009645A0" w:rsidP="00AA428E"/>
    <w:p w:rsidR="009645A0" w:rsidRDefault="009645A0" w:rsidP="00AA428E"/>
    <w:p w:rsidR="00CB7697" w:rsidRDefault="00CB7697" w:rsidP="00AA428E"/>
    <w:bookmarkStart w:id="8" w:name="_Toc507062052" w:displacedByCustomXml="next"/>
    <w:sdt>
      <w:sdtPr>
        <w:rPr>
          <w:rFonts w:asciiTheme="minorHAnsi" w:eastAsiaTheme="minorHAnsi" w:hAnsiTheme="minorHAnsi" w:cstheme="minorBidi"/>
          <w:color w:val="auto"/>
          <w:sz w:val="22"/>
          <w:szCs w:val="22"/>
        </w:rPr>
        <w:id w:val="289028224"/>
        <w:docPartObj>
          <w:docPartGallery w:val="Bibliographies"/>
          <w:docPartUnique/>
        </w:docPartObj>
      </w:sdtPr>
      <w:sdtEndPr/>
      <w:sdtContent>
        <w:p w:rsidR="004E7A31" w:rsidRDefault="004E7A31" w:rsidP="00595084">
          <w:pPr>
            <w:pStyle w:val="Heading1"/>
            <w:numPr>
              <w:ilvl w:val="0"/>
              <w:numId w:val="2"/>
            </w:numPr>
          </w:pPr>
          <w:r>
            <w:t>References</w:t>
          </w:r>
          <w:bookmarkEnd w:id="8"/>
        </w:p>
        <w:sdt>
          <w:sdtPr>
            <w:id w:val="-573587230"/>
            <w:bibliography/>
          </w:sdtPr>
          <w:sdtEndPr/>
          <w:sdtContent>
            <w:p w:rsidR="00DF56A3" w:rsidRDefault="004E7A31" w:rsidP="00DF56A3">
              <w:pPr>
                <w:pStyle w:val="Bibliography"/>
                <w:rPr>
                  <w:noProof/>
                  <w:sz w:val="24"/>
                  <w:szCs w:val="24"/>
                </w:rPr>
              </w:pPr>
              <w:r>
                <w:fldChar w:fldCharType="begin"/>
              </w:r>
              <w:r>
                <w:instrText xml:space="preserve"> BIBLIOGRAPHY </w:instrText>
              </w:r>
              <w:r>
                <w:fldChar w:fldCharType="separate"/>
              </w:r>
              <w:r w:rsidR="00DF56A3">
                <w:rPr>
                  <w:noProof/>
                </w:rPr>
                <w:t xml:space="preserve">Aecom, 2017. </w:t>
              </w:r>
              <w:r w:rsidR="00DF56A3">
                <w:rPr>
                  <w:i/>
                  <w:iCs/>
                  <w:noProof/>
                </w:rPr>
                <w:t xml:space="preserve">Spon's Civil Engineering and Highway Works Price Book 2018, </w:t>
              </w:r>
              <w:r w:rsidR="00DF56A3">
                <w:rPr>
                  <w:noProof/>
                </w:rPr>
                <w:t>London : Taylor and Francis .</w:t>
              </w:r>
            </w:p>
            <w:p w:rsidR="00DF56A3" w:rsidRDefault="00DF56A3" w:rsidP="00DF56A3">
              <w:pPr>
                <w:pStyle w:val="Bibliography"/>
                <w:rPr>
                  <w:noProof/>
                </w:rPr>
              </w:pPr>
              <w:r>
                <w:rPr>
                  <w:noProof/>
                </w:rPr>
                <w:t xml:space="preserve">Bernstein, H. M., Gudgel , J. E. &amp; Laquidara-Carr, , D., 2011. </w:t>
              </w:r>
              <w:r>
                <w:rPr>
                  <w:i/>
                  <w:iCs/>
                  <w:noProof/>
                </w:rPr>
                <w:t xml:space="preserve">Prefabrication and Modularization: Increasing Productivity in the Construction Industry, </w:t>
              </w:r>
              <w:r>
                <w:rPr>
                  <w:noProof/>
                </w:rPr>
                <w:t>s.l.: McGraw-Hill Construction.</w:t>
              </w:r>
            </w:p>
            <w:p w:rsidR="00DF56A3" w:rsidRDefault="00DF56A3" w:rsidP="00DF56A3">
              <w:pPr>
                <w:pStyle w:val="Bibliography"/>
                <w:rPr>
                  <w:noProof/>
                </w:rPr>
              </w:pPr>
              <w:r>
                <w:rPr>
                  <w:noProof/>
                </w:rPr>
                <w:t xml:space="preserve">Clamp, H. &amp; Cox, S., 2002. </w:t>
              </w:r>
              <w:r>
                <w:rPr>
                  <w:i/>
                  <w:iCs/>
                  <w:noProof/>
                </w:rPr>
                <w:t xml:space="preserve">Which contract? Choosing the appreopriate building contract. </w:t>
              </w:r>
              <w:r>
                <w:rPr>
                  <w:noProof/>
                </w:rPr>
                <w:t>s.l.:RIBA.</w:t>
              </w:r>
            </w:p>
            <w:p w:rsidR="00DF56A3" w:rsidRDefault="00DF56A3" w:rsidP="00DF56A3">
              <w:pPr>
                <w:pStyle w:val="Bibliography"/>
                <w:rPr>
                  <w:noProof/>
                </w:rPr>
              </w:pPr>
              <w:r>
                <w:rPr>
                  <w:noProof/>
                </w:rPr>
                <w:t xml:space="preserve">Enteasar, A. S. &amp; Ghorab , E., 2016. Reduction of scour around bridge piers using a modified method for vortex reduction. </w:t>
              </w:r>
              <w:r>
                <w:rPr>
                  <w:i/>
                  <w:iCs/>
                  <w:noProof/>
                </w:rPr>
                <w:t xml:space="preserve">Alexandria Engineering Journal, </w:t>
              </w:r>
              <w:r>
                <w:rPr>
                  <w:noProof/>
                </w:rPr>
                <w:t>52(3), pp. 467-478.</w:t>
              </w:r>
            </w:p>
            <w:p w:rsidR="00DF56A3" w:rsidRDefault="00DF56A3" w:rsidP="00DF56A3">
              <w:pPr>
                <w:pStyle w:val="Bibliography"/>
                <w:rPr>
                  <w:noProof/>
                </w:rPr>
              </w:pPr>
              <w:r>
                <w:rPr>
                  <w:noProof/>
                </w:rPr>
                <w:t xml:space="preserve">Jamal, H., 2017. </w:t>
              </w:r>
              <w:r>
                <w:rPr>
                  <w:i/>
                  <w:iCs/>
                  <w:noProof/>
                </w:rPr>
                <w:t xml:space="preserve">Types of supports for loads. </w:t>
              </w:r>
              <w:r>
                <w:rPr>
                  <w:noProof/>
                </w:rPr>
                <w:t xml:space="preserve">[Online] </w:t>
              </w:r>
              <w:r>
                <w:rPr>
                  <w:noProof/>
                </w:rPr>
                <w:br/>
                <w:t xml:space="preserve">Available at: </w:t>
              </w:r>
              <w:r>
                <w:rPr>
                  <w:noProof/>
                  <w:u w:val="single"/>
                </w:rPr>
                <w:t>https://www.aboutcivil.org/types-of-supports.html</w:t>
              </w:r>
              <w:r>
                <w:rPr>
                  <w:noProof/>
                </w:rPr>
                <w:br/>
                <w:t>[Accessed 25 1 2018].</w:t>
              </w:r>
            </w:p>
            <w:p w:rsidR="00DF56A3" w:rsidRDefault="00DF56A3" w:rsidP="00DF56A3">
              <w:pPr>
                <w:pStyle w:val="Bibliography"/>
                <w:rPr>
                  <w:noProof/>
                </w:rPr>
              </w:pPr>
              <w:r>
                <w:rPr>
                  <w:noProof/>
                </w:rPr>
                <w:t xml:space="preserve">Khan, M. A., 2014. </w:t>
              </w:r>
              <w:r>
                <w:rPr>
                  <w:i/>
                  <w:iCs/>
                  <w:noProof/>
                </w:rPr>
                <w:t xml:space="preserve">Accelerated Bridge Construction: Best Practices and Techniques. </w:t>
              </w:r>
              <w:r>
                <w:rPr>
                  <w:noProof/>
                </w:rPr>
                <w:t>1st ed. s.l.:Elsevier.</w:t>
              </w:r>
            </w:p>
            <w:p w:rsidR="00DF56A3" w:rsidRDefault="00DF56A3" w:rsidP="00DF56A3">
              <w:pPr>
                <w:pStyle w:val="Bibliography"/>
                <w:rPr>
                  <w:noProof/>
                </w:rPr>
              </w:pPr>
              <w:r>
                <w:rPr>
                  <w:noProof/>
                </w:rPr>
                <w:t xml:space="preserve">TheConstructor.org, 2017. </w:t>
              </w:r>
              <w:r>
                <w:rPr>
                  <w:i/>
                  <w:iCs/>
                  <w:noProof/>
                </w:rPr>
                <w:t xml:space="preserve">Incremental Launching Method of Bridge Construction. </w:t>
              </w:r>
              <w:r>
                <w:rPr>
                  <w:noProof/>
                </w:rPr>
                <w:t xml:space="preserve">[Online] </w:t>
              </w:r>
              <w:r>
                <w:rPr>
                  <w:noProof/>
                </w:rPr>
                <w:br/>
                <w:t xml:space="preserve">Available at: </w:t>
              </w:r>
              <w:r>
                <w:rPr>
                  <w:noProof/>
                  <w:u w:val="single"/>
                </w:rPr>
                <w:t>https://theconstructor.org/structures/incremental-launching-method-of-bridge-construction/6126/</w:t>
              </w:r>
              <w:r>
                <w:rPr>
                  <w:noProof/>
                </w:rPr>
                <w:br/>
                <w:t>[Accessed 15 2 2018].</w:t>
              </w:r>
            </w:p>
            <w:p w:rsidR="00DF56A3" w:rsidRDefault="00DF56A3" w:rsidP="00DF56A3">
              <w:pPr>
                <w:pStyle w:val="Bibliography"/>
                <w:rPr>
                  <w:noProof/>
                </w:rPr>
              </w:pPr>
              <w:r>
                <w:rPr>
                  <w:noProof/>
                </w:rPr>
                <w:t xml:space="preserve">Wang, Y.-h., Zou, Y.-s., Xu, L.-q. &amp; Luo, Z., 2015. Analysis of Water Flow Pressure on Bridge Piers considering the Impact Effect. </w:t>
              </w:r>
              <w:r>
                <w:rPr>
                  <w:i/>
                  <w:iCs/>
                  <w:noProof/>
                </w:rPr>
                <w:t xml:space="preserve">Mathematical Problems in Engineering, </w:t>
              </w:r>
              <w:r>
                <w:rPr>
                  <w:noProof/>
                </w:rPr>
                <w:t>Volume 2015, pp. 1-9.</w:t>
              </w:r>
            </w:p>
            <w:p w:rsidR="00CB7697" w:rsidRDefault="004E7A31" w:rsidP="00DF56A3">
              <w:r>
                <w:rPr>
                  <w:b/>
                  <w:bCs/>
                  <w:noProof/>
                </w:rPr>
                <w:fldChar w:fldCharType="end"/>
              </w:r>
            </w:p>
          </w:sdtContent>
        </w:sdt>
      </w:sdtContent>
    </w:sdt>
    <w:p w:rsidR="00CB7697" w:rsidRDefault="00CB7697" w:rsidP="00CB7697"/>
    <w:p w:rsidR="00B52B08" w:rsidRDefault="00B52B08" w:rsidP="00CB7697"/>
    <w:p w:rsidR="00B52B08" w:rsidRDefault="00B52B08" w:rsidP="00CB7697"/>
    <w:p w:rsidR="00B52B08" w:rsidRDefault="00B52B08" w:rsidP="00CB7697"/>
    <w:p w:rsidR="00B52B08" w:rsidRDefault="00B52B08" w:rsidP="00CB7697"/>
    <w:p w:rsidR="00B52B08" w:rsidRDefault="00B52B08" w:rsidP="00CB7697"/>
    <w:p w:rsidR="00B52B08" w:rsidRDefault="00B52B08" w:rsidP="00CB7697"/>
    <w:p w:rsidR="00B52B08" w:rsidRDefault="00B52B08" w:rsidP="00CB7697"/>
    <w:p w:rsidR="00B52B08" w:rsidRDefault="00B52B08" w:rsidP="00CB7697"/>
    <w:p w:rsidR="00B52B08" w:rsidRDefault="00B52B08" w:rsidP="00CB7697"/>
    <w:p w:rsidR="00CB7697" w:rsidRPr="00CB7697" w:rsidRDefault="00CB7697" w:rsidP="00CB7697">
      <w:pPr>
        <w:rPr>
          <w:b/>
          <w:bCs/>
          <w:noProof/>
        </w:rPr>
      </w:pPr>
    </w:p>
    <w:p w:rsidR="00AA428E" w:rsidRDefault="00622375" w:rsidP="00F40B6C">
      <w:pPr>
        <w:pStyle w:val="Heading1"/>
        <w:ind w:left="1080"/>
      </w:pPr>
      <w:bookmarkStart w:id="9" w:name="_Toc507062053"/>
      <w:r>
        <w:lastRenderedPageBreak/>
        <w:t>Appendix</w:t>
      </w:r>
      <w:bookmarkEnd w:id="9"/>
      <w:r>
        <w:t xml:space="preserve"> </w:t>
      </w:r>
    </w:p>
    <w:p w:rsidR="00E44DC9" w:rsidRDefault="001E2ADA" w:rsidP="00622375">
      <w:r w:rsidRPr="00622375">
        <w:rPr>
          <w:noProof/>
          <w:lang w:eastAsia="en-GB"/>
        </w:rPr>
        <w:drawing>
          <wp:anchor distT="0" distB="0" distL="114300" distR="114300" simplePos="0" relativeHeight="251663360" behindDoc="0" locked="0" layoutInCell="1" allowOverlap="1" wp14:anchorId="132FE0AF" wp14:editId="2ECB4F39">
            <wp:simplePos x="0" y="0"/>
            <wp:positionH relativeFrom="margin">
              <wp:align>right</wp:align>
            </wp:positionH>
            <wp:positionV relativeFrom="paragraph">
              <wp:posOffset>182245</wp:posOffset>
            </wp:positionV>
            <wp:extent cx="5731510" cy="1762760"/>
            <wp:effectExtent l="0" t="0" r="2540" b="889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7976" t="39015" r="27210" b="25517"/>
                    <a:stretch/>
                  </pic:blipFill>
                  <pic:spPr bwMode="auto">
                    <a:xfrm>
                      <a:off x="0" y="0"/>
                      <a:ext cx="5731510" cy="1762760"/>
                    </a:xfrm>
                    <a:prstGeom prst="rect">
                      <a:avLst/>
                    </a:prstGeom>
                    <a:ln>
                      <a:noFill/>
                    </a:ln>
                    <a:extLst>
                      <a:ext uri="{53640926-AAD7-44D8-BBD7-CCE9431645EC}">
                        <a14:shadowObscured xmlns:a14="http://schemas.microsoft.com/office/drawing/2010/main"/>
                      </a:ext>
                    </a:extLst>
                  </pic:spPr>
                </pic:pic>
              </a:graphicData>
            </a:graphic>
          </wp:anchor>
        </w:drawing>
      </w:r>
      <w:r w:rsidR="00B52B08" w:rsidRPr="00622375">
        <w:rPr>
          <w:noProof/>
          <w:lang w:eastAsia="en-GB"/>
        </w:rPr>
        <mc:AlternateContent>
          <mc:Choice Requires="wps">
            <w:drawing>
              <wp:anchor distT="0" distB="0" distL="114300" distR="114300" simplePos="0" relativeHeight="251662336" behindDoc="0" locked="0" layoutInCell="1" allowOverlap="1" wp14:anchorId="5DE63159" wp14:editId="63000796">
                <wp:simplePos x="0" y="0"/>
                <wp:positionH relativeFrom="margin">
                  <wp:align>right</wp:align>
                </wp:positionH>
                <wp:positionV relativeFrom="paragraph">
                  <wp:posOffset>2115185</wp:posOffset>
                </wp:positionV>
                <wp:extent cx="5731510" cy="427355"/>
                <wp:effectExtent l="0" t="0" r="2540" b="0"/>
                <wp:wrapTopAndBottom/>
                <wp:docPr id="5" name="Text Box 5"/>
                <wp:cNvGraphicFramePr/>
                <a:graphic xmlns:a="http://schemas.openxmlformats.org/drawingml/2006/main">
                  <a:graphicData uri="http://schemas.microsoft.com/office/word/2010/wordprocessingShape">
                    <wps:wsp>
                      <wps:cNvSpPr txBox="1"/>
                      <wps:spPr>
                        <a:xfrm>
                          <a:off x="0" y="0"/>
                          <a:ext cx="5731510" cy="427355"/>
                        </a:xfrm>
                        <a:prstGeom prst="rect">
                          <a:avLst/>
                        </a:prstGeom>
                        <a:solidFill>
                          <a:prstClr val="white"/>
                        </a:solidFill>
                        <a:ln>
                          <a:noFill/>
                        </a:ln>
                        <a:effectLst/>
                      </wps:spPr>
                      <wps:txbx>
                        <w:txbxContent>
                          <w:p w:rsidR="00D150BC" w:rsidRDefault="00D150BC" w:rsidP="00CB7697">
                            <w:pPr>
                              <w:pStyle w:val="Caption"/>
                              <w:rPr>
                                <w:noProof/>
                              </w:rPr>
                            </w:pPr>
                            <w:bookmarkStart w:id="10" w:name="_Toc506990457"/>
                            <w:r>
                              <w:t xml:space="preserve">Figure </w:t>
                            </w:r>
                            <w:fldSimple w:instr=" SEQ Figure \* ARABIC ">
                              <w:r>
                                <w:rPr>
                                  <w:noProof/>
                                </w:rPr>
                                <w:t>1</w:t>
                              </w:r>
                            </w:fldSimple>
                            <w:r>
                              <w:t>. Showing the drawing provided by the client. The engineer has labelled the sections with numbers, 1 and 6 are the abutments and 2 and 5 are the remaining piers. With 3 and 4 being the piers which are located in the water</w:t>
                            </w:r>
                            <w:bookmarkEnd w:id="10"/>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E63159" id="Text Box 5" o:spid="_x0000_s1028" type="#_x0000_t202" style="position:absolute;margin-left:400.1pt;margin-top:166.55pt;width:451.3pt;height:33.6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" stroked="f">
                <v:textbox inset="0,0,0,0">
                  <w:txbxContent>
                    <w:p w:rsidR="00D150BC" w:rsidRDefault="00D150BC" w:rsidP="00CB7697">
                      <w:pPr>
                        <w:pStyle w:val="Caption"/>
                        <w:rPr>
                          <w:noProof/>
                        </w:rPr>
                      </w:pPr>
                      <w:bookmarkStart w:id="11" w:name="_Toc506990457"/>
                      <w:r>
                        <w:t xml:space="preserve">Figure </w:t>
                      </w:r>
                      <w:r w:rsidR="00A253C2">
                        <w:fldChar w:fldCharType="begin"/>
                      </w:r>
                      <w:r w:rsidR="00A253C2">
                        <w:instrText xml:space="preserve"> SEQ Figure \* ARABIC </w:instrText>
                      </w:r>
                      <w:r w:rsidR="00A253C2">
                        <w:fldChar w:fldCharType="separate"/>
                      </w:r>
                      <w:r>
                        <w:rPr>
                          <w:noProof/>
                        </w:rPr>
                        <w:t>1</w:t>
                      </w:r>
                      <w:r w:rsidR="00A253C2">
                        <w:rPr>
                          <w:noProof/>
                        </w:rPr>
                        <w:fldChar w:fldCharType="end"/>
                      </w:r>
                      <w:r>
                        <w:t>. Showing the drawing provided by the client. The engineer has labelled the sections with numbers, 1 and 6 are the abutments and 2 and 5 are the remaining piers. With 3 and 4 being the piers which are located in the water</w:t>
                      </w:r>
                      <w:bookmarkEnd w:id="11"/>
                      <w:r>
                        <w:t xml:space="preserve"> </w:t>
                      </w:r>
                    </w:p>
                  </w:txbxContent>
                </v:textbox>
                <w10:wrap type="topAndBottom" anchorx="margin"/>
              </v:shape>
            </w:pict>
          </mc:Fallback>
        </mc:AlternateContent>
      </w:r>
    </w:p>
    <w:p w:rsidR="00CB7697" w:rsidRDefault="00CB7697" w:rsidP="00CB7697"/>
    <w:p w:rsidR="00E44DC9" w:rsidRPr="00E44DC9" w:rsidRDefault="00E44DC9" w:rsidP="00E44DC9"/>
    <w:p w:rsidR="00B52B08" w:rsidRDefault="00B52B08" w:rsidP="00B52B08">
      <w:pPr>
        <w:keepNext/>
      </w:pPr>
      <w:r>
        <w:rPr>
          <w:noProof/>
          <w:lang w:eastAsia="en-GB"/>
        </w:rPr>
        <w:drawing>
          <wp:inline distT="0" distB="0" distL="0" distR="0" wp14:anchorId="0843DE6A" wp14:editId="2EB84520">
            <wp:extent cx="5667233" cy="37719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4429" t="23349" r="25382" b="17242"/>
                    <a:stretch/>
                  </pic:blipFill>
                  <pic:spPr bwMode="auto">
                    <a:xfrm>
                      <a:off x="0" y="0"/>
                      <a:ext cx="5677260" cy="3778574"/>
                    </a:xfrm>
                    <a:prstGeom prst="rect">
                      <a:avLst/>
                    </a:prstGeom>
                    <a:ln>
                      <a:noFill/>
                    </a:ln>
                    <a:extLst>
                      <a:ext uri="{53640926-AAD7-44D8-BBD7-CCE9431645EC}">
                        <a14:shadowObscured xmlns:a14="http://schemas.microsoft.com/office/drawing/2010/main"/>
                      </a:ext>
                    </a:extLst>
                  </pic:spPr>
                </pic:pic>
              </a:graphicData>
            </a:graphic>
          </wp:inline>
        </w:drawing>
      </w:r>
    </w:p>
    <w:p w:rsidR="00B52B08" w:rsidRDefault="00B52B08" w:rsidP="00B52B08">
      <w:pPr>
        <w:pStyle w:val="Caption"/>
      </w:pPr>
      <w:bookmarkStart w:id="11" w:name="_Toc506990458"/>
      <w:r>
        <w:t xml:space="preserve">Figure </w:t>
      </w:r>
      <w:fldSimple w:instr=" SEQ Figure \* ARABIC ">
        <w:r w:rsidR="00F61045">
          <w:rPr>
            <w:noProof/>
          </w:rPr>
          <w:t>2</w:t>
        </w:r>
      </w:fldSimple>
      <w:r>
        <w:t xml:space="preserve">. The produced Gantt chart using </w:t>
      </w:r>
      <w:proofErr w:type="spellStart"/>
      <w:r>
        <w:t>Asta</w:t>
      </w:r>
      <w:proofErr w:type="spellEnd"/>
      <w:r>
        <w:t xml:space="preserve"> </w:t>
      </w:r>
      <w:proofErr w:type="spellStart"/>
      <w:r>
        <w:t>PowerProject</w:t>
      </w:r>
      <w:proofErr w:type="spellEnd"/>
      <w:r>
        <w:t>. The red line showing the critical path of the construction. Each activity number correlates to table 1.</w:t>
      </w:r>
      <w:bookmarkEnd w:id="11"/>
    </w:p>
    <w:p w:rsidR="00B52B08" w:rsidRDefault="00B52B08" w:rsidP="00B52B08">
      <w:pPr>
        <w:keepNext/>
      </w:pPr>
      <w:r>
        <w:rPr>
          <w:noProof/>
          <w:lang w:eastAsia="en-GB"/>
        </w:rPr>
        <w:lastRenderedPageBreak/>
        <w:drawing>
          <wp:inline distT="0" distB="0" distL="0" distR="0" wp14:anchorId="1B1F908B" wp14:editId="24F8EEC1">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B52B08" w:rsidRDefault="00B52B08" w:rsidP="00B52B08">
      <w:pPr>
        <w:pStyle w:val="Caption"/>
      </w:pPr>
      <w:bookmarkStart w:id="12" w:name="_Toc506990459"/>
      <w:r>
        <w:t xml:space="preserve">Figure </w:t>
      </w:r>
      <w:fldSimple w:instr=" SEQ Figure \* ARABIC ">
        <w:r w:rsidR="00F61045">
          <w:rPr>
            <w:noProof/>
          </w:rPr>
          <w:t>3</w:t>
        </w:r>
      </w:fldSimple>
      <w:r>
        <w:t xml:space="preserve">. This graph is showing the amount of labourers per month, this has been produced using the information provided by the </w:t>
      </w:r>
      <w:proofErr w:type="spellStart"/>
      <w:r>
        <w:t>Spons</w:t>
      </w:r>
      <w:proofErr w:type="spellEnd"/>
      <w:r>
        <w:t xml:space="preserve"> 2018 price book </w:t>
      </w:r>
      <w:sdt>
        <w:sdtPr>
          <w:id w:val="993997359"/>
          <w:citation/>
        </w:sdtPr>
        <w:sdtEndPr/>
        <w:sdtContent>
          <w:r>
            <w:fldChar w:fldCharType="begin"/>
          </w:r>
          <w:r>
            <w:instrText xml:space="preserve"> CITATION Aec17 \l 2057 </w:instrText>
          </w:r>
          <w:r>
            <w:fldChar w:fldCharType="separate"/>
          </w:r>
          <w:r w:rsidR="00DF56A3" w:rsidRPr="00DF56A3">
            <w:rPr>
              <w:noProof/>
            </w:rPr>
            <w:t>(Aecom, 2017)</w:t>
          </w:r>
          <w:r>
            <w:fldChar w:fldCharType="end"/>
          </w:r>
        </w:sdtContent>
      </w:sdt>
      <w:r>
        <w:t>.</w:t>
      </w:r>
      <w:bookmarkEnd w:id="12"/>
    </w:p>
    <w:p w:rsidR="00B52B08" w:rsidRDefault="00B52B08" w:rsidP="00B52B08"/>
    <w:p w:rsidR="00B52B08" w:rsidRDefault="00B52B08" w:rsidP="00B52B08"/>
    <w:p w:rsidR="00B52B08" w:rsidRDefault="00B52B08" w:rsidP="00B52B08"/>
    <w:p w:rsidR="00B52B08" w:rsidRDefault="008D5E5A" w:rsidP="00B52B08">
      <w:pPr>
        <w:keepNext/>
      </w:pPr>
      <w:r>
        <w:rPr>
          <w:noProof/>
          <w:lang w:eastAsia="en-GB"/>
        </w:rPr>
        <w:drawing>
          <wp:inline distT="0" distB="0" distL="0" distR="0" wp14:anchorId="5DA325A3" wp14:editId="4E366A71">
            <wp:extent cx="4783931" cy="2743200"/>
            <wp:effectExtent l="0" t="0" r="17145"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B52B08" w:rsidRDefault="00B52B08" w:rsidP="00B52B08">
      <w:pPr>
        <w:pStyle w:val="Caption"/>
      </w:pPr>
      <w:bookmarkStart w:id="13" w:name="_Toc506990460"/>
      <w:r>
        <w:t xml:space="preserve">Figure </w:t>
      </w:r>
      <w:fldSimple w:instr=" SEQ Figure \* ARABIC ">
        <w:r w:rsidR="00F61045">
          <w:rPr>
            <w:noProof/>
          </w:rPr>
          <w:t>4</w:t>
        </w:r>
      </w:fldSimple>
      <w:r>
        <w:t xml:space="preserve">. This graph is showing the estimated cost for the construction in each month, produced using the information within the </w:t>
      </w:r>
      <w:proofErr w:type="spellStart"/>
      <w:r>
        <w:t>Spons</w:t>
      </w:r>
      <w:proofErr w:type="spellEnd"/>
      <w:r>
        <w:t xml:space="preserve"> 2018 price book </w:t>
      </w:r>
      <w:sdt>
        <w:sdtPr>
          <w:id w:val="1103534542"/>
          <w:citation/>
        </w:sdtPr>
        <w:sdtEndPr/>
        <w:sdtContent>
          <w:r>
            <w:fldChar w:fldCharType="begin"/>
          </w:r>
          <w:r>
            <w:instrText xml:space="preserve"> CITATION Aec17 \l 2057 </w:instrText>
          </w:r>
          <w:r>
            <w:fldChar w:fldCharType="separate"/>
          </w:r>
          <w:r w:rsidR="00DF56A3" w:rsidRPr="00DF56A3">
            <w:rPr>
              <w:noProof/>
            </w:rPr>
            <w:t>(Aecom, 2017)</w:t>
          </w:r>
          <w:r>
            <w:fldChar w:fldCharType="end"/>
          </w:r>
        </w:sdtContent>
      </w:sdt>
      <w:r>
        <w:t>.</w:t>
      </w:r>
      <w:bookmarkEnd w:id="13"/>
    </w:p>
    <w:p w:rsidR="00B52B08" w:rsidRDefault="00B52B08" w:rsidP="00B52B08"/>
    <w:p w:rsidR="00B52B08" w:rsidRDefault="00B52B08" w:rsidP="00B52B08"/>
    <w:p w:rsidR="00F61045" w:rsidRDefault="00F61045" w:rsidP="00B52B08"/>
    <w:p w:rsidR="00F61045" w:rsidRDefault="00F61045" w:rsidP="00B52B08"/>
    <w:p w:rsidR="00F61045" w:rsidRDefault="00F61045" w:rsidP="00B52B08"/>
    <w:p w:rsidR="00F61045" w:rsidRDefault="00F61045" w:rsidP="00B52B08">
      <w:r>
        <w:rPr>
          <w:noProof/>
          <w:lang w:eastAsia="en-GB"/>
        </w:rPr>
        <w:lastRenderedPageBreak/>
        <mc:AlternateContent>
          <mc:Choice Requires="wps">
            <w:drawing>
              <wp:anchor distT="0" distB="0" distL="114300" distR="114300" simplePos="0" relativeHeight="251666432" behindDoc="0" locked="0" layoutInCell="1" allowOverlap="1" wp14:anchorId="6A65DE1A" wp14:editId="61067BC3">
                <wp:simplePos x="0" y="0"/>
                <wp:positionH relativeFrom="column">
                  <wp:posOffset>-623570</wp:posOffset>
                </wp:positionH>
                <wp:positionV relativeFrom="paragraph">
                  <wp:posOffset>3068320</wp:posOffset>
                </wp:positionV>
                <wp:extent cx="7003415" cy="635"/>
                <wp:effectExtent l="0" t="0" r="0" b="0"/>
                <wp:wrapTopAndBottom/>
                <wp:docPr id="11" name="Text Box 11"/>
                <wp:cNvGraphicFramePr/>
                <a:graphic xmlns:a="http://schemas.openxmlformats.org/drawingml/2006/main">
                  <a:graphicData uri="http://schemas.microsoft.com/office/word/2010/wordprocessingShape">
                    <wps:wsp>
                      <wps:cNvSpPr txBox="1"/>
                      <wps:spPr>
                        <a:xfrm>
                          <a:off x="0" y="0"/>
                          <a:ext cx="7003415" cy="635"/>
                        </a:xfrm>
                        <a:prstGeom prst="rect">
                          <a:avLst/>
                        </a:prstGeom>
                        <a:solidFill>
                          <a:prstClr val="white"/>
                        </a:solidFill>
                        <a:ln>
                          <a:noFill/>
                        </a:ln>
                        <a:effectLst/>
                      </wps:spPr>
                      <wps:txbx>
                        <w:txbxContent>
                          <w:p w:rsidR="00D150BC" w:rsidRPr="00325E64" w:rsidRDefault="00D150BC" w:rsidP="00F61045">
                            <w:pPr>
                              <w:pStyle w:val="Caption"/>
                            </w:pPr>
                            <w:bookmarkStart w:id="14" w:name="_Toc506990461"/>
                            <w:r>
                              <w:t xml:space="preserve">Figure </w:t>
                            </w:r>
                            <w:fldSimple w:instr=" SEQ Figure \* ARABIC ">
                              <w:r>
                                <w:rPr>
                                  <w:noProof/>
                                </w:rPr>
                                <w:t>5</w:t>
                              </w:r>
                            </w:fldSimple>
                            <w:r>
                              <w:t xml:space="preserve">. Showing a </w:t>
                            </w:r>
                            <w:r w:rsidR="0073012D">
                              <w:t>pictorial</w:t>
                            </w:r>
                            <w:r>
                              <w:t xml:space="preserve"> representation of each activity and an estimation of how many labours will be required each month (see table 2 and Figure 3), produced alongside the </w:t>
                            </w:r>
                            <w:proofErr w:type="spellStart"/>
                            <w:r>
                              <w:t>Spons</w:t>
                            </w:r>
                            <w:proofErr w:type="spellEnd"/>
                            <w:r>
                              <w:t xml:space="preserve"> 2018 price book </w:t>
                            </w:r>
                            <w:sdt>
                              <w:sdtPr>
                                <w:id w:val="909884925"/>
                                <w:citation/>
                              </w:sdtPr>
                              <w:sdtEndPr/>
                              <w:sdtContent>
                                <w:r>
                                  <w:fldChar w:fldCharType="begin"/>
                                </w:r>
                                <w:r>
                                  <w:instrText xml:space="preserve"> CITATION Aec17 \l 2057 </w:instrText>
                                </w:r>
                                <w:r>
                                  <w:fldChar w:fldCharType="separate"/>
                                </w:r>
                                <w:r w:rsidRPr="00F61045">
                                  <w:rPr>
                                    <w:noProof/>
                                  </w:rPr>
                                  <w:t>(Aecom, 2017)</w:t>
                                </w:r>
                                <w:r>
                                  <w:fldChar w:fldCharType="end"/>
                                </w:r>
                              </w:sdtContent>
                            </w:sdt>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65DE1A" id="Text Box 11" o:spid="_x0000_s1029" type="#_x0000_t202" style="position:absolute;margin-left:-49.1pt;margin-top:241.6pt;width:551.4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" stroked="f">
                <v:textbox style="mso-fit-shape-to-text:t" inset="0,0,0,0">
                  <w:txbxContent>
                    <w:p w:rsidR="00D150BC" w:rsidRPr="00325E64" w:rsidRDefault="00D150BC" w:rsidP="00F61045">
                      <w:pPr>
                        <w:pStyle w:val="Caption"/>
                      </w:pPr>
                      <w:bookmarkStart w:id="16" w:name="_Toc506990461"/>
                      <w:r>
                        <w:t xml:space="preserve">Figure </w:t>
                      </w:r>
                      <w:r w:rsidR="00A253C2">
                        <w:fldChar w:fldCharType="begin"/>
                      </w:r>
                      <w:r w:rsidR="00A253C2">
                        <w:instrText xml:space="preserve"> SEQ Figure \* ARABIC </w:instrText>
                      </w:r>
                      <w:r w:rsidR="00A253C2">
                        <w:fldChar w:fldCharType="separate"/>
                      </w:r>
                      <w:r>
                        <w:rPr>
                          <w:noProof/>
                        </w:rPr>
                        <w:t>5</w:t>
                      </w:r>
                      <w:r w:rsidR="00A253C2">
                        <w:rPr>
                          <w:noProof/>
                        </w:rPr>
                        <w:fldChar w:fldCharType="end"/>
                      </w:r>
                      <w:r>
                        <w:t xml:space="preserve">. Showing a </w:t>
                      </w:r>
                      <w:r w:rsidR="0073012D">
                        <w:t>pictorial</w:t>
                      </w:r>
                      <w:r>
                        <w:t xml:space="preserve"> representation of each activity and an estimation of how many labours will be required each month (see table 2 and Figure 3), produced alongside the </w:t>
                      </w:r>
                      <w:proofErr w:type="spellStart"/>
                      <w:r>
                        <w:t>Spons</w:t>
                      </w:r>
                      <w:proofErr w:type="spellEnd"/>
                      <w:r>
                        <w:t xml:space="preserve"> 2018 price book </w:t>
                      </w:r>
                      <w:sdt>
                        <w:sdtPr>
                          <w:id w:val="909884925"/>
                          <w:citation/>
                        </w:sdtPr>
                        <w:sdtEndPr/>
                        <w:sdtContent>
                          <w:r>
                            <w:fldChar w:fldCharType="begin"/>
                          </w:r>
                          <w:r>
                            <w:instrText xml:space="preserve"> CITATION Aec17 \l 2057 </w:instrText>
                          </w:r>
                          <w:r>
                            <w:fldChar w:fldCharType="separate"/>
                          </w:r>
                          <w:r w:rsidRPr="00F61045">
                            <w:rPr>
                              <w:noProof/>
                            </w:rPr>
                            <w:t>(Aecom, 2017)</w:t>
                          </w:r>
                          <w:r>
                            <w:fldChar w:fldCharType="end"/>
                          </w:r>
                        </w:sdtContent>
                      </w:sdt>
                      <w:bookmarkEnd w:id="16"/>
                    </w:p>
                  </w:txbxContent>
                </v:textbox>
                <w10:wrap type="topAndBottom"/>
              </v:shape>
            </w:pict>
          </mc:Fallback>
        </mc:AlternateContent>
      </w:r>
      <w:r w:rsidRPr="00F61045">
        <w:rPr>
          <w:noProof/>
          <w:lang w:eastAsia="en-GB"/>
        </w:rPr>
        <w:drawing>
          <wp:anchor distT="0" distB="0" distL="114300" distR="114300" simplePos="0" relativeHeight="251664384" behindDoc="0" locked="0" layoutInCell="1" allowOverlap="1">
            <wp:simplePos x="0" y="0"/>
            <wp:positionH relativeFrom="margin">
              <wp:posOffset>-624114</wp:posOffset>
            </wp:positionH>
            <wp:positionV relativeFrom="paragraph">
              <wp:posOffset>248</wp:posOffset>
            </wp:positionV>
            <wp:extent cx="7003946" cy="3011557"/>
            <wp:effectExtent l="0" t="0" r="6985"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7014690" cy="3016177"/>
                    </a:xfrm>
                    <a:prstGeom prst="rect">
                      <a:avLst/>
                    </a:prstGeom>
                  </pic:spPr>
                </pic:pic>
              </a:graphicData>
            </a:graphic>
            <wp14:sizeRelH relativeFrom="margin">
              <wp14:pctWidth>0</wp14:pctWidth>
            </wp14:sizeRelH>
            <wp14:sizeRelV relativeFrom="margin">
              <wp14:pctHeight>0</wp14:pctHeight>
            </wp14:sizeRelV>
          </wp:anchor>
        </w:drawing>
      </w:r>
    </w:p>
    <w:p w:rsidR="00B52B08" w:rsidRDefault="00B52B08" w:rsidP="00B52B08"/>
    <w:p w:rsidR="00B52B08" w:rsidRDefault="00F61045" w:rsidP="00B52B08">
      <w:r>
        <w:rPr>
          <w:noProof/>
          <w:lang w:eastAsia="en-GB"/>
        </w:rPr>
        <mc:AlternateContent>
          <mc:Choice Requires="wps">
            <w:drawing>
              <wp:anchor distT="0" distB="0" distL="114300" distR="114300" simplePos="0" relativeHeight="251669504" behindDoc="0" locked="0" layoutInCell="1" allowOverlap="1" wp14:anchorId="55ADDF3A" wp14:editId="0A59A943">
                <wp:simplePos x="0" y="0"/>
                <wp:positionH relativeFrom="column">
                  <wp:posOffset>-695960</wp:posOffset>
                </wp:positionH>
                <wp:positionV relativeFrom="paragraph">
                  <wp:posOffset>3265805</wp:posOffset>
                </wp:positionV>
                <wp:extent cx="7070725" cy="635"/>
                <wp:effectExtent l="0" t="0" r="0" b="0"/>
                <wp:wrapTopAndBottom/>
                <wp:docPr id="13" name="Text Box 13"/>
                <wp:cNvGraphicFramePr/>
                <a:graphic xmlns:a="http://schemas.openxmlformats.org/drawingml/2006/main">
                  <a:graphicData uri="http://schemas.microsoft.com/office/word/2010/wordprocessingShape">
                    <wps:wsp>
                      <wps:cNvSpPr txBox="1"/>
                      <wps:spPr>
                        <a:xfrm>
                          <a:off x="0" y="0"/>
                          <a:ext cx="7070725" cy="635"/>
                        </a:xfrm>
                        <a:prstGeom prst="rect">
                          <a:avLst/>
                        </a:prstGeom>
                        <a:solidFill>
                          <a:prstClr val="white"/>
                        </a:solidFill>
                        <a:ln>
                          <a:noFill/>
                        </a:ln>
                        <a:effectLst/>
                      </wps:spPr>
                      <wps:txbx>
                        <w:txbxContent>
                          <w:p w:rsidR="00D150BC" w:rsidRPr="00C07FD3" w:rsidRDefault="00D150BC" w:rsidP="00F61045">
                            <w:pPr>
                              <w:pStyle w:val="Caption"/>
                              <w:rPr>
                                <w:noProof/>
                              </w:rPr>
                            </w:pPr>
                            <w:bookmarkStart w:id="15" w:name="_Toc506990462"/>
                            <w:r>
                              <w:t xml:space="preserve">Figure </w:t>
                            </w:r>
                            <w:fldSimple w:instr=" SEQ Figure \* ARABIC ">
                              <w:r>
                                <w:rPr>
                                  <w:noProof/>
                                </w:rPr>
                                <w:t>6</w:t>
                              </w:r>
                            </w:fldSimple>
                            <w:r>
                              <w:t xml:space="preserve">. Is showing the estimated cost for each activity and the monthly cost, associated with the construction (see Table 3 and Figure 4). Produced alongside the information provided in the </w:t>
                            </w:r>
                            <w:proofErr w:type="spellStart"/>
                            <w:r>
                              <w:t>Spons</w:t>
                            </w:r>
                            <w:proofErr w:type="spellEnd"/>
                            <w:r>
                              <w:t xml:space="preserve"> 2018 price book </w:t>
                            </w:r>
                            <w:sdt>
                              <w:sdtPr>
                                <w:id w:val="458074371"/>
                                <w:citation/>
                              </w:sdtPr>
                              <w:sdtEndPr/>
                              <w:sdtContent>
                                <w:r>
                                  <w:fldChar w:fldCharType="begin"/>
                                </w:r>
                                <w:r>
                                  <w:instrText xml:space="preserve"> CITATION Aec17 \l 2057 </w:instrText>
                                </w:r>
                                <w:r>
                                  <w:fldChar w:fldCharType="separate"/>
                                </w:r>
                                <w:r w:rsidRPr="00F61045">
                                  <w:rPr>
                                    <w:noProof/>
                                  </w:rPr>
                                  <w:t>(Aecom, 2017)</w:t>
                                </w:r>
                                <w:r>
                                  <w:fldChar w:fldCharType="end"/>
                                </w:r>
                              </w:sdtContent>
                            </w:sdt>
                            <w:r>
                              <w:t>.</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ADDF3A" id="Text Box 13" o:spid="_x0000_s1030" type="#_x0000_t202" style="position:absolute;margin-left:-54.8pt;margin-top:257.15pt;width:556.75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" stroked="f">
                <v:textbox style="mso-fit-shape-to-text:t" inset="0,0,0,0">
                  <w:txbxContent>
                    <w:p w:rsidR="00D150BC" w:rsidRPr="00C07FD3" w:rsidRDefault="00D150BC" w:rsidP="00F61045">
                      <w:pPr>
                        <w:pStyle w:val="Caption"/>
                        <w:rPr>
                          <w:noProof/>
                        </w:rPr>
                      </w:pPr>
                      <w:bookmarkStart w:id="18" w:name="_Toc506990462"/>
                      <w:r>
                        <w:t xml:space="preserve">Figure </w:t>
                      </w:r>
                      <w:r w:rsidR="00A253C2">
                        <w:fldChar w:fldCharType="begin"/>
                      </w:r>
                      <w:r w:rsidR="00A253C2">
                        <w:instrText xml:space="preserve"> SEQ Figure \* ARABIC </w:instrText>
                      </w:r>
                      <w:r w:rsidR="00A253C2">
                        <w:fldChar w:fldCharType="separate"/>
                      </w:r>
                      <w:r>
                        <w:rPr>
                          <w:noProof/>
                        </w:rPr>
                        <w:t>6</w:t>
                      </w:r>
                      <w:r w:rsidR="00A253C2">
                        <w:rPr>
                          <w:noProof/>
                        </w:rPr>
                        <w:fldChar w:fldCharType="end"/>
                      </w:r>
                      <w:r>
                        <w:t xml:space="preserve">. Is showing the estimated cost for each activity and the monthly cost, associated with the construction (see Table 3 and Figure 4). Produced alongside the information provided in the </w:t>
                      </w:r>
                      <w:proofErr w:type="spellStart"/>
                      <w:r>
                        <w:t>Spons</w:t>
                      </w:r>
                      <w:proofErr w:type="spellEnd"/>
                      <w:r>
                        <w:t xml:space="preserve"> 2018 price book </w:t>
                      </w:r>
                      <w:sdt>
                        <w:sdtPr>
                          <w:id w:val="458074371"/>
                          <w:citation/>
                        </w:sdtPr>
                        <w:sdtEndPr/>
                        <w:sdtContent>
                          <w:r>
                            <w:fldChar w:fldCharType="begin"/>
                          </w:r>
                          <w:r>
                            <w:instrText xml:space="preserve"> CITATION Aec17 \l 2057 </w:instrText>
                          </w:r>
                          <w:r>
                            <w:fldChar w:fldCharType="separate"/>
                          </w:r>
                          <w:r w:rsidRPr="00F61045">
                            <w:rPr>
                              <w:noProof/>
                            </w:rPr>
                            <w:t>(Aecom, 2017)</w:t>
                          </w:r>
                          <w:r>
                            <w:fldChar w:fldCharType="end"/>
                          </w:r>
                        </w:sdtContent>
                      </w:sdt>
                      <w:r>
                        <w:t>.</w:t>
                      </w:r>
                      <w:bookmarkEnd w:id="18"/>
                    </w:p>
                  </w:txbxContent>
                </v:textbox>
                <w10:wrap type="topAndBottom"/>
              </v:shape>
            </w:pict>
          </mc:Fallback>
        </mc:AlternateContent>
      </w:r>
      <w:r>
        <w:rPr>
          <w:noProof/>
          <w:lang w:eastAsia="en-GB"/>
        </w:rPr>
        <w:drawing>
          <wp:anchor distT="0" distB="0" distL="114300" distR="114300" simplePos="0" relativeHeight="251667456" behindDoc="0" locked="0" layoutInCell="1" allowOverlap="1">
            <wp:simplePos x="0" y="0"/>
            <wp:positionH relativeFrom="margin">
              <wp:posOffset>-695960</wp:posOffset>
            </wp:positionH>
            <wp:positionV relativeFrom="paragraph">
              <wp:posOffset>211455</wp:posOffset>
            </wp:positionV>
            <wp:extent cx="7070725" cy="2997200"/>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562" t="20665" r="1502" b="6241"/>
                    <a:stretch/>
                  </pic:blipFill>
                  <pic:spPr bwMode="auto">
                    <a:xfrm>
                      <a:off x="0" y="0"/>
                      <a:ext cx="7070725" cy="2997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61045" w:rsidRDefault="00F61045" w:rsidP="00B52B08"/>
    <w:p w:rsidR="00F61045" w:rsidRDefault="00F61045" w:rsidP="00B52B08">
      <w:pPr>
        <w:rPr>
          <w:noProof/>
          <w:lang w:eastAsia="en-GB"/>
        </w:rPr>
      </w:pPr>
    </w:p>
    <w:p w:rsidR="00F61045" w:rsidRDefault="00F61045" w:rsidP="00B52B08"/>
    <w:p w:rsidR="00B52B08" w:rsidRPr="00B52B08" w:rsidRDefault="00B52B08" w:rsidP="00B52B08"/>
    <w:p w:rsidR="00B52B08" w:rsidRDefault="00B52B08" w:rsidP="00B52B08">
      <w:pPr>
        <w:pStyle w:val="Caption"/>
        <w:keepNext/>
      </w:pPr>
      <w:bookmarkStart w:id="16" w:name="_Toc506979915"/>
      <w:r>
        <w:lastRenderedPageBreak/>
        <w:t xml:space="preserve">Table </w:t>
      </w:r>
      <w:fldSimple w:instr=" SEQ Table \* ARABIC ">
        <w:r>
          <w:rPr>
            <w:noProof/>
          </w:rPr>
          <w:t>1</w:t>
        </w:r>
      </w:fldSimple>
      <w:r>
        <w:t>. Showing the activity description and duration, links to the activity numbers in figure 2.</w:t>
      </w:r>
      <w:bookmarkEnd w:id="16"/>
    </w:p>
    <w:tbl>
      <w:tblPr>
        <w:tblStyle w:val="TableGrid"/>
        <w:tblW w:w="9708" w:type="dxa"/>
        <w:tblLook w:val="04A0" w:firstRow="1" w:lastRow="0" w:firstColumn="1" w:lastColumn="0" w:noHBand="0" w:noVBand="1"/>
      </w:tblPr>
      <w:tblGrid>
        <w:gridCol w:w="3216"/>
        <w:gridCol w:w="4590"/>
        <w:gridCol w:w="1902"/>
      </w:tblGrid>
      <w:tr w:rsidR="00B52B08" w:rsidTr="00B52B08">
        <w:trPr>
          <w:trHeight w:val="500"/>
        </w:trPr>
        <w:tc>
          <w:tcPr>
            <w:tcW w:w="3216" w:type="dxa"/>
          </w:tcPr>
          <w:p w:rsidR="00B52B08" w:rsidRDefault="00B52B08" w:rsidP="00B52B08">
            <w:r>
              <w:t xml:space="preserve">Activity Number </w:t>
            </w:r>
          </w:p>
        </w:tc>
        <w:tc>
          <w:tcPr>
            <w:tcW w:w="4590" w:type="dxa"/>
          </w:tcPr>
          <w:p w:rsidR="00B52B08" w:rsidRDefault="00B52B08" w:rsidP="00B52B08">
            <w:r>
              <w:t xml:space="preserve">Activity Description </w:t>
            </w:r>
          </w:p>
        </w:tc>
        <w:tc>
          <w:tcPr>
            <w:tcW w:w="1902" w:type="dxa"/>
          </w:tcPr>
          <w:p w:rsidR="00B52B08" w:rsidRDefault="00B52B08" w:rsidP="00B52B08">
            <w:r>
              <w:t>Duration in Days (D)</w:t>
            </w:r>
          </w:p>
        </w:tc>
      </w:tr>
      <w:tr w:rsidR="00B52B08" w:rsidTr="00B52B08">
        <w:trPr>
          <w:trHeight w:val="257"/>
        </w:trPr>
        <w:tc>
          <w:tcPr>
            <w:tcW w:w="3216" w:type="dxa"/>
          </w:tcPr>
          <w:p w:rsidR="00B52B08" w:rsidRPr="00BC60DB" w:rsidRDefault="00B52B08" w:rsidP="00B52B08">
            <w:r>
              <w:t>1</w:t>
            </w:r>
          </w:p>
        </w:tc>
        <w:tc>
          <w:tcPr>
            <w:tcW w:w="4590" w:type="dxa"/>
          </w:tcPr>
          <w:p w:rsidR="00B52B08" w:rsidRDefault="00B52B08" w:rsidP="00B52B08">
            <w:r w:rsidRPr="00BC60DB">
              <w:t>Site Hording</w:t>
            </w:r>
          </w:p>
        </w:tc>
        <w:tc>
          <w:tcPr>
            <w:tcW w:w="1902" w:type="dxa"/>
          </w:tcPr>
          <w:p w:rsidR="00B52B08" w:rsidRDefault="00B52B08" w:rsidP="00B52B08">
            <w:r>
              <w:t>2d</w:t>
            </w:r>
          </w:p>
        </w:tc>
      </w:tr>
      <w:tr w:rsidR="00B52B08" w:rsidTr="00B52B08">
        <w:trPr>
          <w:trHeight w:val="1016"/>
        </w:trPr>
        <w:tc>
          <w:tcPr>
            <w:tcW w:w="3216" w:type="dxa"/>
          </w:tcPr>
          <w:p w:rsidR="00B52B08" w:rsidRPr="00BC60DB" w:rsidRDefault="00B52B08" w:rsidP="00B52B08">
            <w:r>
              <w:t>2</w:t>
            </w:r>
          </w:p>
        </w:tc>
        <w:tc>
          <w:tcPr>
            <w:tcW w:w="4590" w:type="dxa"/>
          </w:tcPr>
          <w:p w:rsidR="00B52B08" w:rsidRPr="00BC60DB" w:rsidRDefault="00B52B08" w:rsidP="00B52B08">
            <w:r w:rsidRPr="00BC60DB">
              <w:t>Ordering of Precast elements</w:t>
            </w:r>
            <w:r w:rsidR="00B450F5">
              <w:t>: Piles for 3and 4. Piers for 2.3.4.5.</w:t>
            </w:r>
            <w:r w:rsidRPr="00BC60DB">
              <w:t xml:space="preserve"> Precast bridge elements ready to install</w:t>
            </w:r>
          </w:p>
        </w:tc>
        <w:tc>
          <w:tcPr>
            <w:tcW w:w="1902" w:type="dxa"/>
          </w:tcPr>
          <w:p w:rsidR="00B52B08" w:rsidRDefault="00B52B08" w:rsidP="00B52B08">
            <w:r>
              <w:t>1d</w:t>
            </w:r>
          </w:p>
        </w:tc>
      </w:tr>
      <w:tr w:rsidR="00B52B08" w:rsidTr="00B52B08">
        <w:trPr>
          <w:trHeight w:val="257"/>
        </w:trPr>
        <w:tc>
          <w:tcPr>
            <w:tcW w:w="3216" w:type="dxa"/>
          </w:tcPr>
          <w:p w:rsidR="00B52B08" w:rsidRPr="00BC60DB" w:rsidRDefault="00B52B08" w:rsidP="00B52B08">
            <w:r>
              <w:t>3</w:t>
            </w:r>
          </w:p>
        </w:tc>
        <w:tc>
          <w:tcPr>
            <w:tcW w:w="4590" w:type="dxa"/>
          </w:tcPr>
          <w:p w:rsidR="00B52B08" w:rsidRDefault="00B52B08" w:rsidP="00B52B08">
            <w:r w:rsidRPr="00BC60DB">
              <w:t>Excavation for abutment 1 and 6</w:t>
            </w:r>
          </w:p>
        </w:tc>
        <w:tc>
          <w:tcPr>
            <w:tcW w:w="1902" w:type="dxa"/>
          </w:tcPr>
          <w:p w:rsidR="00B52B08" w:rsidRDefault="00B52B08" w:rsidP="00B52B08">
            <w:r>
              <w:t>5d</w:t>
            </w:r>
          </w:p>
        </w:tc>
      </w:tr>
      <w:tr w:rsidR="00B52B08" w:rsidTr="00B52B08">
        <w:trPr>
          <w:trHeight w:val="243"/>
        </w:trPr>
        <w:tc>
          <w:tcPr>
            <w:tcW w:w="3216" w:type="dxa"/>
          </w:tcPr>
          <w:p w:rsidR="00B52B08" w:rsidRPr="00BC60DB" w:rsidRDefault="00B52B08" w:rsidP="00B52B08">
            <w:r>
              <w:t>4</w:t>
            </w:r>
          </w:p>
        </w:tc>
        <w:tc>
          <w:tcPr>
            <w:tcW w:w="4590" w:type="dxa"/>
          </w:tcPr>
          <w:p w:rsidR="00B52B08" w:rsidRDefault="00B52B08" w:rsidP="00B52B08">
            <w:r w:rsidRPr="00BC60DB">
              <w:t>Piling for 2 and 5</w:t>
            </w:r>
          </w:p>
        </w:tc>
        <w:tc>
          <w:tcPr>
            <w:tcW w:w="1902" w:type="dxa"/>
          </w:tcPr>
          <w:p w:rsidR="00B52B08" w:rsidRDefault="00B52B08" w:rsidP="00B52B08">
            <w:r>
              <w:t>5d</w:t>
            </w:r>
          </w:p>
        </w:tc>
      </w:tr>
      <w:tr w:rsidR="00B52B08" w:rsidTr="00B52B08">
        <w:trPr>
          <w:trHeight w:val="772"/>
        </w:trPr>
        <w:tc>
          <w:tcPr>
            <w:tcW w:w="3216" w:type="dxa"/>
          </w:tcPr>
          <w:p w:rsidR="00B52B08" w:rsidRPr="00BC60DB" w:rsidRDefault="00B52B08" w:rsidP="00B52B08">
            <w:r>
              <w:t>5</w:t>
            </w:r>
          </w:p>
        </w:tc>
        <w:tc>
          <w:tcPr>
            <w:tcW w:w="4590" w:type="dxa"/>
          </w:tcPr>
          <w:p w:rsidR="00B52B08" w:rsidRDefault="00B52B08" w:rsidP="00B52B08">
            <w:r w:rsidRPr="00BC60DB">
              <w:t>Formwork + reinforcement + pouring of sulphate resistant pile cap for 2 and 5</w:t>
            </w:r>
          </w:p>
        </w:tc>
        <w:tc>
          <w:tcPr>
            <w:tcW w:w="1902" w:type="dxa"/>
          </w:tcPr>
          <w:p w:rsidR="00B52B08" w:rsidRDefault="00B52B08" w:rsidP="00B52B08">
            <w:r>
              <w:t>2d</w:t>
            </w:r>
          </w:p>
        </w:tc>
      </w:tr>
      <w:tr w:rsidR="00B52B08" w:rsidTr="00B52B08">
        <w:trPr>
          <w:trHeight w:val="485"/>
        </w:trPr>
        <w:tc>
          <w:tcPr>
            <w:tcW w:w="3216" w:type="dxa"/>
          </w:tcPr>
          <w:p w:rsidR="00B52B08" w:rsidRPr="00BC60DB" w:rsidRDefault="00B52B08" w:rsidP="00B52B08">
            <w:r>
              <w:t>6</w:t>
            </w:r>
          </w:p>
        </w:tc>
        <w:tc>
          <w:tcPr>
            <w:tcW w:w="4590" w:type="dxa"/>
          </w:tcPr>
          <w:p w:rsidR="00B52B08" w:rsidRDefault="00B52B08" w:rsidP="00B52B08">
            <w:r w:rsidRPr="00BC60DB">
              <w:t>Curing of sul</w:t>
            </w:r>
            <w:r>
              <w:t>phate resistant pile cap for 2</w:t>
            </w:r>
            <w:r w:rsidRPr="00BC60DB">
              <w:t xml:space="preserve"> and 5</w:t>
            </w:r>
          </w:p>
        </w:tc>
        <w:tc>
          <w:tcPr>
            <w:tcW w:w="1902" w:type="dxa"/>
          </w:tcPr>
          <w:p w:rsidR="00B52B08" w:rsidRDefault="00B52B08" w:rsidP="00B52B08">
            <w:r>
              <w:t>3d</w:t>
            </w:r>
          </w:p>
        </w:tc>
      </w:tr>
      <w:tr w:rsidR="00B52B08" w:rsidTr="00B52B08">
        <w:trPr>
          <w:trHeight w:val="515"/>
        </w:trPr>
        <w:tc>
          <w:tcPr>
            <w:tcW w:w="3216" w:type="dxa"/>
          </w:tcPr>
          <w:p w:rsidR="00B52B08" w:rsidRPr="00BC60DB" w:rsidRDefault="00B52B08" w:rsidP="00B52B08">
            <w:r>
              <w:t>7</w:t>
            </w:r>
          </w:p>
        </w:tc>
        <w:tc>
          <w:tcPr>
            <w:tcW w:w="4590" w:type="dxa"/>
          </w:tcPr>
          <w:p w:rsidR="00B52B08" w:rsidRPr="00BC60DB" w:rsidRDefault="00B52B08" w:rsidP="00B52B08">
            <w:r w:rsidRPr="00BC60DB">
              <w:t>Removal of formwork for pile cap 2 and 5</w:t>
            </w:r>
          </w:p>
        </w:tc>
        <w:tc>
          <w:tcPr>
            <w:tcW w:w="1902" w:type="dxa"/>
          </w:tcPr>
          <w:p w:rsidR="00B52B08" w:rsidRDefault="00B52B08" w:rsidP="00B52B08">
            <w:r>
              <w:t>2d</w:t>
            </w:r>
          </w:p>
        </w:tc>
      </w:tr>
      <w:tr w:rsidR="00B52B08" w:rsidTr="00B52B08">
        <w:trPr>
          <w:trHeight w:val="758"/>
        </w:trPr>
        <w:tc>
          <w:tcPr>
            <w:tcW w:w="3216" w:type="dxa"/>
          </w:tcPr>
          <w:p w:rsidR="00B52B08" w:rsidRPr="00BC60DB" w:rsidRDefault="00B52B08" w:rsidP="00B52B08">
            <w:r>
              <w:t>8</w:t>
            </w:r>
          </w:p>
        </w:tc>
        <w:tc>
          <w:tcPr>
            <w:tcW w:w="4590" w:type="dxa"/>
          </w:tcPr>
          <w:p w:rsidR="00B52B08" w:rsidRPr="00BC60DB" w:rsidRDefault="00B52B08" w:rsidP="00B52B08">
            <w:r w:rsidRPr="00BC60DB">
              <w:t>Formwork, reinforcement and pouring of standard concrete for abutments 1 and 6</w:t>
            </w:r>
          </w:p>
        </w:tc>
        <w:tc>
          <w:tcPr>
            <w:tcW w:w="1902" w:type="dxa"/>
          </w:tcPr>
          <w:p w:rsidR="00B52B08" w:rsidRDefault="00B52B08" w:rsidP="00B52B08">
            <w:r>
              <w:t>5d</w:t>
            </w:r>
          </w:p>
        </w:tc>
      </w:tr>
      <w:tr w:rsidR="00B52B08" w:rsidTr="00B52B08">
        <w:trPr>
          <w:trHeight w:val="758"/>
        </w:trPr>
        <w:tc>
          <w:tcPr>
            <w:tcW w:w="3216" w:type="dxa"/>
          </w:tcPr>
          <w:p w:rsidR="00B52B08" w:rsidRPr="00BC60DB" w:rsidRDefault="00B52B08" w:rsidP="00B52B08">
            <w:r>
              <w:t>9</w:t>
            </w:r>
          </w:p>
        </w:tc>
        <w:tc>
          <w:tcPr>
            <w:tcW w:w="4590" w:type="dxa"/>
          </w:tcPr>
          <w:p w:rsidR="00B52B08" w:rsidRPr="00BC60DB" w:rsidRDefault="00B52B08" w:rsidP="00B52B08">
            <w:r w:rsidRPr="00BC60DB">
              <w:t>French drain for abutments 1 and 6, rubble drain, 20mm aggregate with graded material</w:t>
            </w:r>
          </w:p>
        </w:tc>
        <w:tc>
          <w:tcPr>
            <w:tcW w:w="1902" w:type="dxa"/>
          </w:tcPr>
          <w:p w:rsidR="00B52B08" w:rsidRDefault="00B52B08" w:rsidP="00B52B08">
            <w:r>
              <w:t>2d</w:t>
            </w:r>
          </w:p>
        </w:tc>
      </w:tr>
      <w:tr w:rsidR="00B52B08" w:rsidTr="00B52B08">
        <w:trPr>
          <w:trHeight w:val="1030"/>
        </w:trPr>
        <w:tc>
          <w:tcPr>
            <w:tcW w:w="3216" w:type="dxa"/>
          </w:tcPr>
          <w:p w:rsidR="00B52B08" w:rsidRPr="00BC60DB" w:rsidRDefault="00B52B08" w:rsidP="00B52B08">
            <w:r>
              <w:t>10</w:t>
            </w:r>
          </w:p>
        </w:tc>
        <w:tc>
          <w:tcPr>
            <w:tcW w:w="4590" w:type="dxa"/>
          </w:tcPr>
          <w:p w:rsidR="00B52B08" w:rsidRPr="00BC60DB" w:rsidRDefault="00B52B08" w:rsidP="00B52B08">
            <w:r w:rsidRPr="00BC60DB">
              <w:t>Backfill and compaction using compacting machines for abutments 1 and 6, using graded material</w:t>
            </w:r>
            <w:r>
              <w:t>, now ready to be used</w:t>
            </w:r>
          </w:p>
        </w:tc>
        <w:tc>
          <w:tcPr>
            <w:tcW w:w="1902" w:type="dxa"/>
          </w:tcPr>
          <w:p w:rsidR="00B52B08" w:rsidRDefault="00B52B08" w:rsidP="00B52B08">
            <w:r>
              <w:t>5d</w:t>
            </w:r>
          </w:p>
        </w:tc>
      </w:tr>
      <w:tr w:rsidR="00B52B08" w:rsidTr="00B52B08">
        <w:trPr>
          <w:trHeight w:val="500"/>
        </w:trPr>
        <w:tc>
          <w:tcPr>
            <w:tcW w:w="3216" w:type="dxa"/>
          </w:tcPr>
          <w:p w:rsidR="00B52B08" w:rsidRPr="00BC60DB" w:rsidRDefault="00B52B08" w:rsidP="00B52B08">
            <w:r>
              <w:t>11</w:t>
            </w:r>
          </w:p>
        </w:tc>
        <w:tc>
          <w:tcPr>
            <w:tcW w:w="4590" w:type="dxa"/>
          </w:tcPr>
          <w:p w:rsidR="00B52B08" w:rsidRPr="00BC60DB" w:rsidRDefault="00B52B08" w:rsidP="00B52B08">
            <w:r w:rsidRPr="00BC60DB">
              <w:t>Floating rig: Excavation and prepping of area</w:t>
            </w:r>
          </w:p>
        </w:tc>
        <w:tc>
          <w:tcPr>
            <w:tcW w:w="1902" w:type="dxa"/>
          </w:tcPr>
          <w:p w:rsidR="00B52B08" w:rsidRDefault="00B52B08" w:rsidP="00B52B08">
            <w:r>
              <w:t>1d</w:t>
            </w:r>
          </w:p>
        </w:tc>
      </w:tr>
      <w:tr w:rsidR="00B52B08" w:rsidTr="00B52B08">
        <w:trPr>
          <w:trHeight w:val="515"/>
        </w:trPr>
        <w:tc>
          <w:tcPr>
            <w:tcW w:w="3216" w:type="dxa"/>
          </w:tcPr>
          <w:p w:rsidR="00B52B08" w:rsidRPr="00BC60DB" w:rsidRDefault="00B52B08" w:rsidP="00B52B08">
            <w:r>
              <w:t>12</w:t>
            </w:r>
          </w:p>
        </w:tc>
        <w:tc>
          <w:tcPr>
            <w:tcW w:w="4590" w:type="dxa"/>
          </w:tcPr>
          <w:p w:rsidR="00B52B08" w:rsidRPr="00BC60DB" w:rsidRDefault="00B52B08" w:rsidP="00B52B08">
            <w:r w:rsidRPr="00BC60DB">
              <w:t>Fl</w:t>
            </w:r>
            <w:r w:rsidR="00B450F5">
              <w:t>oating rig: sheet piling Rhombus</w:t>
            </w:r>
            <w:r w:rsidRPr="00BC60DB">
              <w:t xml:space="preserve"> shape</w:t>
            </w:r>
          </w:p>
        </w:tc>
        <w:tc>
          <w:tcPr>
            <w:tcW w:w="1902" w:type="dxa"/>
          </w:tcPr>
          <w:p w:rsidR="00B52B08" w:rsidRDefault="00B52B08" w:rsidP="00B52B08">
            <w:r>
              <w:t>4d</w:t>
            </w:r>
          </w:p>
        </w:tc>
      </w:tr>
      <w:tr w:rsidR="00B52B08" w:rsidTr="00B52B08">
        <w:trPr>
          <w:trHeight w:val="758"/>
        </w:trPr>
        <w:tc>
          <w:tcPr>
            <w:tcW w:w="3216" w:type="dxa"/>
          </w:tcPr>
          <w:p w:rsidR="00B52B08" w:rsidRPr="00BC60DB" w:rsidRDefault="00B52B08" w:rsidP="00B52B08">
            <w:r>
              <w:t>13</w:t>
            </w:r>
          </w:p>
        </w:tc>
        <w:tc>
          <w:tcPr>
            <w:tcW w:w="4590" w:type="dxa"/>
          </w:tcPr>
          <w:p w:rsidR="00B52B08" w:rsidRPr="00BC60DB" w:rsidRDefault="00B52B08" w:rsidP="00B52B08">
            <w:r w:rsidRPr="00BC60DB">
              <w:t>Floating rig: Using Precast elements, the piles will be hammered into position</w:t>
            </w:r>
          </w:p>
        </w:tc>
        <w:tc>
          <w:tcPr>
            <w:tcW w:w="1902" w:type="dxa"/>
          </w:tcPr>
          <w:p w:rsidR="00B52B08" w:rsidRDefault="00B52B08" w:rsidP="00B52B08">
            <w:r>
              <w:t>5d</w:t>
            </w:r>
          </w:p>
        </w:tc>
      </w:tr>
      <w:tr w:rsidR="00B52B08" w:rsidTr="00B52B08">
        <w:trPr>
          <w:trHeight w:val="515"/>
        </w:trPr>
        <w:tc>
          <w:tcPr>
            <w:tcW w:w="3216" w:type="dxa"/>
          </w:tcPr>
          <w:p w:rsidR="00B52B08" w:rsidRPr="00BC60DB" w:rsidRDefault="00B52B08" w:rsidP="00B52B08">
            <w:r>
              <w:t>14</w:t>
            </w:r>
          </w:p>
        </w:tc>
        <w:tc>
          <w:tcPr>
            <w:tcW w:w="4590" w:type="dxa"/>
          </w:tcPr>
          <w:p w:rsidR="00B52B08" w:rsidRPr="00BC60DB" w:rsidRDefault="00B52B08" w:rsidP="00B52B08">
            <w:r w:rsidRPr="00BC60DB">
              <w:t>Floating ri</w:t>
            </w:r>
            <w:r w:rsidR="00B450F5">
              <w:t xml:space="preserve">g: Granular Backfilling Rhombus </w:t>
            </w:r>
            <w:r w:rsidRPr="00BC60DB">
              <w:t>shaped sheet piles</w:t>
            </w:r>
          </w:p>
        </w:tc>
        <w:tc>
          <w:tcPr>
            <w:tcW w:w="1902" w:type="dxa"/>
          </w:tcPr>
          <w:p w:rsidR="00B52B08" w:rsidRDefault="00B52B08" w:rsidP="00B52B08">
            <w:r>
              <w:t>4d</w:t>
            </w:r>
          </w:p>
        </w:tc>
      </w:tr>
      <w:tr w:rsidR="00B52B08" w:rsidTr="00B52B08">
        <w:trPr>
          <w:trHeight w:val="1016"/>
        </w:trPr>
        <w:tc>
          <w:tcPr>
            <w:tcW w:w="3216" w:type="dxa"/>
          </w:tcPr>
          <w:p w:rsidR="00B52B08" w:rsidRPr="00BC60DB" w:rsidRDefault="00B52B08" w:rsidP="00B52B08">
            <w:r>
              <w:t>15</w:t>
            </w:r>
          </w:p>
        </w:tc>
        <w:tc>
          <w:tcPr>
            <w:tcW w:w="4590" w:type="dxa"/>
          </w:tcPr>
          <w:p w:rsidR="00B52B08" w:rsidRPr="00BC60DB" w:rsidRDefault="00B52B08" w:rsidP="00B52B08">
            <w:r w:rsidRPr="00BC60DB">
              <w:t>Floating rig: formwork + reinforcements + pouring 500mm of sulphate resistant pile cap</w:t>
            </w:r>
          </w:p>
        </w:tc>
        <w:tc>
          <w:tcPr>
            <w:tcW w:w="1902" w:type="dxa"/>
          </w:tcPr>
          <w:p w:rsidR="00B52B08" w:rsidRDefault="00B52B08" w:rsidP="00B52B08">
            <w:r>
              <w:t>3d</w:t>
            </w:r>
          </w:p>
        </w:tc>
      </w:tr>
      <w:tr w:rsidR="00B52B08" w:rsidTr="00B52B08">
        <w:trPr>
          <w:trHeight w:val="515"/>
        </w:trPr>
        <w:tc>
          <w:tcPr>
            <w:tcW w:w="3216" w:type="dxa"/>
          </w:tcPr>
          <w:p w:rsidR="00B52B08" w:rsidRPr="00BC60DB" w:rsidRDefault="00B52B08" w:rsidP="00B52B08">
            <w:r>
              <w:t>16</w:t>
            </w:r>
          </w:p>
        </w:tc>
        <w:tc>
          <w:tcPr>
            <w:tcW w:w="4590" w:type="dxa"/>
          </w:tcPr>
          <w:p w:rsidR="00B52B08" w:rsidRPr="00BC60DB" w:rsidRDefault="00B52B08" w:rsidP="00B52B08">
            <w:r w:rsidRPr="00BC60DB">
              <w:t>Curing of sulphate resistant pile cap</w:t>
            </w:r>
          </w:p>
        </w:tc>
        <w:tc>
          <w:tcPr>
            <w:tcW w:w="1902" w:type="dxa"/>
          </w:tcPr>
          <w:p w:rsidR="00B52B08" w:rsidRDefault="00B52B08" w:rsidP="00B52B08">
            <w:r>
              <w:t>3d</w:t>
            </w:r>
          </w:p>
        </w:tc>
      </w:tr>
      <w:tr w:rsidR="00B52B08" w:rsidTr="00B52B08">
        <w:trPr>
          <w:trHeight w:val="500"/>
        </w:trPr>
        <w:tc>
          <w:tcPr>
            <w:tcW w:w="3216" w:type="dxa"/>
          </w:tcPr>
          <w:p w:rsidR="00B52B08" w:rsidRPr="00BC60DB" w:rsidRDefault="00B52B08" w:rsidP="00B52B08">
            <w:r>
              <w:t>17</w:t>
            </w:r>
          </w:p>
        </w:tc>
        <w:tc>
          <w:tcPr>
            <w:tcW w:w="4590" w:type="dxa"/>
          </w:tcPr>
          <w:p w:rsidR="00B52B08" w:rsidRPr="00BC60DB" w:rsidRDefault="00B52B08" w:rsidP="00B52B08">
            <w:r w:rsidRPr="00BC60DB">
              <w:t>Floating rig: removal of formwork</w:t>
            </w:r>
          </w:p>
        </w:tc>
        <w:tc>
          <w:tcPr>
            <w:tcW w:w="1902" w:type="dxa"/>
          </w:tcPr>
          <w:p w:rsidR="00B52B08" w:rsidRDefault="00B52B08" w:rsidP="00B52B08">
            <w:r>
              <w:t>2d</w:t>
            </w:r>
          </w:p>
        </w:tc>
      </w:tr>
      <w:tr w:rsidR="00B52B08" w:rsidTr="00B52B08">
        <w:trPr>
          <w:trHeight w:val="758"/>
        </w:trPr>
        <w:tc>
          <w:tcPr>
            <w:tcW w:w="3216" w:type="dxa"/>
          </w:tcPr>
          <w:p w:rsidR="00B52B08" w:rsidRDefault="00B52B08" w:rsidP="00B52B08">
            <w:r>
              <w:t>18</w:t>
            </w:r>
          </w:p>
        </w:tc>
        <w:tc>
          <w:tcPr>
            <w:tcW w:w="4590" w:type="dxa"/>
          </w:tcPr>
          <w:p w:rsidR="00B52B08" w:rsidRPr="00BC60DB" w:rsidRDefault="00B52B08" w:rsidP="00B52B08">
            <w:r w:rsidRPr="007D0568">
              <w:t>construct Pier 2, using precast concrete pier dia. 450mm 2m sections</w:t>
            </w:r>
          </w:p>
        </w:tc>
        <w:tc>
          <w:tcPr>
            <w:tcW w:w="1902" w:type="dxa"/>
          </w:tcPr>
          <w:p w:rsidR="00B52B08" w:rsidRDefault="00B52B08" w:rsidP="00B52B08">
            <w:r>
              <w:t>5d</w:t>
            </w:r>
          </w:p>
        </w:tc>
      </w:tr>
      <w:tr w:rsidR="00B52B08" w:rsidTr="00B52B08">
        <w:trPr>
          <w:trHeight w:val="1545"/>
        </w:trPr>
        <w:tc>
          <w:tcPr>
            <w:tcW w:w="3216" w:type="dxa"/>
          </w:tcPr>
          <w:p w:rsidR="00B52B08" w:rsidRDefault="00B52B08" w:rsidP="00B52B08">
            <w:r>
              <w:t>19</w:t>
            </w:r>
          </w:p>
        </w:tc>
        <w:tc>
          <w:tcPr>
            <w:tcW w:w="4590" w:type="dxa"/>
          </w:tcPr>
          <w:p w:rsidR="00B52B08" w:rsidRDefault="00B450F5" w:rsidP="00B52B08">
            <w:pPr>
              <w:rPr>
                <w:rFonts w:ascii="Calibri" w:hAnsi="Calibri" w:cs="Calibri"/>
                <w:color w:val="000000"/>
              </w:rPr>
            </w:pPr>
            <w:r>
              <w:rPr>
                <w:rFonts w:ascii="Calibri" w:hAnsi="Calibri" w:cs="Calibri"/>
                <w:color w:val="000000"/>
              </w:rPr>
              <w:t xml:space="preserve">Construct </w:t>
            </w:r>
            <w:r w:rsidR="00B52B08">
              <w:rPr>
                <w:rFonts w:ascii="Calibri" w:hAnsi="Calibri" w:cs="Calibri"/>
                <w:color w:val="000000"/>
              </w:rPr>
              <w:t>Deck section 1</w:t>
            </w:r>
            <w:r>
              <w:rPr>
                <w:rFonts w:ascii="Calibri" w:hAnsi="Calibri" w:cs="Calibri"/>
                <w:color w:val="000000"/>
              </w:rPr>
              <w:t>, using abutment 1 as a platform</w:t>
            </w:r>
            <w:r w:rsidR="00B52B08">
              <w:rPr>
                <w:rFonts w:ascii="Calibri" w:hAnsi="Calibri" w:cs="Calibri"/>
                <w:color w:val="000000"/>
              </w:rPr>
              <w:t>, reinforced concrete bridge sections with prefab steel beams spans of 20m and formwork to rest on top of pier 2</w:t>
            </w:r>
          </w:p>
          <w:p w:rsidR="00B52B08" w:rsidRPr="00BC60DB" w:rsidRDefault="00B52B08" w:rsidP="00B52B08"/>
        </w:tc>
        <w:tc>
          <w:tcPr>
            <w:tcW w:w="1902" w:type="dxa"/>
          </w:tcPr>
          <w:p w:rsidR="00B52B08" w:rsidRDefault="00B52B08" w:rsidP="00B52B08">
            <w:r>
              <w:t>2weeks</w:t>
            </w:r>
          </w:p>
        </w:tc>
      </w:tr>
      <w:tr w:rsidR="00B52B08" w:rsidTr="00B52B08">
        <w:trPr>
          <w:trHeight w:val="758"/>
        </w:trPr>
        <w:tc>
          <w:tcPr>
            <w:tcW w:w="3216" w:type="dxa"/>
          </w:tcPr>
          <w:p w:rsidR="00B52B08" w:rsidRDefault="00B52B08" w:rsidP="00B52B08">
            <w:r>
              <w:lastRenderedPageBreak/>
              <w:t>20</w:t>
            </w:r>
          </w:p>
        </w:tc>
        <w:tc>
          <w:tcPr>
            <w:tcW w:w="4590" w:type="dxa"/>
          </w:tcPr>
          <w:p w:rsidR="00B52B08" w:rsidRPr="00BC60DB" w:rsidRDefault="00B52B08" w:rsidP="00B52B08">
            <w:r w:rsidRPr="007D0568">
              <w:t>Using deck section 1 as platform, construct pier 3, with help of floating barge</w:t>
            </w:r>
          </w:p>
        </w:tc>
        <w:tc>
          <w:tcPr>
            <w:tcW w:w="1902" w:type="dxa"/>
          </w:tcPr>
          <w:p w:rsidR="00B52B08" w:rsidRDefault="00B52B08" w:rsidP="00B52B08">
            <w:r>
              <w:t>5d</w:t>
            </w:r>
          </w:p>
        </w:tc>
      </w:tr>
      <w:tr w:rsidR="00B52B08" w:rsidTr="00B52B08">
        <w:trPr>
          <w:trHeight w:val="758"/>
        </w:trPr>
        <w:tc>
          <w:tcPr>
            <w:tcW w:w="3216" w:type="dxa"/>
          </w:tcPr>
          <w:p w:rsidR="00B52B08" w:rsidRDefault="00B52B08" w:rsidP="00B52B08">
            <w:r>
              <w:t>21</w:t>
            </w:r>
          </w:p>
        </w:tc>
        <w:tc>
          <w:tcPr>
            <w:tcW w:w="4590" w:type="dxa"/>
          </w:tcPr>
          <w:p w:rsidR="00B52B08" w:rsidRDefault="00B52B08" w:rsidP="00B52B08">
            <w:pPr>
              <w:rPr>
                <w:rFonts w:ascii="Calibri" w:hAnsi="Calibri" w:cs="Calibri"/>
                <w:color w:val="000000"/>
              </w:rPr>
            </w:pPr>
            <w:r>
              <w:rPr>
                <w:rFonts w:ascii="Calibri" w:hAnsi="Calibri" w:cs="Calibri"/>
                <w:color w:val="000000"/>
              </w:rPr>
              <w:t>Move formwork from deck section 1 to section 2</w:t>
            </w:r>
          </w:p>
          <w:p w:rsidR="00B52B08" w:rsidRPr="00BC60DB" w:rsidRDefault="00B52B08" w:rsidP="00B52B08"/>
        </w:tc>
        <w:tc>
          <w:tcPr>
            <w:tcW w:w="1902" w:type="dxa"/>
          </w:tcPr>
          <w:p w:rsidR="00B52B08" w:rsidRDefault="00B52B08" w:rsidP="00B52B08">
            <w:r>
              <w:t>2d</w:t>
            </w:r>
          </w:p>
        </w:tc>
      </w:tr>
      <w:tr w:rsidR="00B52B08" w:rsidTr="00B52B08">
        <w:trPr>
          <w:trHeight w:val="772"/>
        </w:trPr>
        <w:tc>
          <w:tcPr>
            <w:tcW w:w="3216" w:type="dxa"/>
          </w:tcPr>
          <w:p w:rsidR="00B52B08" w:rsidRDefault="00B52B08" w:rsidP="00B52B08">
            <w:r>
              <w:t>22</w:t>
            </w:r>
          </w:p>
        </w:tc>
        <w:tc>
          <w:tcPr>
            <w:tcW w:w="4590" w:type="dxa"/>
          </w:tcPr>
          <w:p w:rsidR="00B52B08" w:rsidRDefault="00B52B08" w:rsidP="00B52B08">
            <w:pPr>
              <w:rPr>
                <w:rFonts w:ascii="Calibri" w:hAnsi="Calibri" w:cs="Calibri"/>
                <w:color w:val="000000"/>
              </w:rPr>
            </w:pPr>
            <w:r>
              <w:rPr>
                <w:rFonts w:ascii="Calibri" w:hAnsi="Calibri" w:cs="Calibri"/>
                <w:color w:val="000000"/>
              </w:rPr>
              <w:t xml:space="preserve">Construct deck section 2 , using section 1 as platform </w:t>
            </w:r>
          </w:p>
          <w:p w:rsidR="00B52B08" w:rsidRPr="00BC60DB" w:rsidRDefault="00B52B08" w:rsidP="00B52B08"/>
        </w:tc>
        <w:tc>
          <w:tcPr>
            <w:tcW w:w="1902" w:type="dxa"/>
          </w:tcPr>
          <w:p w:rsidR="00B52B08" w:rsidRDefault="00B52B08" w:rsidP="00B52B08">
            <w:r>
              <w:t>2weeks</w:t>
            </w:r>
          </w:p>
        </w:tc>
      </w:tr>
      <w:tr w:rsidR="00B52B08" w:rsidTr="00B52B08">
        <w:trPr>
          <w:trHeight w:val="500"/>
        </w:trPr>
        <w:tc>
          <w:tcPr>
            <w:tcW w:w="3216" w:type="dxa"/>
          </w:tcPr>
          <w:p w:rsidR="00B52B08" w:rsidRDefault="00B52B08" w:rsidP="00B52B08">
            <w:r>
              <w:t>23</w:t>
            </w:r>
          </w:p>
        </w:tc>
        <w:tc>
          <w:tcPr>
            <w:tcW w:w="4590" w:type="dxa"/>
          </w:tcPr>
          <w:p w:rsidR="00B52B08" w:rsidRDefault="00B52B08" w:rsidP="00B52B08">
            <w:pPr>
              <w:rPr>
                <w:rFonts w:ascii="Calibri" w:hAnsi="Calibri" w:cs="Calibri"/>
                <w:color w:val="000000"/>
              </w:rPr>
            </w:pPr>
            <w:r>
              <w:rPr>
                <w:rFonts w:ascii="Calibri" w:hAnsi="Calibri" w:cs="Calibri"/>
                <w:color w:val="000000"/>
              </w:rPr>
              <w:t xml:space="preserve">Construction of Pier 5, using abutment 6 as a platform </w:t>
            </w:r>
          </w:p>
        </w:tc>
        <w:tc>
          <w:tcPr>
            <w:tcW w:w="1902" w:type="dxa"/>
          </w:tcPr>
          <w:p w:rsidR="00B52B08" w:rsidRDefault="00B52B08" w:rsidP="00B52B08">
            <w:r>
              <w:t>5d</w:t>
            </w:r>
          </w:p>
        </w:tc>
      </w:tr>
      <w:tr w:rsidR="00B52B08" w:rsidTr="00B52B08">
        <w:trPr>
          <w:trHeight w:val="515"/>
        </w:trPr>
        <w:tc>
          <w:tcPr>
            <w:tcW w:w="3216" w:type="dxa"/>
          </w:tcPr>
          <w:p w:rsidR="00B52B08" w:rsidRDefault="00B52B08" w:rsidP="00B52B08">
            <w:r>
              <w:t>24</w:t>
            </w:r>
          </w:p>
        </w:tc>
        <w:tc>
          <w:tcPr>
            <w:tcW w:w="4590" w:type="dxa"/>
          </w:tcPr>
          <w:p w:rsidR="00B52B08" w:rsidRDefault="00B52B08" w:rsidP="00B52B08">
            <w:pPr>
              <w:rPr>
                <w:rFonts w:ascii="Calibri" w:hAnsi="Calibri" w:cs="Calibri"/>
                <w:color w:val="000000"/>
              </w:rPr>
            </w:pPr>
            <w:r>
              <w:rPr>
                <w:rFonts w:ascii="Calibri" w:hAnsi="Calibri" w:cs="Calibri"/>
                <w:color w:val="000000"/>
              </w:rPr>
              <w:t>Construction of deck section 5</w:t>
            </w:r>
          </w:p>
          <w:p w:rsidR="00B52B08" w:rsidRPr="00BC60DB" w:rsidRDefault="00B52B08" w:rsidP="00B52B08"/>
        </w:tc>
        <w:tc>
          <w:tcPr>
            <w:tcW w:w="1902" w:type="dxa"/>
          </w:tcPr>
          <w:p w:rsidR="00B52B08" w:rsidRDefault="00B52B08" w:rsidP="00B52B08">
            <w:r>
              <w:t>2weeks</w:t>
            </w:r>
          </w:p>
        </w:tc>
      </w:tr>
      <w:tr w:rsidR="00B52B08" w:rsidTr="00B52B08">
        <w:trPr>
          <w:trHeight w:val="1016"/>
        </w:trPr>
        <w:tc>
          <w:tcPr>
            <w:tcW w:w="3216" w:type="dxa"/>
          </w:tcPr>
          <w:p w:rsidR="00B52B08" w:rsidRDefault="00B52B08" w:rsidP="00B52B08">
            <w:r>
              <w:t>25</w:t>
            </w:r>
          </w:p>
        </w:tc>
        <w:tc>
          <w:tcPr>
            <w:tcW w:w="4590" w:type="dxa"/>
          </w:tcPr>
          <w:p w:rsidR="00B52B08" w:rsidRDefault="00B52B08" w:rsidP="00B52B08">
            <w:pPr>
              <w:rPr>
                <w:rFonts w:ascii="Calibri" w:hAnsi="Calibri" w:cs="Calibri"/>
                <w:color w:val="000000"/>
              </w:rPr>
            </w:pPr>
            <w:r>
              <w:rPr>
                <w:rFonts w:ascii="Calibri" w:hAnsi="Calibri" w:cs="Calibri"/>
                <w:color w:val="000000"/>
              </w:rPr>
              <w:t>using deck section 5 as a platform, construct pier 4 with help of a floating barge</w:t>
            </w:r>
          </w:p>
          <w:p w:rsidR="00B52B08" w:rsidRPr="00BC60DB" w:rsidRDefault="00B52B08" w:rsidP="00B52B08"/>
        </w:tc>
        <w:tc>
          <w:tcPr>
            <w:tcW w:w="1902" w:type="dxa"/>
          </w:tcPr>
          <w:p w:rsidR="00B52B08" w:rsidRDefault="00B52B08" w:rsidP="00B52B08">
            <w:r>
              <w:t>5d</w:t>
            </w:r>
          </w:p>
        </w:tc>
      </w:tr>
      <w:tr w:rsidR="00B52B08" w:rsidTr="00B52B08">
        <w:trPr>
          <w:trHeight w:val="758"/>
        </w:trPr>
        <w:tc>
          <w:tcPr>
            <w:tcW w:w="3216" w:type="dxa"/>
          </w:tcPr>
          <w:p w:rsidR="00B52B08" w:rsidRDefault="00B52B08" w:rsidP="00B52B08">
            <w:r>
              <w:t>26</w:t>
            </w:r>
          </w:p>
        </w:tc>
        <w:tc>
          <w:tcPr>
            <w:tcW w:w="4590" w:type="dxa"/>
          </w:tcPr>
          <w:p w:rsidR="00B52B08" w:rsidRDefault="00B52B08" w:rsidP="00B52B08">
            <w:pPr>
              <w:rPr>
                <w:rFonts w:ascii="Calibri" w:hAnsi="Calibri" w:cs="Calibri"/>
                <w:color w:val="000000"/>
              </w:rPr>
            </w:pPr>
            <w:r>
              <w:rPr>
                <w:rFonts w:ascii="Calibri" w:hAnsi="Calibri" w:cs="Calibri"/>
                <w:color w:val="000000"/>
              </w:rPr>
              <w:t>Move formwork from deck section 5 to section 4</w:t>
            </w:r>
          </w:p>
          <w:p w:rsidR="00B52B08" w:rsidRPr="00BC60DB" w:rsidRDefault="00B52B08" w:rsidP="00B52B08"/>
        </w:tc>
        <w:tc>
          <w:tcPr>
            <w:tcW w:w="1902" w:type="dxa"/>
          </w:tcPr>
          <w:p w:rsidR="00B52B08" w:rsidRDefault="00B52B08" w:rsidP="00B52B08">
            <w:r>
              <w:t>2d</w:t>
            </w:r>
          </w:p>
        </w:tc>
      </w:tr>
      <w:tr w:rsidR="00B52B08" w:rsidTr="00B52B08">
        <w:trPr>
          <w:trHeight w:val="772"/>
        </w:trPr>
        <w:tc>
          <w:tcPr>
            <w:tcW w:w="3216" w:type="dxa"/>
          </w:tcPr>
          <w:p w:rsidR="00B52B08" w:rsidRDefault="00B52B08" w:rsidP="00B52B08">
            <w:r>
              <w:t>27</w:t>
            </w:r>
          </w:p>
        </w:tc>
        <w:tc>
          <w:tcPr>
            <w:tcW w:w="4590" w:type="dxa"/>
          </w:tcPr>
          <w:p w:rsidR="00B52B08" w:rsidRDefault="00B52B08" w:rsidP="00B52B08">
            <w:pPr>
              <w:rPr>
                <w:rFonts w:ascii="Calibri" w:hAnsi="Calibri" w:cs="Calibri"/>
                <w:color w:val="000000"/>
              </w:rPr>
            </w:pPr>
            <w:r>
              <w:rPr>
                <w:rFonts w:ascii="Calibri" w:hAnsi="Calibri" w:cs="Calibri"/>
                <w:color w:val="000000"/>
              </w:rPr>
              <w:t xml:space="preserve">Construct deck section 4, using section 5 as platform </w:t>
            </w:r>
          </w:p>
          <w:p w:rsidR="00B52B08" w:rsidRPr="00BC60DB" w:rsidRDefault="00B52B08" w:rsidP="00B52B08"/>
        </w:tc>
        <w:tc>
          <w:tcPr>
            <w:tcW w:w="1902" w:type="dxa"/>
          </w:tcPr>
          <w:p w:rsidR="00B52B08" w:rsidRDefault="00B52B08" w:rsidP="00B52B08">
            <w:r>
              <w:t>2weeks</w:t>
            </w:r>
          </w:p>
        </w:tc>
      </w:tr>
      <w:tr w:rsidR="00B52B08" w:rsidTr="00B52B08">
        <w:trPr>
          <w:trHeight w:val="1016"/>
        </w:trPr>
        <w:tc>
          <w:tcPr>
            <w:tcW w:w="3216" w:type="dxa"/>
          </w:tcPr>
          <w:p w:rsidR="00B52B08" w:rsidRDefault="00B52B08" w:rsidP="00B52B08">
            <w:r>
              <w:t>28</w:t>
            </w:r>
          </w:p>
        </w:tc>
        <w:tc>
          <w:tcPr>
            <w:tcW w:w="4590" w:type="dxa"/>
          </w:tcPr>
          <w:p w:rsidR="00B52B08" w:rsidRDefault="00B52B08" w:rsidP="00B52B08">
            <w:pPr>
              <w:rPr>
                <w:rFonts w:ascii="Calibri" w:hAnsi="Calibri" w:cs="Calibri"/>
                <w:color w:val="000000"/>
              </w:rPr>
            </w:pPr>
            <w:r>
              <w:rPr>
                <w:rFonts w:ascii="Calibri" w:hAnsi="Calibri" w:cs="Calibri"/>
                <w:color w:val="000000"/>
              </w:rPr>
              <w:t>Move formwork from section 4 to section 3 (assuming section 2 has no hold ups)</w:t>
            </w:r>
          </w:p>
          <w:p w:rsidR="00B52B08" w:rsidRPr="00BC60DB" w:rsidRDefault="00B52B08" w:rsidP="00B52B08"/>
        </w:tc>
        <w:tc>
          <w:tcPr>
            <w:tcW w:w="1902" w:type="dxa"/>
          </w:tcPr>
          <w:p w:rsidR="00B52B08" w:rsidRDefault="00B52B08" w:rsidP="00B52B08">
            <w:r>
              <w:t>2d</w:t>
            </w:r>
          </w:p>
        </w:tc>
      </w:tr>
      <w:tr w:rsidR="00B52B08" w:rsidTr="00B52B08">
        <w:trPr>
          <w:trHeight w:val="515"/>
        </w:trPr>
        <w:tc>
          <w:tcPr>
            <w:tcW w:w="3216" w:type="dxa"/>
          </w:tcPr>
          <w:p w:rsidR="00B52B08" w:rsidRDefault="00B52B08" w:rsidP="00B52B08">
            <w:r>
              <w:t>29</w:t>
            </w:r>
          </w:p>
        </w:tc>
        <w:tc>
          <w:tcPr>
            <w:tcW w:w="4590" w:type="dxa"/>
          </w:tcPr>
          <w:p w:rsidR="00B52B08" w:rsidRDefault="00B52B08" w:rsidP="00B52B08">
            <w:pPr>
              <w:rPr>
                <w:rFonts w:ascii="Calibri" w:hAnsi="Calibri" w:cs="Calibri"/>
                <w:color w:val="000000"/>
              </w:rPr>
            </w:pPr>
            <w:r>
              <w:rPr>
                <w:rFonts w:ascii="Calibri" w:hAnsi="Calibri" w:cs="Calibri"/>
                <w:color w:val="000000"/>
              </w:rPr>
              <w:t xml:space="preserve">Construct section 3 using section 4 as a platform </w:t>
            </w:r>
          </w:p>
          <w:p w:rsidR="00B52B08" w:rsidRPr="00BC60DB" w:rsidRDefault="00B52B08" w:rsidP="00B52B08"/>
        </w:tc>
        <w:tc>
          <w:tcPr>
            <w:tcW w:w="1902" w:type="dxa"/>
          </w:tcPr>
          <w:p w:rsidR="00B52B08" w:rsidRDefault="00B52B08" w:rsidP="00B52B08">
            <w:r>
              <w:t>2weeks</w:t>
            </w:r>
          </w:p>
        </w:tc>
      </w:tr>
      <w:tr w:rsidR="00B52B08" w:rsidTr="00B52B08">
        <w:trPr>
          <w:trHeight w:val="758"/>
        </w:trPr>
        <w:tc>
          <w:tcPr>
            <w:tcW w:w="3216" w:type="dxa"/>
          </w:tcPr>
          <w:p w:rsidR="00B52B08" w:rsidRDefault="00B52B08" w:rsidP="00B52B08">
            <w:r>
              <w:t>30</w:t>
            </w:r>
          </w:p>
        </w:tc>
        <w:tc>
          <w:tcPr>
            <w:tcW w:w="4590" w:type="dxa"/>
          </w:tcPr>
          <w:p w:rsidR="00B52B08" w:rsidRDefault="00B52B08" w:rsidP="00B52B08">
            <w:pPr>
              <w:rPr>
                <w:rFonts w:ascii="Calibri" w:hAnsi="Calibri" w:cs="Calibri"/>
                <w:color w:val="000000"/>
              </w:rPr>
            </w:pPr>
            <w:r>
              <w:rPr>
                <w:rFonts w:ascii="Calibri" w:hAnsi="Calibri" w:cs="Calibri"/>
                <w:color w:val="000000"/>
              </w:rPr>
              <w:t>Removal of formwork from deck section 3</w:t>
            </w:r>
          </w:p>
          <w:p w:rsidR="00B52B08" w:rsidRPr="00BC60DB" w:rsidRDefault="00B52B08" w:rsidP="00B52B08"/>
        </w:tc>
        <w:tc>
          <w:tcPr>
            <w:tcW w:w="1902" w:type="dxa"/>
          </w:tcPr>
          <w:p w:rsidR="00B52B08" w:rsidRDefault="00B52B08" w:rsidP="00B52B08">
            <w:r>
              <w:t>2d</w:t>
            </w:r>
          </w:p>
        </w:tc>
      </w:tr>
      <w:tr w:rsidR="00B52B08" w:rsidTr="00B52B08">
        <w:trPr>
          <w:trHeight w:val="1016"/>
        </w:trPr>
        <w:tc>
          <w:tcPr>
            <w:tcW w:w="3216" w:type="dxa"/>
          </w:tcPr>
          <w:p w:rsidR="00B52B08" w:rsidRDefault="00B52B08" w:rsidP="00B52B08">
            <w:r>
              <w:t>31</w:t>
            </w:r>
          </w:p>
        </w:tc>
        <w:tc>
          <w:tcPr>
            <w:tcW w:w="4590" w:type="dxa"/>
          </w:tcPr>
          <w:p w:rsidR="00B52B08" w:rsidRDefault="00B52B08" w:rsidP="00B52B08">
            <w:pPr>
              <w:rPr>
                <w:rFonts w:ascii="Calibri" w:hAnsi="Calibri" w:cs="Calibri"/>
                <w:color w:val="000000"/>
              </w:rPr>
            </w:pPr>
            <w:r>
              <w:rPr>
                <w:rFonts w:ascii="Calibri" w:hAnsi="Calibri" w:cs="Calibri"/>
                <w:color w:val="000000"/>
              </w:rPr>
              <w:t xml:space="preserve">Finishing on asphalt on abutment and snagging. Hand over to client </w:t>
            </w:r>
          </w:p>
          <w:p w:rsidR="00B52B08" w:rsidRPr="00BC60DB" w:rsidRDefault="00B52B08" w:rsidP="00B52B08"/>
        </w:tc>
        <w:tc>
          <w:tcPr>
            <w:tcW w:w="1902" w:type="dxa"/>
          </w:tcPr>
          <w:p w:rsidR="00B52B08" w:rsidRDefault="00B52B08" w:rsidP="00B52B08">
            <w:r>
              <w:t>4d</w:t>
            </w:r>
          </w:p>
        </w:tc>
      </w:tr>
      <w:tr w:rsidR="00560472" w:rsidTr="00B52B08">
        <w:trPr>
          <w:trHeight w:val="1016"/>
        </w:trPr>
        <w:tc>
          <w:tcPr>
            <w:tcW w:w="3216" w:type="dxa"/>
          </w:tcPr>
          <w:p w:rsidR="00560472" w:rsidRDefault="00560472" w:rsidP="00B52B08">
            <w:r>
              <w:t xml:space="preserve">Total Duration </w:t>
            </w:r>
          </w:p>
        </w:tc>
        <w:tc>
          <w:tcPr>
            <w:tcW w:w="4590" w:type="dxa"/>
          </w:tcPr>
          <w:p w:rsidR="00560472" w:rsidRDefault="00560472" w:rsidP="00B52B08">
            <w:pPr>
              <w:rPr>
                <w:rFonts w:ascii="Calibri" w:hAnsi="Calibri" w:cs="Calibri"/>
                <w:color w:val="000000"/>
              </w:rPr>
            </w:pPr>
          </w:p>
        </w:tc>
        <w:tc>
          <w:tcPr>
            <w:tcW w:w="1902" w:type="dxa"/>
          </w:tcPr>
          <w:p w:rsidR="00560472" w:rsidRDefault="00560472" w:rsidP="00B52B08">
            <w:r>
              <w:t>18 weeks</w:t>
            </w:r>
          </w:p>
        </w:tc>
      </w:tr>
    </w:tbl>
    <w:p w:rsidR="00B52B08" w:rsidRPr="00F40B6C" w:rsidRDefault="00B52B08" w:rsidP="00B52B08">
      <w:pPr>
        <w:rPr>
          <w:lang w:eastAsia="en-GB"/>
        </w:rPr>
      </w:pPr>
    </w:p>
    <w:p w:rsidR="00B52B08" w:rsidRDefault="00B52B08" w:rsidP="00B52B08">
      <w:pPr>
        <w:rPr>
          <w:lang w:eastAsia="en-GB"/>
        </w:rPr>
      </w:pPr>
    </w:p>
    <w:p w:rsidR="00B52B08" w:rsidRDefault="00B52B08" w:rsidP="00B52B08">
      <w:pPr>
        <w:pStyle w:val="Caption"/>
        <w:keepNext/>
      </w:pPr>
      <w:bookmarkStart w:id="17" w:name="_Toc506979916"/>
      <w:r>
        <w:t xml:space="preserve">Table </w:t>
      </w:r>
      <w:fldSimple w:instr=" SEQ Table \* ARABIC ">
        <w:r>
          <w:rPr>
            <w:noProof/>
          </w:rPr>
          <w:t>2</w:t>
        </w:r>
      </w:fldSimple>
      <w:r w:rsidR="00DF56A3">
        <w:t xml:space="preserve">. Showing the estimated </w:t>
      </w:r>
      <w:r>
        <w:t>figure of labourers needed for each month shown in figure 2.</w:t>
      </w:r>
      <w:bookmarkEnd w:id="17"/>
    </w:p>
    <w:tbl>
      <w:tblPr>
        <w:tblStyle w:val="TableGrid"/>
        <w:tblW w:w="0" w:type="auto"/>
        <w:tblLook w:val="04A0" w:firstRow="1" w:lastRow="0" w:firstColumn="1" w:lastColumn="0" w:noHBand="0" w:noVBand="1"/>
      </w:tblPr>
      <w:tblGrid>
        <w:gridCol w:w="4508"/>
        <w:gridCol w:w="4508"/>
      </w:tblGrid>
      <w:tr w:rsidR="00B52B08" w:rsidTr="00B52B08">
        <w:tc>
          <w:tcPr>
            <w:tcW w:w="4508" w:type="dxa"/>
          </w:tcPr>
          <w:p w:rsidR="00B52B08" w:rsidRDefault="00B52B08" w:rsidP="00B52B08">
            <w:pPr>
              <w:rPr>
                <w:lang w:eastAsia="en-GB"/>
              </w:rPr>
            </w:pPr>
            <w:r>
              <w:rPr>
                <w:lang w:eastAsia="en-GB"/>
              </w:rPr>
              <w:t xml:space="preserve">Month during the construction </w:t>
            </w:r>
          </w:p>
        </w:tc>
        <w:tc>
          <w:tcPr>
            <w:tcW w:w="4508" w:type="dxa"/>
          </w:tcPr>
          <w:p w:rsidR="00B52B08" w:rsidRDefault="00B52B08" w:rsidP="00B52B08">
            <w:pPr>
              <w:rPr>
                <w:lang w:eastAsia="en-GB"/>
              </w:rPr>
            </w:pPr>
            <w:r>
              <w:rPr>
                <w:lang w:eastAsia="en-GB"/>
              </w:rPr>
              <w:t>Labours per activity per month</w:t>
            </w:r>
          </w:p>
        </w:tc>
      </w:tr>
      <w:tr w:rsidR="00B52B08" w:rsidTr="00B52B08">
        <w:tc>
          <w:tcPr>
            <w:tcW w:w="4508" w:type="dxa"/>
          </w:tcPr>
          <w:p w:rsidR="00B52B08" w:rsidRDefault="00B52B08" w:rsidP="00B52B08">
            <w:pPr>
              <w:rPr>
                <w:lang w:eastAsia="en-GB"/>
              </w:rPr>
            </w:pPr>
            <w:r>
              <w:rPr>
                <w:lang w:eastAsia="en-GB"/>
              </w:rPr>
              <w:t xml:space="preserve">Month 1 </w:t>
            </w:r>
          </w:p>
        </w:tc>
        <w:tc>
          <w:tcPr>
            <w:tcW w:w="4508" w:type="dxa"/>
          </w:tcPr>
          <w:p w:rsidR="00B52B08" w:rsidRDefault="00B52B08" w:rsidP="00B52B08">
            <w:pPr>
              <w:rPr>
                <w:lang w:eastAsia="en-GB"/>
              </w:rPr>
            </w:pPr>
            <w:r>
              <w:rPr>
                <w:lang w:eastAsia="en-GB"/>
              </w:rPr>
              <w:t>61</w:t>
            </w:r>
          </w:p>
        </w:tc>
      </w:tr>
      <w:tr w:rsidR="00B52B08" w:rsidTr="00B52B08">
        <w:tc>
          <w:tcPr>
            <w:tcW w:w="4508" w:type="dxa"/>
          </w:tcPr>
          <w:p w:rsidR="00B52B08" w:rsidRDefault="00B52B08" w:rsidP="00B52B08">
            <w:pPr>
              <w:rPr>
                <w:lang w:eastAsia="en-GB"/>
              </w:rPr>
            </w:pPr>
            <w:r>
              <w:rPr>
                <w:lang w:eastAsia="en-GB"/>
              </w:rPr>
              <w:t>Month 2</w:t>
            </w:r>
          </w:p>
        </w:tc>
        <w:tc>
          <w:tcPr>
            <w:tcW w:w="4508" w:type="dxa"/>
          </w:tcPr>
          <w:p w:rsidR="00B52B08" w:rsidRDefault="00B52B08" w:rsidP="00B52B08">
            <w:pPr>
              <w:rPr>
                <w:lang w:eastAsia="en-GB"/>
              </w:rPr>
            </w:pPr>
            <w:r>
              <w:rPr>
                <w:lang w:eastAsia="en-GB"/>
              </w:rPr>
              <w:t>111</w:t>
            </w:r>
          </w:p>
        </w:tc>
      </w:tr>
      <w:tr w:rsidR="00B52B08" w:rsidTr="00B52B08">
        <w:tc>
          <w:tcPr>
            <w:tcW w:w="4508" w:type="dxa"/>
          </w:tcPr>
          <w:p w:rsidR="00B52B08" w:rsidRDefault="00B52B08" w:rsidP="00B52B08">
            <w:pPr>
              <w:rPr>
                <w:lang w:eastAsia="en-GB"/>
              </w:rPr>
            </w:pPr>
            <w:r>
              <w:rPr>
                <w:lang w:eastAsia="en-GB"/>
              </w:rPr>
              <w:t>Month 3</w:t>
            </w:r>
          </w:p>
        </w:tc>
        <w:tc>
          <w:tcPr>
            <w:tcW w:w="4508" w:type="dxa"/>
          </w:tcPr>
          <w:p w:rsidR="00B52B08" w:rsidRDefault="00B52B08" w:rsidP="00B52B08">
            <w:pPr>
              <w:rPr>
                <w:lang w:eastAsia="en-GB"/>
              </w:rPr>
            </w:pPr>
            <w:r>
              <w:rPr>
                <w:lang w:eastAsia="en-GB"/>
              </w:rPr>
              <w:t>126</w:t>
            </w:r>
          </w:p>
        </w:tc>
      </w:tr>
      <w:tr w:rsidR="00B52B08" w:rsidTr="00B52B08">
        <w:tc>
          <w:tcPr>
            <w:tcW w:w="4508" w:type="dxa"/>
          </w:tcPr>
          <w:p w:rsidR="00B52B08" w:rsidRDefault="00B52B08" w:rsidP="00B52B08">
            <w:pPr>
              <w:rPr>
                <w:lang w:eastAsia="en-GB"/>
              </w:rPr>
            </w:pPr>
            <w:r>
              <w:rPr>
                <w:lang w:eastAsia="en-GB"/>
              </w:rPr>
              <w:t>Month 4</w:t>
            </w:r>
          </w:p>
        </w:tc>
        <w:tc>
          <w:tcPr>
            <w:tcW w:w="4508" w:type="dxa"/>
          </w:tcPr>
          <w:p w:rsidR="00B52B08" w:rsidRDefault="00B52B08" w:rsidP="00B52B08">
            <w:pPr>
              <w:rPr>
                <w:lang w:eastAsia="en-GB"/>
              </w:rPr>
            </w:pPr>
            <w:r>
              <w:rPr>
                <w:lang w:eastAsia="en-GB"/>
              </w:rPr>
              <w:t>93</w:t>
            </w:r>
          </w:p>
        </w:tc>
      </w:tr>
      <w:tr w:rsidR="00B52B08" w:rsidTr="00B52B08">
        <w:tc>
          <w:tcPr>
            <w:tcW w:w="4508" w:type="dxa"/>
          </w:tcPr>
          <w:p w:rsidR="00B52B08" w:rsidRDefault="00B52B08" w:rsidP="00B52B08">
            <w:pPr>
              <w:rPr>
                <w:lang w:eastAsia="en-GB"/>
              </w:rPr>
            </w:pPr>
            <w:r>
              <w:rPr>
                <w:lang w:eastAsia="en-GB"/>
              </w:rPr>
              <w:t>Month 5</w:t>
            </w:r>
          </w:p>
        </w:tc>
        <w:tc>
          <w:tcPr>
            <w:tcW w:w="4508" w:type="dxa"/>
          </w:tcPr>
          <w:p w:rsidR="00B52B08" w:rsidRDefault="00B52B08" w:rsidP="00B52B08">
            <w:pPr>
              <w:rPr>
                <w:lang w:eastAsia="en-GB"/>
              </w:rPr>
            </w:pPr>
            <w:r>
              <w:rPr>
                <w:lang w:eastAsia="en-GB"/>
              </w:rPr>
              <w:t>14</w:t>
            </w:r>
          </w:p>
        </w:tc>
      </w:tr>
      <w:tr w:rsidR="00B52B08" w:rsidTr="00B52B08">
        <w:tc>
          <w:tcPr>
            <w:tcW w:w="4508" w:type="dxa"/>
          </w:tcPr>
          <w:p w:rsidR="00B52B08" w:rsidRDefault="00B52B08" w:rsidP="00B52B08">
            <w:pPr>
              <w:rPr>
                <w:lang w:eastAsia="en-GB"/>
              </w:rPr>
            </w:pPr>
            <w:r>
              <w:rPr>
                <w:lang w:eastAsia="en-GB"/>
              </w:rPr>
              <w:t xml:space="preserve">Total labour for the project </w:t>
            </w:r>
          </w:p>
        </w:tc>
        <w:tc>
          <w:tcPr>
            <w:tcW w:w="4508" w:type="dxa"/>
          </w:tcPr>
          <w:p w:rsidR="00B52B08" w:rsidRDefault="00B52B08" w:rsidP="00B52B08">
            <w:pPr>
              <w:rPr>
                <w:lang w:eastAsia="en-GB"/>
              </w:rPr>
            </w:pPr>
            <w:r>
              <w:rPr>
                <w:lang w:eastAsia="en-GB"/>
              </w:rPr>
              <w:t>405</w:t>
            </w:r>
          </w:p>
        </w:tc>
      </w:tr>
    </w:tbl>
    <w:p w:rsidR="00B52B08" w:rsidRDefault="00B52B08" w:rsidP="00B52B08">
      <w:pPr>
        <w:rPr>
          <w:rFonts w:eastAsiaTheme="minorEastAsia"/>
          <w:lang w:eastAsia="en-GB"/>
        </w:rPr>
      </w:pPr>
      <w:r>
        <w:rPr>
          <w:rFonts w:eastAsiaTheme="minorEastAsia"/>
          <w:lang w:eastAsia="en-GB"/>
        </w:rPr>
        <w:lastRenderedPageBreak/>
        <w:br/>
      </w:r>
    </w:p>
    <w:p w:rsidR="00B52B08" w:rsidRDefault="00B52B08" w:rsidP="00B52B08">
      <w:pPr>
        <w:rPr>
          <w:rFonts w:eastAsiaTheme="minorEastAsia"/>
          <w:lang w:eastAsia="en-GB"/>
        </w:rPr>
      </w:pPr>
    </w:p>
    <w:p w:rsidR="00B52B08" w:rsidRDefault="00B52B08" w:rsidP="00B52B08">
      <w:pPr>
        <w:pStyle w:val="Caption"/>
        <w:keepNext/>
      </w:pPr>
      <w:bookmarkStart w:id="18" w:name="_Toc506979917"/>
      <w:r>
        <w:t xml:space="preserve">Table </w:t>
      </w:r>
      <w:fldSimple w:instr=" SEQ Table \* ARABIC ">
        <w:r>
          <w:rPr>
            <w:noProof/>
          </w:rPr>
          <w:t>3</w:t>
        </w:r>
      </w:fldSimple>
      <w:r>
        <w:t>. Showing the estimated figures for the construction per month, shown in figure 3.</w:t>
      </w:r>
      <w:bookmarkEnd w:id="18"/>
    </w:p>
    <w:tbl>
      <w:tblPr>
        <w:tblStyle w:val="TableGrid"/>
        <w:tblW w:w="0" w:type="auto"/>
        <w:tblInd w:w="1178" w:type="dxa"/>
        <w:tblLook w:val="04A0" w:firstRow="1" w:lastRow="0" w:firstColumn="1" w:lastColumn="0" w:noHBand="0" w:noVBand="1"/>
      </w:tblPr>
      <w:tblGrid>
        <w:gridCol w:w="1838"/>
        <w:gridCol w:w="4820"/>
      </w:tblGrid>
      <w:tr w:rsidR="00B52B08" w:rsidTr="00B52B08">
        <w:tc>
          <w:tcPr>
            <w:tcW w:w="1838" w:type="dxa"/>
          </w:tcPr>
          <w:p w:rsidR="00B52B08" w:rsidRDefault="00B52B08" w:rsidP="00B52B08">
            <w:pPr>
              <w:rPr>
                <w:rFonts w:eastAsiaTheme="minorEastAsia"/>
                <w:lang w:eastAsia="en-GB"/>
              </w:rPr>
            </w:pPr>
            <w:r>
              <w:rPr>
                <w:rFonts w:eastAsiaTheme="minorEastAsia"/>
                <w:lang w:eastAsia="en-GB"/>
              </w:rPr>
              <w:t>Month of activity:</w:t>
            </w:r>
          </w:p>
        </w:tc>
        <w:tc>
          <w:tcPr>
            <w:tcW w:w="4820" w:type="dxa"/>
          </w:tcPr>
          <w:p w:rsidR="00B52B08" w:rsidRDefault="00B52B08" w:rsidP="00B52B08">
            <w:pPr>
              <w:rPr>
                <w:rFonts w:eastAsiaTheme="minorEastAsia"/>
                <w:lang w:eastAsia="en-GB"/>
              </w:rPr>
            </w:pPr>
            <w:r>
              <w:rPr>
                <w:rFonts w:eastAsiaTheme="minorEastAsia"/>
                <w:lang w:eastAsia="en-GB"/>
              </w:rPr>
              <w:t xml:space="preserve">Construction cost: </w:t>
            </w:r>
            <w:proofErr w:type="spellStart"/>
            <w:r>
              <w:rPr>
                <w:rFonts w:eastAsiaTheme="minorEastAsia"/>
                <w:lang w:eastAsia="en-GB"/>
              </w:rPr>
              <w:t>Incl</w:t>
            </w:r>
            <w:proofErr w:type="spellEnd"/>
            <w:r>
              <w:rPr>
                <w:rFonts w:eastAsiaTheme="minorEastAsia"/>
                <w:lang w:eastAsia="en-GB"/>
              </w:rPr>
              <w:t xml:space="preserve"> Labours, Plant and Material. </w:t>
            </w:r>
          </w:p>
        </w:tc>
      </w:tr>
      <w:tr w:rsidR="00B52B08" w:rsidTr="00B52B08">
        <w:tc>
          <w:tcPr>
            <w:tcW w:w="1838" w:type="dxa"/>
          </w:tcPr>
          <w:p w:rsidR="00B52B08" w:rsidRDefault="00B52B08" w:rsidP="00B52B08">
            <w:pPr>
              <w:rPr>
                <w:rFonts w:eastAsiaTheme="minorEastAsia"/>
                <w:lang w:eastAsia="en-GB"/>
              </w:rPr>
            </w:pPr>
            <w:r>
              <w:rPr>
                <w:rFonts w:eastAsiaTheme="minorEastAsia"/>
                <w:lang w:eastAsia="en-GB"/>
              </w:rPr>
              <w:t>Month 1</w:t>
            </w:r>
          </w:p>
        </w:tc>
        <w:tc>
          <w:tcPr>
            <w:tcW w:w="4820" w:type="dxa"/>
          </w:tcPr>
          <w:p w:rsidR="00B52B08" w:rsidRDefault="00B52B08" w:rsidP="00B52B08">
            <w:pPr>
              <w:rPr>
                <w:rFonts w:eastAsiaTheme="minorEastAsia"/>
                <w:lang w:eastAsia="en-GB"/>
              </w:rPr>
            </w:pPr>
            <w:r w:rsidRPr="009143A1">
              <w:rPr>
                <w:rFonts w:ascii="Calibri" w:eastAsia="Times New Roman" w:hAnsi="Calibri" w:cs="Calibri"/>
                <w:color w:val="000000"/>
                <w:lang w:eastAsia="en-GB"/>
              </w:rPr>
              <w:t>£123,286.29</w:t>
            </w:r>
          </w:p>
        </w:tc>
      </w:tr>
      <w:tr w:rsidR="00B52B08" w:rsidTr="00B52B08">
        <w:tc>
          <w:tcPr>
            <w:tcW w:w="1838" w:type="dxa"/>
          </w:tcPr>
          <w:p w:rsidR="00B52B08" w:rsidRDefault="00B52B08" w:rsidP="00B52B08">
            <w:pPr>
              <w:rPr>
                <w:rFonts w:eastAsiaTheme="minorEastAsia"/>
                <w:lang w:eastAsia="en-GB"/>
              </w:rPr>
            </w:pPr>
            <w:r>
              <w:rPr>
                <w:rFonts w:eastAsiaTheme="minorEastAsia"/>
                <w:lang w:eastAsia="en-GB"/>
              </w:rPr>
              <w:t>Month 2</w:t>
            </w:r>
          </w:p>
        </w:tc>
        <w:tc>
          <w:tcPr>
            <w:tcW w:w="4820" w:type="dxa"/>
          </w:tcPr>
          <w:p w:rsidR="00B52B08" w:rsidRDefault="00B52B08" w:rsidP="00B52B08">
            <w:pPr>
              <w:rPr>
                <w:rFonts w:eastAsiaTheme="minorEastAsia"/>
                <w:lang w:eastAsia="en-GB"/>
              </w:rPr>
            </w:pPr>
            <w:r w:rsidRPr="009143A1">
              <w:rPr>
                <w:rFonts w:ascii="Calibri" w:eastAsia="Times New Roman" w:hAnsi="Calibri" w:cs="Calibri"/>
                <w:color w:val="000000"/>
                <w:lang w:eastAsia="en-GB"/>
              </w:rPr>
              <w:t>£209,897.55</w:t>
            </w:r>
          </w:p>
        </w:tc>
      </w:tr>
      <w:tr w:rsidR="00B52B08" w:rsidTr="00B52B08">
        <w:tc>
          <w:tcPr>
            <w:tcW w:w="1838" w:type="dxa"/>
          </w:tcPr>
          <w:p w:rsidR="00B52B08" w:rsidRDefault="00B52B08" w:rsidP="00B52B08">
            <w:pPr>
              <w:rPr>
                <w:rFonts w:eastAsiaTheme="minorEastAsia"/>
                <w:lang w:eastAsia="en-GB"/>
              </w:rPr>
            </w:pPr>
            <w:r>
              <w:rPr>
                <w:rFonts w:eastAsiaTheme="minorEastAsia"/>
                <w:lang w:eastAsia="en-GB"/>
              </w:rPr>
              <w:t>Month 3</w:t>
            </w:r>
          </w:p>
        </w:tc>
        <w:tc>
          <w:tcPr>
            <w:tcW w:w="4820" w:type="dxa"/>
          </w:tcPr>
          <w:p w:rsidR="00B52B08" w:rsidRDefault="00B52B08" w:rsidP="00B52B08">
            <w:pPr>
              <w:rPr>
                <w:rFonts w:eastAsiaTheme="minorEastAsia"/>
                <w:lang w:eastAsia="en-GB"/>
              </w:rPr>
            </w:pPr>
            <w:r w:rsidRPr="009143A1">
              <w:rPr>
                <w:rFonts w:ascii="Calibri" w:eastAsia="Times New Roman" w:hAnsi="Calibri" w:cs="Calibri"/>
                <w:color w:val="000000"/>
                <w:lang w:eastAsia="en-GB"/>
              </w:rPr>
              <w:t>£96,396</w:t>
            </w:r>
          </w:p>
        </w:tc>
      </w:tr>
      <w:tr w:rsidR="00B52B08" w:rsidTr="00B52B08">
        <w:tc>
          <w:tcPr>
            <w:tcW w:w="1838" w:type="dxa"/>
          </w:tcPr>
          <w:p w:rsidR="00B52B08" w:rsidRDefault="00B52B08" w:rsidP="00B52B08">
            <w:pPr>
              <w:rPr>
                <w:rFonts w:eastAsiaTheme="minorEastAsia"/>
                <w:lang w:eastAsia="en-GB"/>
              </w:rPr>
            </w:pPr>
            <w:r>
              <w:rPr>
                <w:rFonts w:eastAsiaTheme="minorEastAsia"/>
                <w:lang w:eastAsia="en-GB"/>
              </w:rPr>
              <w:t>Month 4</w:t>
            </w:r>
          </w:p>
        </w:tc>
        <w:tc>
          <w:tcPr>
            <w:tcW w:w="4820" w:type="dxa"/>
          </w:tcPr>
          <w:p w:rsidR="00B52B08" w:rsidRDefault="00B52B08" w:rsidP="00B52B08">
            <w:pPr>
              <w:rPr>
                <w:rFonts w:eastAsiaTheme="minorEastAsia"/>
                <w:lang w:eastAsia="en-GB"/>
              </w:rPr>
            </w:pPr>
            <w:r w:rsidRPr="009143A1">
              <w:rPr>
                <w:rFonts w:ascii="Calibri" w:eastAsia="Times New Roman" w:hAnsi="Calibri" w:cs="Calibri"/>
                <w:color w:val="000000"/>
                <w:lang w:eastAsia="en-GB"/>
              </w:rPr>
              <w:t>£46,936</w:t>
            </w:r>
          </w:p>
        </w:tc>
      </w:tr>
      <w:tr w:rsidR="00B52B08" w:rsidTr="00B52B08">
        <w:tc>
          <w:tcPr>
            <w:tcW w:w="1838" w:type="dxa"/>
          </w:tcPr>
          <w:p w:rsidR="00B52B08" w:rsidRDefault="008D5E5A" w:rsidP="00B52B08">
            <w:pPr>
              <w:rPr>
                <w:rFonts w:eastAsiaTheme="minorEastAsia"/>
                <w:lang w:eastAsia="en-GB"/>
              </w:rPr>
            </w:pPr>
            <w:r>
              <w:rPr>
                <w:rFonts w:eastAsiaTheme="minorEastAsia"/>
                <w:lang w:eastAsia="en-GB"/>
              </w:rPr>
              <w:t>Month 5</w:t>
            </w:r>
          </w:p>
        </w:tc>
        <w:tc>
          <w:tcPr>
            <w:tcW w:w="4820" w:type="dxa"/>
          </w:tcPr>
          <w:p w:rsidR="00B52B08" w:rsidRDefault="00B52B08" w:rsidP="00B52B08">
            <w:pPr>
              <w:rPr>
                <w:rFonts w:eastAsiaTheme="minorEastAsia"/>
                <w:lang w:eastAsia="en-GB"/>
              </w:rPr>
            </w:pPr>
            <w:r w:rsidRPr="009143A1">
              <w:rPr>
                <w:rFonts w:ascii="Calibri" w:eastAsia="Times New Roman" w:hAnsi="Calibri" w:cs="Calibri"/>
                <w:color w:val="000000"/>
                <w:lang w:eastAsia="en-GB"/>
              </w:rPr>
              <w:t>£4,060</w:t>
            </w:r>
          </w:p>
        </w:tc>
      </w:tr>
      <w:tr w:rsidR="00B52B08" w:rsidTr="00B52B08">
        <w:trPr>
          <w:trHeight w:val="315"/>
        </w:trPr>
        <w:tc>
          <w:tcPr>
            <w:tcW w:w="1838" w:type="dxa"/>
          </w:tcPr>
          <w:p w:rsidR="00B52B08" w:rsidRDefault="00B52B08" w:rsidP="00B52B08">
            <w:pPr>
              <w:rPr>
                <w:rFonts w:eastAsiaTheme="minorEastAsia"/>
                <w:lang w:eastAsia="en-GB"/>
              </w:rPr>
            </w:pPr>
            <w:r>
              <w:rPr>
                <w:rFonts w:eastAsiaTheme="minorEastAsia"/>
                <w:lang w:eastAsia="en-GB"/>
              </w:rPr>
              <w:t xml:space="preserve">Total cost </w:t>
            </w:r>
          </w:p>
        </w:tc>
        <w:tc>
          <w:tcPr>
            <w:tcW w:w="4820" w:type="dxa"/>
          </w:tcPr>
          <w:p w:rsidR="00B52B08" w:rsidRPr="006F771D" w:rsidRDefault="00B52B08" w:rsidP="00B52B08">
            <w:pPr>
              <w:rPr>
                <w:rFonts w:ascii="Calibri" w:hAnsi="Calibri" w:cs="Calibri"/>
                <w:color w:val="000000"/>
              </w:rPr>
            </w:pPr>
            <w:r>
              <w:rPr>
                <w:rFonts w:ascii="Calibri" w:hAnsi="Calibri" w:cs="Calibri"/>
                <w:color w:val="000000"/>
              </w:rPr>
              <w:t>£480,575.84</w:t>
            </w:r>
          </w:p>
        </w:tc>
      </w:tr>
    </w:tbl>
    <w:p w:rsidR="00B52B08" w:rsidRDefault="00B52B08" w:rsidP="00B52B08">
      <w:pPr>
        <w:rPr>
          <w:lang w:eastAsia="en-GB"/>
        </w:rPr>
      </w:pPr>
    </w:p>
    <w:p w:rsidR="00E44DC9" w:rsidRPr="00E44DC9" w:rsidRDefault="00E44DC9" w:rsidP="00E44DC9"/>
    <w:p w:rsidR="00E44DC9" w:rsidRPr="00E44DC9" w:rsidRDefault="00E44DC9" w:rsidP="00E44DC9"/>
    <w:p w:rsidR="00E44DC9" w:rsidRDefault="00E44DC9" w:rsidP="00E44DC9"/>
    <w:p w:rsidR="00D95D5C" w:rsidRDefault="00D95D5C" w:rsidP="00E44DC9">
      <w:pPr>
        <w:rPr>
          <w:noProof/>
          <w:lang w:eastAsia="en-GB"/>
        </w:rPr>
      </w:pPr>
    </w:p>
    <w:p w:rsidR="00D95D5C" w:rsidRPr="00E44DC9" w:rsidRDefault="00D95D5C" w:rsidP="00E44DC9"/>
    <w:p w:rsidR="00E44DC9" w:rsidRPr="00E44DC9" w:rsidRDefault="00E44DC9" w:rsidP="00E44DC9"/>
    <w:p w:rsidR="00D95D5C" w:rsidRDefault="00D95D5C" w:rsidP="00E44DC9">
      <w:pPr>
        <w:rPr>
          <w:noProof/>
          <w:lang w:eastAsia="en-GB"/>
        </w:rPr>
      </w:pPr>
    </w:p>
    <w:p w:rsidR="00E44DC9" w:rsidRPr="00E44DC9" w:rsidRDefault="00E44DC9" w:rsidP="00E44DC9"/>
    <w:p w:rsidR="00D95D5C" w:rsidRDefault="00D95D5C" w:rsidP="00E44DC9">
      <w:pPr>
        <w:rPr>
          <w:noProof/>
          <w:lang w:eastAsia="en-GB"/>
        </w:rPr>
      </w:pPr>
    </w:p>
    <w:p w:rsidR="00622375" w:rsidRDefault="00622375" w:rsidP="00E44DC9"/>
    <w:p w:rsidR="00D95D5C" w:rsidRDefault="00D95D5C" w:rsidP="00E44DC9"/>
    <w:p w:rsidR="00D95D5C" w:rsidRDefault="00D95D5C" w:rsidP="00E44DC9"/>
    <w:p w:rsidR="00D95D5C" w:rsidRDefault="00D95D5C" w:rsidP="00E44DC9"/>
    <w:p w:rsidR="00D95D5C" w:rsidRDefault="00D95D5C" w:rsidP="00E44DC9"/>
    <w:p w:rsidR="00D95D5C" w:rsidRPr="00E44DC9" w:rsidRDefault="00D95D5C" w:rsidP="00E44DC9"/>
    <w:sectPr w:rsidR="00D95D5C" w:rsidRPr="00E44DC9" w:rsidSect="008518B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50BC" w:rsidRDefault="00D150BC" w:rsidP="00B52B08">
      <w:pPr>
        <w:spacing w:after="0" w:line="240" w:lineRule="auto"/>
      </w:pPr>
      <w:r>
        <w:separator/>
      </w:r>
    </w:p>
  </w:endnote>
  <w:endnote w:type="continuationSeparator" w:id="0">
    <w:p w:rsidR="00D150BC" w:rsidRDefault="00D150BC" w:rsidP="00B52B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36539325"/>
      <w:docPartObj>
        <w:docPartGallery w:val="Page Numbers (Bottom of Page)"/>
        <w:docPartUnique/>
      </w:docPartObj>
    </w:sdtPr>
    <w:sdtEndPr>
      <w:rPr>
        <w:noProof/>
      </w:rPr>
    </w:sdtEndPr>
    <w:sdtContent>
      <w:p w:rsidR="00D150BC" w:rsidRDefault="00D150BC">
        <w:pPr>
          <w:pStyle w:val="Footer"/>
          <w:jc w:val="right"/>
        </w:pPr>
        <w:r>
          <w:fldChar w:fldCharType="begin"/>
        </w:r>
        <w:r>
          <w:instrText xml:space="preserve"> PAGE   \* MERGEFORMAT </w:instrText>
        </w:r>
        <w:r>
          <w:fldChar w:fldCharType="separate"/>
        </w:r>
        <w:r w:rsidR="00C75946">
          <w:rPr>
            <w:noProof/>
          </w:rPr>
          <w:t>13</w:t>
        </w:r>
        <w:r>
          <w:rPr>
            <w:noProof/>
          </w:rPr>
          <w:fldChar w:fldCharType="end"/>
        </w:r>
      </w:p>
    </w:sdtContent>
  </w:sdt>
  <w:p w:rsidR="00D150BC" w:rsidRDefault="00D150B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50BC" w:rsidRDefault="00D150BC" w:rsidP="00B52B08">
      <w:pPr>
        <w:spacing w:after="0" w:line="240" w:lineRule="auto"/>
      </w:pPr>
      <w:r>
        <w:separator/>
      </w:r>
    </w:p>
  </w:footnote>
  <w:footnote w:type="continuationSeparator" w:id="0">
    <w:p w:rsidR="00D150BC" w:rsidRDefault="00D150BC" w:rsidP="00B52B0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F30094"/>
    <w:multiLevelType w:val="hybridMultilevel"/>
    <w:tmpl w:val="2FBA41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911DEB"/>
    <w:multiLevelType w:val="hybridMultilevel"/>
    <w:tmpl w:val="F3D86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E01AB1"/>
    <w:multiLevelType w:val="multilevel"/>
    <w:tmpl w:val="606C8B0A"/>
    <w:lvl w:ilvl="0">
      <w:start w:val="1"/>
      <w:numFmt w:val="decimal"/>
      <w:lvlText w:val="%1.0"/>
      <w:lvlJc w:val="left"/>
      <w:pPr>
        <w:ind w:left="1080" w:hanging="7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680" w:hanging="144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560" w:hanging="2160"/>
      </w:pPr>
      <w:rPr>
        <w:rFonts w:hint="default"/>
      </w:rPr>
    </w:lvl>
    <w:lvl w:ilvl="8">
      <w:start w:val="1"/>
      <w:numFmt w:val="decimal"/>
      <w:lvlText w:val="%1.%2.%3.%4.%5.%6.%7.%8.%9"/>
      <w:lvlJc w:val="left"/>
      <w:pPr>
        <w:ind w:left="8280"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18B4"/>
    <w:rsid w:val="000121CD"/>
    <w:rsid w:val="000400C2"/>
    <w:rsid w:val="00062D89"/>
    <w:rsid w:val="00077D3E"/>
    <w:rsid w:val="000A2639"/>
    <w:rsid w:val="000B2713"/>
    <w:rsid w:val="000B7BA9"/>
    <w:rsid w:val="0012542F"/>
    <w:rsid w:val="00136C22"/>
    <w:rsid w:val="001A14FF"/>
    <w:rsid w:val="001E2ADA"/>
    <w:rsid w:val="00201DB3"/>
    <w:rsid w:val="00211E4F"/>
    <w:rsid w:val="00256F91"/>
    <w:rsid w:val="00277D07"/>
    <w:rsid w:val="00307D41"/>
    <w:rsid w:val="003868CA"/>
    <w:rsid w:val="003C00FC"/>
    <w:rsid w:val="00416CCC"/>
    <w:rsid w:val="004B1858"/>
    <w:rsid w:val="004B79B0"/>
    <w:rsid w:val="004E7A31"/>
    <w:rsid w:val="00512455"/>
    <w:rsid w:val="00560472"/>
    <w:rsid w:val="00560906"/>
    <w:rsid w:val="00595084"/>
    <w:rsid w:val="005A6B4E"/>
    <w:rsid w:val="0060338B"/>
    <w:rsid w:val="00604B2D"/>
    <w:rsid w:val="00606A8C"/>
    <w:rsid w:val="00622375"/>
    <w:rsid w:val="0069443C"/>
    <w:rsid w:val="006D6FD1"/>
    <w:rsid w:val="006F771D"/>
    <w:rsid w:val="0073012D"/>
    <w:rsid w:val="00746EE9"/>
    <w:rsid w:val="00770F17"/>
    <w:rsid w:val="00776846"/>
    <w:rsid w:val="0078064E"/>
    <w:rsid w:val="007D0568"/>
    <w:rsid w:val="00811DED"/>
    <w:rsid w:val="00812C3B"/>
    <w:rsid w:val="00826372"/>
    <w:rsid w:val="00840AFE"/>
    <w:rsid w:val="008518B4"/>
    <w:rsid w:val="008D5E5A"/>
    <w:rsid w:val="009143A1"/>
    <w:rsid w:val="00941D81"/>
    <w:rsid w:val="0096092B"/>
    <w:rsid w:val="009645A0"/>
    <w:rsid w:val="009C5B68"/>
    <w:rsid w:val="00A07E0A"/>
    <w:rsid w:val="00A253C2"/>
    <w:rsid w:val="00A37B7F"/>
    <w:rsid w:val="00A8210C"/>
    <w:rsid w:val="00AA428E"/>
    <w:rsid w:val="00AC02D5"/>
    <w:rsid w:val="00AC5C2F"/>
    <w:rsid w:val="00AF3FA2"/>
    <w:rsid w:val="00B05B60"/>
    <w:rsid w:val="00B0712D"/>
    <w:rsid w:val="00B33125"/>
    <w:rsid w:val="00B41572"/>
    <w:rsid w:val="00B450F5"/>
    <w:rsid w:val="00B52B08"/>
    <w:rsid w:val="00BB770A"/>
    <w:rsid w:val="00BC60DB"/>
    <w:rsid w:val="00BE0F86"/>
    <w:rsid w:val="00C550FA"/>
    <w:rsid w:val="00C75946"/>
    <w:rsid w:val="00CA6820"/>
    <w:rsid w:val="00CB7697"/>
    <w:rsid w:val="00CD4985"/>
    <w:rsid w:val="00D00C08"/>
    <w:rsid w:val="00D150BC"/>
    <w:rsid w:val="00D71975"/>
    <w:rsid w:val="00D95D5C"/>
    <w:rsid w:val="00DF56A3"/>
    <w:rsid w:val="00E04DCD"/>
    <w:rsid w:val="00E07D61"/>
    <w:rsid w:val="00E21684"/>
    <w:rsid w:val="00E44DC9"/>
    <w:rsid w:val="00EC197D"/>
    <w:rsid w:val="00F40B6C"/>
    <w:rsid w:val="00F61045"/>
    <w:rsid w:val="00F70206"/>
    <w:rsid w:val="00F85648"/>
    <w:rsid w:val="00F87427"/>
    <w:rsid w:val="00FB418F"/>
    <w:rsid w:val="00FD4F77"/>
    <w:rsid w:val="00FF52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50B6E0-066D-434C-9047-11D98C821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400C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518B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518B4"/>
    <w:rPr>
      <w:rFonts w:eastAsiaTheme="minorEastAsia"/>
      <w:lang w:val="en-US"/>
    </w:rPr>
  </w:style>
  <w:style w:type="character" w:customStyle="1" w:styleId="Heading1Char">
    <w:name w:val="Heading 1 Char"/>
    <w:basedOn w:val="DefaultParagraphFont"/>
    <w:link w:val="Heading1"/>
    <w:uiPriority w:val="9"/>
    <w:rsid w:val="000400C2"/>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AA428E"/>
    <w:pPr>
      <w:ind w:left="720"/>
      <w:contextualSpacing/>
    </w:pPr>
  </w:style>
  <w:style w:type="paragraph" w:styleId="Caption">
    <w:name w:val="caption"/>
    <w:basedOn w:val="Normal"/>
    <w:next w:val="Normal"/>
    <w:uiPriority w:val="35"/>
    <w:unhideWhenUsed/>
    <w:qFormat/>
    <w:rsid w:val="003C00FC"/>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4E7A31"/>
  </w:style>
  <w:style w:type="paragraph" w:styleId="TOCHeading">
    <w:name w:val="TOC Heading"/>
    <w:basedOn w:val="Heading1"/>
    <w:next w:val="Normal"/>
    <w:uiPriority w:val="39"/>
    <w:unhideWhenUsed/>
    <w:qFormat/>
    <w:rsid w:val="004E7A31"/>
    <w:pPr>
      <w:outlineLvl w:val="9"/>
    </w:pPr>
    <w:rPr>
      <w:lang w:val="en-US"/>
    </w:rPr>
  </w:style>
  <w:style w:type="paragraph" w:styleId="TOC1">
    <w:name w:val="toc 1"/>
    <w:basedOn w:val="Normal"/>
    <w:next w:val="Normal"/>
    <w:autoRedefine/>
    <w:uiPriority w:val="39"/>
    <w:unhideWhenUsed/>
    <w:rsid w:val="004E7A31"/>
    <w:pPr>
      <w:spacing w:after="100"/>
    </w:pPr>
  </w:style>
  <w:style w:type="character" w:styleId="Hyperlink">
    <w:name w:val="Hyperlink"/>
    <w:basedOn w:val="DefaultParagraphFont"/>
    <w:uiPriority w:val="99"/>
    <w:unhideWhenUsed/>
    <w:rsid w:val="004E7A31"/>
    <w:rPr>
      <w:color w:val="0563C1" w:themeColor="hyperlink"/>
      <w:u w:val="single"/>
    </w:rPr>
  </w:style>
  <w:style w:type="table" w:styleId="TableGrid">
    <w:name w:val="Table Grid"/>
    <w:basedOn w:val="TableNormal"/>
    <w:uiPriority w:val="39"/>
    <w:rsid w:val="006223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26372"/>
    <w:rPr>
      <w:color w:val="808080"/>
    </w:rPr>
  </w:style>
  <w:style w:type="paragraph" w:styleId="Header">
    <w:name w:val="header"/>
    <w:basedOn w:val="Normal"/>
    <w:link w:val="HeaderChar"/>
    <w:uiPriority w:val="99"/>
    <w:unhideWhenUsed/>
    <w:rsid w:val="00B52B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2B08"/>
  </w:style>
  <w:style w:type="paragraph" w:styleId="Footer">
    <w:name w:val="footer"/>
    <w:basedOn w:val="Normal"/>
    <w:link w:val="FooterChar"/>
    <w:uiPriority w:val="99"/>
    <w:unhideWhenUsed/>
    <w:rsid w:val="00B52B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2B08"/>
  </w:style>
  <w:style w:type="paragraph" w:styleId="TableofFigures">
    <w:name w:val="table of figures"/>
    <w:basedOn w:val="Normal"/>
    <w:next w:val="Normal"/>
    <w:uiPriority w:val="99"/>
    <w:unhideWhenUsed/>
    <w:rsid w:val="00B52B0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35434">
      <w:bodyDiv w:val="1"/>
      <w:marLeft w:val="0"/>
      <w:marRight w:val="0"/>
      <w:marTop w:val="0"/>
      <w:marBottom w:val="0"/>
      <w:divBdr>
        <w:top w:val="none" w:sz="0" w:space="0" w:color="auto"/>
        <w:left w:val="none" w:sz="0" w:space="0" w:color="auto"/>
        <w:bottom w:val="none" w:sz="0" w:space="0" w:color="auto"/>
        <w:right w:val="none" w:sz="0" w:space="0" w:color="auto"/>
      </w:divBdr>
    </w:div>
    <w:div w:id="48068112">
      <w:bodyDiv w:val="1"/>
      <w:marLeft w:val="0"/>
      <w:marRight w:val="0"/>
      <w:marTop w:val="0"/>
      <w:marBottom w:val="0"/>
      <w:divBdr>
        <w:top w:val="none" w:sz="0" w:space="0" w:color="auto"/>
        <w:left w:val="none" w:sz="0" w:space="0" w:color="auto"/>
        <w:bottom w:val="none" w:sz="0" w:space="0" w:color="auto"/>
        <w:right w:val="none" w:sz="0" w:space="0" w:color="auto"/>
      </w:divBdr>
    </w:div>
    <w:div w:id="74592845">
      <w:bodyDiv w:val="1"/>
      <w:marLeft w:val="0"/>
      <w:marRight w:val="0"/>
      <w:marTop w:val="0"/>
      <w:marBottom w:val="0"/>
      <w:divBdr>
        <w:top w:val="none" w:sz="0" w:space="0" w:color="auto"/>
        <w:left w:val="none" w:sz="0" w:space="0" w:color="auto"/>
        <w:bottom w:val="none" w:sz="0" w:space="0" w:color="auto"/>
        <w:right w:val="none" w:sz="0" w:space="0" w:color="auto"/>
      </w:divBdr>
    </w:div>
    <w:div w:id="123473803">
      <w:bodyDiv w:val="1"/>
      <w:marLeft w:val="0"/>
      <w:marRight w:val="0"/>
      <w:marTop w:val="0"/>
      <w:marBottom w:val="0"/>
      <w:divBdr>
        <w:top w:val="none" w:sz="0" w:space="0" w:color="auto"/>
        <w:left w:val="none" w:sz="0" w:space="0" w:color="auto"/>
        <w:bottom w:val="none" w:sz="0" w:space="0" w:color="auto"/>
        <w:right w:val="none" w:sz="0" w:space="0" w:color="auto"/>
      </w:divBdr>
    </w:div>
    <w:div w:id="166213550">
      <w:bodyDiv w:val="1"/>
      <w:marLeft w:val="0"/>
      <w:marRight w:val="0"/>
      <w:marTop w:val="0"/>
      <w:marBottom w:val="0"/>
      <w:divBdr>
        <w:top w:val="none" w:sz="0" w:space="0" w:color="auto"/>
        <w:left w:val="none" w:sz="0" w:space="0" w:color="auto"/>
        <w:bottom w:val="none" w:sz="0" w:space="0" w:color="auto"/>
        <w:right w:val="none" w:sz="0" w:space="0" w:color="auto"/>
      </w:divBdr>
    </w:div>
    <w:div w:id="170142175">
      <w:bodyDiv w:val="1"/>
      <w:marLeft w:val="0"/>
      <w:marRight w:val="0"/>
      <w:marTop w:val="0"/>
      <w:marBottom w:val="0"/>
      <w:divBdr>
        <w:top w:val="none" w:sz="0" w:space="0" w:color="auto"/>
        <w:left w:val="none" w:sz="0" w:space="0" w:color="auto"/>
        <w:bottom w:val="none" w:sz="0" w:space="0" w:color="auto"/>
        <w:right w:val="none" w:sz="0" w:space="0" w:color="auto"/>
      </w:divBdr>
    </w:div>
    <w:div w:id="298730870">
      <w:bodyDiv w:val="1"/>
      <w:marLeft w:val="0"/>
      <w:marRight w:val="0"/>
      <w:marTop w:val="0"/>
      <w:marBottom w:val="0"/>
      <w:divBdr>
        <w:top w:val="none" w:sz="0" w:space="0" w:color="auto"/>
        <w:left w:val="none" w:sz="0" w:space="0" w:color="auto"/>
        <w:bottom w:val="none" w:sz="0" w:space="0" w:color="auto"/>
        <w:right w:val="none" w:sz="0" w:space="0" w:color="auto"/>
      </w:divBdr>
    </w:div>
    <w:div w:id="304891737">
      <w:bodyDiv w:val="1"/>
      <w:marLeft w:val="0"/>
      <w:marRight w:val="0"/>
      <w:marTop w:val="0"/>
      <w:marBottom w:val="0"/>
      <w:divBdr>
        <w:top w:val="none" w:sz="0" w:space="0" w:color="auto"/>
        <w:left w:val="none" w:sz="0" w:space="0" w:color="auto"/>
        <w:bottom w:val="none" w:sz="0" w:space="0" w:color="auto"/>
        <w:right w:val="none" w:sz="0" w:space="0" w:color="auto"/>
      </w:divBdr>
    </w:div>
    <w:div w:id="316613049">
      <w:bodyDiv w:val="1"/>
      <w:marLeft w:val="0"/>
      <w:marRight w:val="0"/>
      <w:marTop w:val="0"/>
      <w:marBottom w:val="0"/>
      <w:divBdr>
        <w:top w:val="none" w:sz="0" w:space="0" w:color="auto"/>
        <w:left w:val="none" w:sz="0" w:space="0" w:color="auto"/>
        <w:bottom w:val="none" w:sz="0" w:space="0" w:color="auto"/>
        <w:right w:val="none" w:sz="0" w:space="0" w:color="auto"/>
      </w:divBdr>
    </w:div>
    <w:div w:id="348600940">
      <w:bodyDiv w:val="1"/>
      <w:marLeft w:val="0"/>
      <w:marRight w:val="0"/>
      <w:marTop w:val="0"/>
      <w:marBottom w:val="0"/>
      <w:divBdr>
        <w:top w:val="none" w:sz="0" w:space="0" w:color="auto"/>
        <w:left w:val="none" w:sz="0" w:space="0" w:color="auto"/>
        <w:bottom w:val="none" w:sz="0" w:space="0" w:color="auto"/>
        <w:right w:val="none" w:sz="0" w:space="0" w:color="auto"/>
      </w:divBdr>
    </w:div>
    <w:div w:id="352191929">
      <w:bodyDiv w:val="1"/>
      <w:marLeft w:val="0"/>
      <w:marRight w:val="0"/>
      <w:marTop w:val="0"/>
      <w:marBottom w:val="0"/>
      <w:divBdr>
        <w:top w:val="none" w:sz="0" w:space="0" w:color="auto"/>
        <w:left w:val="none" w:sz="0" w:space="0" w:color="auto"/>
        <w:bottom w:val="none" w:sz="0" w:space="0" w:color="auto"/>
        <w:right w:val="none" w:sz="0" w:space="0" w:color="auto"/>
      </w:divBdr>
    </w:div>
    <w:div w:id="368069343">
      <w:bodyDiv w:val="1"/>
      <w:marLeft w:val="0"/>
      <w:marRight w:val="0"/>
      <w:marTop w:val="0"/>
      <w:marBottom w:val="0"/>
      <w:divBdr>
        <w:top w:val="none" w:sz="0" w:space="0" w:color="auto"/>
        <w:left w:val="none" w:sz="0" w:space="0" w:color="auto"/>
        <w:bottom w:val="none" w:sz="0" w:space="0" w:color="auto"/>
        <w:right w:val="none" w:sz="0" w:space="0" w:color="auto"/>
      </w:divBdr>
    </w:div>
    <w:div w:id="373503217">
      <w:bodyDiv w:val="1"/>
      <w:marLeft w:val="0"/>
      <w:marRight w:val="0"/>
      <w:marTop w:val="0"/>
      <w:marBottom w:val="0"/>
      <w:divBdr>
        <w:top w:val="none" w:sz="0" w:space="0" w:color="auto"/>
        <w:left w:val="none" w:sz="0" w:space="0" w:color="auto"/>
        <w:bottom w:val="none" w:sz="0" w:space="0" w:color="auto"/>
        <w:right w:val="none" w:sz="0" w:space="0" w:color="auto"/>
      </w:divBdr>
    </w:div>
    <w:div w:id="398674444">
      <w:bodyDiv w:val="1"/>
      <w:marLeft w:val="0"/>
      <w:marRight w:val="0"/>
      <w:marTop w:val="0"/>
      <w:marBottom w:val="0"/>
      <w:divBdr>
        <w:top w:val="none" w:sz="0" w:space="0" w:color="auto"/>
        <w:left w:val="none" w:sz="0" w:space="0" w:color="auto"/>
        <w:bottom w:val="none" w:sz="0" w:space="0" w:color="auto"/>
        <w:right w:val="none" w:sz="0" w:space="0" w:color="auto"/>
      </w:divBdr>
    </w:div>
    <w:div w:id="432674342">
      <w:bodyDiv w:val="1"/>
      <w:marLeft w:val="0"/>
      <w:marRight w:val="0"/>
      <w:marTop w:val="0"/>
      <w:marBottom w:val="0"/>
      <w:divBdr>
        <w:top w:val="none" w:sz="0" w:space="0" w:color="auto"/>
        <w:left w:val="none" w:sz="0" w:space="0" w:color="auto"/>
        <w:bottom w:val="none" w:sz="0" w:space="0" w:color="auto"/>
        <w:right w:val="none" w:sz="0" w:space="0" w:color="auto"/>
      </w:divBdr>
    </w:div>
    <w:div w:id="440077231">
      <w:bodyDiv w:val="1"/>
      <w:marLeft w:val="0"/>
      <w:marRight w:val="0"/>
      <w:marTop w:val="0"/>
      <w:marBottom w:val="0"/>
      <w:divBdr>
        <w:top w:val="none" w:sz="0" w:space="0" w:color="auto"/>
        <w:left w:val="none" w:sz="0" w:space="0" w:color="auto"/>
        <w:bottom w:val="none" w:sz="0" w:space="0" w:color="auto"/>
        <w:right w:val="none" w:sz="0" w:space="0" w:color="auto"/>
      </w:divBdr>
    </w:div>
    <w:div w:id="441611481">
      <w:bodyDiv w:val="1"/>
      <w:marLeft w:val="0"/>
      <w:marRight w:val="0"/>
      <w:marTop w:val="0"/>
      <w:marBottom w:val="0"/>
      <w:divBdr>
        <w:top w:val="none" w:sz="0" w:space="0" w:color="auto"/>
        <w:left w:val="none" w:sz="0" w:space="0" w:color="auto"/>
        <w:bottom w:val="none" w:sz="0" w:space="0" w:color="auto"/>
        <w:right w:val="none" w:sz="0" w:space="0" w:color="auto"/>
      </w:divBdr>
    </w:div>
    <w:div w:id="543834713">
      <w:bodyDiv w:val="1"/>
      <w:marLeft w:val="0"/>
      <w:marRight w:val="0"/>
      <w:marTop w:val="0"/>
      <w:marBottom w:val="0"/>
      <w:divBdr>
        <w:top w:val="none" w:sz="0" w:space="0" w:color="auto"/>
        <w:left w:val="none" w:sz="0" w:space="0" w:color="auto"/>
        <w:bottom w:val="none" w:sz="0" w:space="0" w:color="auto"/>
        <w:right w:val="none" w:sz="0" w:space="0" w:color="auto"/>
      </w:divBdr>
    </w:div>
    <w:div w:id="552421774">
      <w:bodyDiv w:val="1"/>
      <w:marLeft w:val="0"/>
      <w:marRight w:val="0"/>
      <w:marTop w:val="0"/>
      <w:marBottom w:val="0"/>
      <w:divBdr>
        <w:top w:val="none" w:sz="0" w:space="0" w:color="auto"/>
        <w:left w:val="none" w:sz="0" w:space="0" w:color="auto"/>
        <w:bottom w:val="none" w:sz="0" w:space="0" w:color="auto"/>
        <w:right w:val="none" w:sz="0" w:space="0" w:color="auto"/>
      </w:divBdr>
    </w:div>
    <w:div w:id="576551437">
      <w:bodyDiv w:val="1"/>
      <w:marLeft w:val="0"/>
      <w:marRight w:val="0"/>
      <w:marTop w:val="0"/>
      <w:marBottom w:val="0"/>
      <w:divBdr>
        <w:top w:val="none" w:sz="0" w:space="0" w:color="auto"/>
        <w:left w:val="none" w:sz="0" w:space="0" w:color="auto"/>
        <w:bottom w:val="none" w:sz="0" w:space="0" w:color="auto"/>
        <w:right w:val="none" w:sz="0" w:space="0" w:color="auto"/>
      </w:divBdr>
    </w:div>
    <w:div w:id="617878598">
      <w:bodyDiv w:val="1"/>
      <w:marLeft w:val="0"/>
      <w:marRight w:val="0"/>
      <w:marTop w:val="0"/>
      <w:marBottom w:val="0"/>
      <w:divBdr>
        <w:top w:val="none" w:sz="0" w:space="0" w:color="auto"/>
        <w:left w:val="none" w:sz="0" w:space="0" w:color="auto"/>
        <w:bottom w:val="none" w:sz="0" w:space="0" w:color="auto"/>
        <w:right w:val="none" w:sz="0" w:space="0" w:color="auto"/>
      </w:divBdr>
    </w:div>
    <w:div w:id="628324648">
      <w:bodyDiv w:val="1"/>
      <w:marLeft w:val="0"/>
      <w:marRight w:val="0"/>
      <w:marTop w:val="0"/>
      <w:marBottom w:val="0"/>
      <w:divBdr>
        <w:top w:val="none" w:sz="0" w:space="0" w:color="auto"/>
        <w:left w:val="none" w:sz="0" w:space="0" w:color="auto"/>
        <w:bottom w:val="none" w:sz="0" w:space="0" w:color="auto"/>
        <w:right w:val="none" w:sz="0" w:space="0" w:color="auto"/>
      </w:divBdr>
    </w:div>
    <w:div w:id="669024222">
      <w:bodyDiv w:val="1"/>
      <w:marLeft w:val="0"/>
      <w:marRight w:val="0"/>
      <w:marTop w:val="0"/>
      <w:marBottom w:val="0"/>
      <w:divBdr>
        <w:top w:val="none" w:sz="0" w:space="0" w:color="auto"/>
        <w:left w:val="none" w:sz="0" w:space="0" w:color="auto"/>
        <w:bottom w:val="none" w:sz="0" w:space="0" w:color="auto"/>
        <w:right w:val="none" w:sz="0" w:space="0" w:color="auto"/>
      </w:divBdr>
    </w:div>
    <w:div w:id="677729768">
      <w:bodyDiv w:val="1"/>
      <w:marLeft w:val="0"/>
      <w:marRight w:val="0"/>
      <w:marTop w:val="0"/>
      <w:marBottom w:val="0"/>
      <w:divBdr>
        <w:top w:val="none" w:sz="0" w:space="0" w:color="auto"/>
        <w:left w:val="none" w:sz="0" w:space="0" w:color="auto"/>
        <w:bottom w:val="none" w:sz="0" w:space="0" w:color="auto"/>
        <w:right w:val="none" w:sz="0" w:space="0" w:color="auto"/>
      </w:divBdr>
    </w:div>
    <w:div w:id="692149658">
      <w:bodyDiv w:val="1"/>
      <w:marLeft w:val="0"/>
      <w:marRight w:val="0"/>
      <w:marTop w:val="0"/>
      <w:marBottom w:val="0"/>
      <w:divBdr>
        <w:top w:val="none" w:sz="0" w:space="0" w:color="auto"/>
        <w:left w:val="none" w:sz="0" w:space="0" w:color="auto"/>
        <w:bottom w:val="none" w:sz="0" w:space="0" w:color="auto"/>
        <w:right w:val="none" w:sz="0" w:space="0" w:color="auto"/>
      </w:divBdr>
    </w:div>
    <w:div w:id="695469689">
      <w:bodyDiv w:val="1"/>
      <w:marLeft w:val="0"/>
      <w:marRight w:val="0"/>
      <w:marTop w:val="0"/>
      <w:marBottom w:val="0"/>
      <w:divBdr>
        <w:top w:val="none" w:sz="0" w:space="0" w:color="auto"/>
        <w:left w:val="none" w:sz="0" w:space="0" w:color="auto"/>
        <w:bottom w:val="none" w:sz="0" w:space="0" w:color="auto"/>
        <w:right w:val="none" w:sz="0" w:space="0" w:color="auto"/>
      </w:divBdr>
    </w:div>
    <w:div w:id="699860274">
      <w:bodyDiv w:val="1"/>
      <w:marLeft w:val="0"/>
      <w:marRight w:val="0"/>
      <w:marTop w:val="0"/>
      <w:marBottom w:val="0"/>
      <w:divBdr>
        <w:top w:val="none" w:sz="0" w:space="0" w:color="auto"/>
        <w:left w:val="none" w:sz="0" w:space="0" w:color="auto"/>
        <w:bottom w:val="none" w:sz="0" w:space="0" w:color="auto"/>
        <w:right w:val="none" w:sz="0" w:space="0" w:color="auto"/>
      </w:divBdr>
    </w:div>
    <w:div w:id="768234069">
      <w:bodyDiv w:val="1"/>
      <w:marLeft w:val="0"/>
      <w:marRight w:val="0"/>
      <w:marTop w:val="0"/>
      <w:marBottom w:val="0"/>
      <w:divBdr>
        <w:top w:val="none" w:sz="0" w:space="0" w:color="auto"/>
        <w:left w:val="none" w:sz="0" w:space="0" w:color="auto"/>
        <w:bottom w:val="none" w:sz="0" w:space="0" w:color="auto"/>
        <w:right w:val="none" w:sz="0" w:space="0" w:color="auto"/>
      </w:divBdr>
    </w:div>
    <w:div w:id="805586116">
      <w:bodyDiv w:val="1"/>
      <w:marLeft w:val="0"/>
      <w:marRight w:val="0"/>
      <w:marTop w:val="0"/>
      <w:marBottom w:val="0"/>
      <w:divBdr>
        <w:top w:val="none" w:sz="0" w:space="0" w:color="auto"/>
        <w:left w:val="none" w:sz="0" w:space="0" w:color="auto"/>
        <w:bottom w:val="none" w:sz="0" w:space="0" w:color="auto"/>
        <w:right w:val="none" w:sz="0" w:space="0" w:color="auto"/>
      </w:divBdr>
    </w:div>
    <w:div w:id="832647861">
      <w:bodyDiv w:val="1"/>
      <w:marLeft w:val="0"/>
      <w:marRight w:val="0"/>
      <w:marTop w:val="0"/>
      <w:marBottom w:val="0"/>
      <w:divBdr>
        <w:top w:val="none" w:sz="0" w:space="0" w:color="auto"/>
        <w:left w:val="none" w:sz="0" w:space="0" w:color="auto"/>
        <w:bottom w:val="none" w:sz="0" w:space="0" w:color="auto"/>
        <w:right w:val="none" w:sz="0" w:space="0" w:color="auto"/>
      </w:divBdr>
    </w:div>
    <w:div w:id="850991108">
      <w:bodyDiv w:val="1"/>
      <w:marLeft w:val="0"/>
      <w:marRight w:val="0"/>
      <w:marTop w:val="0"/>
      <w:marBottom w:val="0"/>
      <w:divBdr>
        <w:top w:val="none" w:sz="0" w:space="0" w:color="auto"/>
        <w:left w:val="none" w:sz="0" w:space="0" w:color="auto"/>
        <w:bottom w:val="none" w:sz="0" w:space="0" w:color="auto"/>
        <w:right w:val="none" w:sz="0" w:space="0" w:color="auto"/>
      </w:divBdr>
    </w:div>
    <w:div w:id="886257776">
      <w:bodyDiv w:val="1"/>
      <w:marLeft w:val="0"/>
      <w:marRight w:val="0"/>
      <w:marTop w:val="0"/>
      <w:marBottom w:val="0"/>
      <w:divBdr>
        <w:top w:val="none" w:sz="0" w:space="0" w:color="auto"/>
        <w:left w:val="none" w:sz="0" w:space="0" w:color="auto"/>
        <w:bottom w:val="none" w:sz="0" w:space="0" w:color="auto"/>
        <w:right w:val="none" w:sz="0" w:space="0" w:color="auto"/>
      </w:divBdr>
    </w:div>
    <w:div w:id="889879953">
      <w:bodyDiv w:val="1"/>
      <w:marLeft w:val="0"/>
      <w:marRight w:val="0"/>
      <w:marTop w:val="0"/>
      <w:marBottom w:val="0"/>
      <w:divBdr>
        <w:top w:val="none" w:sz="0" w:space="0" w:color="auto"/>
        <w:left w:val="none" w:sz="0" w:space="0" w:color="auto"/>
        <w:bottom w:val="none" w:sz="0" w:space="0" w:color="auto"/>
        <w:right w:val="none" w:sz="0" w:space="0" w:color="auto"/>
      </w:divBdr>
    </w:div>
    <w:div w:id="903612705">
      <w:bodyDiv w:val="1"/>
      <w:marLeft w:val="0"/>
      <w:marRight w:val="0"/>
      <w:marTop w:val="0"/>
      <w:marBottom w:val="0"/>
      <w:divBdr>
        <w:top w:val="none" w:sz="0" w:space="0" w:color="auto"/>
        <w:left w:val="none" w:sz="0" w:space="0" w:color="auto"/>
        <w:bottom w:val="none" w:sz="0" w:space="0" w:color="auto"/>
        <w:right w:val="none" w:sz="0" w:space="0" w:color="auto"/>
      </w:divBdr>
    </w:div>
    <w:div w:id="942959891">
      <w:bodyDiv w:val="1"/>
      <w:marLeft w:val="0"/>
      <w:marRight w:val="0"/>
      <w:marTop w:val="0"/>
      <w:marBottom w:val="0"/>
      <w:divBdr>
        <w:top w:val="none" w:sz="0" w:space="0" w:color="auto"/>
        <w:left w:val="none" w:sz="0" w:space="0" w:color="auto"/>
        <w:bottom w:val="none" w:sz="0" w:space="0" w:color="auto"/>
        <w:right w:val="none" w:sz="0" w:space="0" w:color="auto"/>
      </w:divBdr>
    </w:div>
    <w:div w:id="990259080">
      <w:bodyDiv w:val="1"/>
      <w:marLeft w:val="0"/>
      <w:marRight w:val="0"/>
      <w:marTop w:val="0"/>
      <w:marBottom w:val="0"/>
      <w:divBdr>
        <w:top w:val="none" w:sz="0" w:space="0" w:color="auto"/>
        <w:left w:val="none" w:sz="0" w:space="0" w:color="auto"/>
        <w:bottom w:val="none" w:sz="0" w:space="0" w:color="auto"/>
        <w:right w:val="none" w:sz="0" w:space="0" w:color="auto"/>
      </w:divBdr>
    </w:div>
    <w:div w:id="997877828">
      <w:bodyDiv w:val="1"/>
      <w:marLeft w:val="0"/>
      <w:marRight w:val="0"/>
      <w:marTop w:val="0"/>
      <w:marBottom w:val="0"/>
      <w:divBdr>
        <w:top w:val="none" w:sz="0" w:space="0" w:color="auto"/>
        <w:left w:val="none" w:sz="0" w:space="0" w:color="auto"/>
        <w:bottom w:val="none" w:sz="0" w:space="0" w:color="auto"/>
        <w:right w:val="none" w:sz="0" w:space="0" w:color="auto"/>
      </w:divBdr>
    </w:div>
    <w:div w:id="1012799929">
      <w:bodyDiv w:val="1"/>
      <w:marLeft w:val="0"/>
      <w:marRight w:val="0"/>
      <w:marTop w:val="0"/>
      <w:marBottom w:val="0"/>
      <w:divBdr>
        <w:top w:val="none" w:sz="0" w:space="0" w:color="auto"/>
        <w:left w:val="none" w:sz="0" w:space="0" w:color="auto"/>
        <w:bottom w:val="none" w:sz="0" w:space="0" w:color="auto"/>
        <w:right w:val="none" w:sz="0" w:space="0" w:color="auto"/>
      </w:divBdr>
    </w:div>
    <w:div w:id="1020663716">
      <w:bodyDiv w:val="1"/>
      <w:marLeft w:val="0"/>
      <w:marRight w:val="0"/>
      <w:marTop w:val="0"/>
      <w:marBottom w:val="0"/>
      <w:divBdr>
        <w:top w:val="none" w:sz="0" w:space="0" w:color="auto"/>
        <w:left w:val="none" w:sz="0" w:space="0" w:color="auto"/>
        <w:bottom w:val="none" w:sz="0" w:space="0" w:color="auto"/>
        <w:right w:val="none" w:sz="0" w:space="0" w:color="auto"/>
      </w:divBdr>
    </w:div>
    <w:div w:id="1030183326">
      <w:bodyDiv w:val="1"/>
      <w:marLeft w:val="0"/>
      <w:marRight w:val="0"/>
      <w:marTop w:val="0"/>
      <w:marBottom w:val="0"/>
      <w:divBdr>
        <w:top w:val="none" w:sz="0" w:space="0" w:color="auto"/>
        <w:left w:val="none" w:sz="0" w:space="0" w:color="auto"/>
        <w:bottom w:val="none" w:sz="0" w:space="0" w:color="auto"/>
        <w:right w:val="none" w:sz="0" w:space="0" w:color="auto"/>
      </w:divBdr>
    </w:div>
    <w:div w:id="1044717332">
      <w:bodyDiv w:val="1"/>
      <w:marLeft w:val="0"/>
      <w:marRight w:val="0"/>
      <w:marTop w:val="0"/>
      <w:marBottom w:val="0"/>
      <w:divBdr>
        <w:top w:val="none" w:sz="0" w:space="0" w:color="auto"/>
        <w:left w:val="none" w:sz="0" w:space="0" w:color="auto"/>
        <w:bottom w:val="none" w:sz="0" w:space="0" w:color="auto"/>
        <w:right w:val="none" w:sz="0" w:space="0" w:color="auto"/>
      </w:divBdr>
    </w:div>
    <w:div w:id="1076123367">
      <w:bodyDiv w:val="1"/>
      <w:marLeft w:val="0"/>
      <w:marRight w:val="0"/>
      <w:marTop w:val="0"/>
      <w:marBottom w:val="0"/>
      <w:divBdr>
        <w:top w:val="none" w:sz="0" w:space="0" w:color="auto"/>
        <w:left w:val="none" w:sz="0" w:space="0" w:color="auto"/>
        <w:bottom w:val="none" w:sz="0" w:space="0" w:color="auto"/>
        <w:right w:val="none" w:sz="0" w:space="0" w:color="auto"/>
      </w:divBdr>
    </w:div>
    <w:div w:id="1076392254">
      <w:bodyDiv w:val="1"/>
      <w:marLeft w:val="0"/>
      <w:marRight w:val="0"/>
      <w:marTop w:val="0"/>
      <w:marBottom w:val="0"/>
      <w:divBdr>
        <w:top w:val="none" w:sz="0" w:space="0" w:color="auto"/>
        <w:left w:val="none" w:sz="0" w:space="0" w:color="auto"/>
        <w:bottom w:val="none" w:sz="0" w:space="0" w:color="auto"/>
        <w:right w:val="none" w:sz="0" w:space="0" w:color="auto"/>
      </w:divBdr>
    </w:div>
    <w:div w:id="1102460917">
      <w:bodyDiv w:val="1"/>
      <w:marLeft w:val="0"/>
      <w:marRight w:val="0"/>
      <w:marTop w:val="0"/>
      <w:marBottom w:val="0"/>
      <w:divBdr>
        <w:top w:val="none" w:sz="0" w:space="0" w:color="auto"/>
        <w:left w:val="none" w:sz="0" w:space="0" w:color="auto"/>
        <w:bottom w:val="none" w:sz="0" w:space="0" w:color="auto"/>
        <w:right w:val="none" w:sz="0" w:space="0" w:color="auto"/>
      </w:divBdr>
    </w:div>
    <w:div w:id="1133524481">
      <w:bodyDiv w:val="1"/>
      <w:marLeft w:val="0"/>
      <w:marRight w:val="0"/>
      <w:marTop w:val="0"/>
      <w:marBottom w:val="0"/>
      <w:divBdr>
        <w:top w:val="none" w:sz="0" w:space="0" w:color="auto"/>
        <w:left w:val="none" w:sz="0" w:space="0" w:color="auto"/>
        <w:bottom w:val="none" w:sz="0" w:space="0" w:color="auto"/>
        <w:right w:val="none" w:sz="0" w:space="0" w:color="auto"/>
      </w:divBdr>
    </w:div>
    <w:div w:id="1133670753">
      <w:bodyDiv w:val="1"/>
      <w:marLeft w:val="0"/>
      <w:marRight w:val="0"/>
      <w:marTop w:val="0"/>
      <w:marBottom w:val="0"/>
      <w:divBdr>
        <w:top w:val="none" w:sz="0" w:space="0" w:color="auto"/>
        <w:left w:val="none" w:sz="0" w:space="0" w:color="auto"/>
        <w:bottom w:val="none" w:sz="0" w:space="0" w:color="auto"/>
        <w:right w:val="none" w:sz="0" w:space="0" w:color="auto"/>
      </w:divBdr>
    </w:div>
    <w:div w:id="1200438334">
      <w:bodyDiv w:val="1"/>
      <w:marLeft w:val="0"/>
      <w:marRight w:val="0"/>
      <w:marTop w:val="0"/>
      <w:marBottom w:val="0"/>
      <w:divBdr>
        <w:top w:val="none" w:sz="0" w:space="0" w:color="auto"/>
        <w:left w:val="none" w:sz="0" w:space="0" w:color="auto"/>
        <w:bottom w:val="none" w:sz="0" w:space="0" w:color="auto"/>
        <w:right w:val="none" w:sz="0" w:space="0" w:color="auto"/>
      </w:divBdr>
    </w:div>
    <w:div w:id="1251046077">
      <w:bodyDiv w:val="1"/>
      <w:marLeft w:val="0"/>
      <w:marRight w:val="0"/>
      <w:marTop w:val="0"/>
      <w:marBottom w:val="0"/>
      <w:divBdr>
        <w:top w:val="none" w:sz="0" w:space="0" w:color="auto"/>
        <w:left w:val="none" w:sz="0" w:space="0" w:color="auto"/>
        <w:bottom w:val="none" w:sz="0" w:space="0" w:color="auto"/>
        <w:right w:val="none" w:sz="0" w:space="0" w:color="auto"/>
      </w:divBdr>
    </w:div>
    <w:div w:id="1261984487">
      <w:bodyDiv w:val="1"/>
      <w:marLeft w:val="0"/>
      <w:marRight w:val="0"/>
      <w:marTop w:val="0"/>
      <w:marBottom w:val="0"/>
      <w:divBdr>
        <w:top w:val="none" w:sz="0" w:space="0" w:color="auto"/>
        <w:left w:val="none" w:sz="0" w:space="0" w:color="auto"/>
        <w:bottom w:val="none" w:sz="0" w:space="0" w:color="auto"/>
        <w:right w:val="none" w:sz="0" w:space="0" w:color="auto"/>
      </w:divBdr>
    </w:div>
    <w:div w:id="1289508371">
      <w:bodyDiv w:val="1"/>
      <w:marLeft w:val="0"/>
      <w:marRight w:val="0"/>
      <w:marTop w:val="0"/>
      <w:marBottom w:val="0"/>
      <w:divBdr>
        <w:top w:val="none" w:sz="0" w:space="0" w:color="auto"/>
        <w:left w:val="none" w:sz="0" w:space="0" w:color="auto"/>
        <w:bottom w:val="none" w:sz="0" w:space="0" w:color="auto"/>
        <w:right w:val="none" w:sz="0" w:space="0" w:color="auto"/>
      </w:divBdr>
    </w:div>
    <w:div w:id="1291672200">
      <w:bodyDiv w:val="1"/>
      <w:marLeft w:val="0"/>
      <w:marRight w:val="0"/>
      <w:marTop w:val="0"/>
      <w:marBottom w:val="0"/>
      <w:divBdr>
        <w:top w:val="none" w:sz="0" w:space="0" w:color="auto"/>
        <w:left w:val="none" w:sz="0" w:space="0" w:color="auto"/>
        <w:bottom w:val="none" w:sz="0" w:space="0" w:color="auto"/>
        <w:right w:val="none" w:sz="0" w:space="0" w:color="auto"/>
      </w:divBdr>
    </w:div>
    <w:div w:id="1317879716">
      <w:bodyDiv w:val="1"/>
      <w:marLeft w:val="0"/>
      <w:marRight w:val="0"/>
      <w:marTop w:val="0"/>
      <w:marBottom w:val="0"/>
      <w:divBdr>
        <w:top w:val="none" w:sz="0" w:space="0" w:color="auto"/>
        <w:left w:val="none" w:sz="0" w:space="0" w:color="auto"/>
        <w:bottom w:val="none" w:sz="0" w:space="0" w:color="auto"/>
        <w:right w:val="none" w:sz="0" w:space="0" w:color="auto"/>
      </w:divBdr>
    </w:div>
    <w:div w:id="1324092179">
      <w:bodyDiv w:val="1"/>
      <w:marLeft w:val="0"/>
      <w:marRight w:val="0"/>
      <w:marTop w:val="0"/>
      <w:marBottom w:val="0"/>
      <w:divBdr>
        <w:top w:val="none" w:sz="0" w:space="0" w:color="auto"/>
        <w:left w:val="none" w:sz="0" w:space="0" w:color="auto"/>
        <w:bottom w:val="none" w:sz="0" w:space="0" w:color="auto"/>
        <w:right w:val="none" w:sz="0" w:space="0" w:color="auto"/>
      </w:divBdr>
    </w:div>
    <w:div w:id="1525166535">
      <w:bodyDiv w:val="1"/>
      <w:marLeft w:val="0"/>
      <w:marRight w:val="0"/>
      <w:marTop w:val="0"/>
      <w:marBottom w:val="0"/>
      <w:divBdr>
        <w:top w:val="none" w:sz="0" w:space="0" w:color="auto"/>
        <w:left w:val="none" w:sz="0" w:space="0" w:color="auto"/>
        <w:bottom w:val="none" w:sz="0" w:space="0" w:color="auto"/>
        <w:right w:val="none" w:sz="0" w:space="0" w:color="auto"/>
      </w:divBdr>
    </w:div>
    <w:div w:id="1573849135">
      <w:bodyDiv w:val="1"/>
      <w:marLeft w:val="0"/>
      <w:marRight w:val="0"/>
      <w:marTop w:val="0"/>
      <w:marBottom w:val="0"/>
      <w:divBdr>
        <w:top w:val="none" w:sz="0" w:space="0" w:color="auto"/>
        <w:left w:val="none" w:sz="0" w:space="0" w:color="auto"/>
        <w:bottom w:val="none" w:sz="0" w:space="0" w:color="auto"/>
        <w:right w:val="none" w:sz="0" w:space="0" w:color="auto"/>
      </w:divBdr>
    </w:div>
    <w:div w:id="1608077017">
      <w:bodyDiv w:val="1"/>
      <w:marLeft w:val="0"/>
      <w:marRight w:val="0"/>
      <w:marTop w:val="0"/>
      <w:marBottom w:val="0"/>
      <w:divBdr>
        <w:top w:val="none" w:sz="0" w:space="0" w:color="auto"/>
        <w:left w:val="none" w:sz="0" w:space="0" w:color="auto"/>
        <w:bottom w:val="none" w:sz="0" w:space="0" w:color="auto"/>
        <w:right w:val="none" w:sz="0" w:space="0" w:color="auto"/>
      </w:divBdr>
    </w:div>
    <w:div w:id="1707484535">
      <w:bodyDiv w:val="1"/>
      <w:marLeft w:val="0"/>
      <w:marRight w:val="0"/>
      <w:marTop w:val="0"/>
      <w:marBottom w:val="0"/>
      <w:divBdr>
        <w:top w:val="none" w:sz="0" w:space="0" w:color="auto"/>
        <w:left w:val="none" w:sz="0" w:space="0" w:color="auto"/>
        <w:bottom w:val="none" w:sz="0" w:space="0" w:color="auto"/>
        <w:right w:val="none" w:sz="0" w:space="0" w:color="auto"/>
      </w:divBdr>
    </w:div>
    <w:div w:id="1713843437">
      <w:bodyDiv w:val="1"/>
      <w:marLeft w:val="0"/>
      <w:marRight w:val="0"/>
      <w:marTop w:val="0"/>
      <w:marBottom w:val="0"/>
      <w:divBdr>
        <w:top w:val="none" w:sz="0" w:space="0" w:color="auto"/>
        <w:left w:val="none" w:sz="0" w:space="0" w:color="auto"/>
        <w:bottom w:val="none" w:sz="0" w:space="0" w:color="auto"/>
        <w:right w:val="none" w:sz="0" w:space="0" w:color="auto"/>
      </w:divBdr>
    </w:div>
    <w:div w:id="1722246173">
      <w:bodyDiv w:val="1"/>
      <w:marLeft w:val="0"/>
      <w:marRight w:val="0"/>
      <w:marTop w:val="0"/>
      <w:marBottom w:val="0"/>
      <w:divBdr>
        <w:top w:val="none" w:sz="0" w:space="0" w:color="auto"/>
        <w:left w:val="none" w:sz="0" w:space="0" w:color="auto"/>
        <w:bottom w:val="none" w:sz="0" w:space="0" w:color="auto"/>
        <w:right w:val="none" w:sz="0" w:space="0" w:color="auto"/>
      </w:divBdr>
    </w:div>
    <w:div w:id="1775324018">
      <w:bodyDiv w:val="1"/>
      <w:marLeft w:val="0"/>
      <w:marRight w:val="0"/>
      <w:marTop w:val="0"/>
      <w:marBottom w:val="0"/>
      <w:divBdr>
        <w:top w:val="none" w:sz="0" w:space="0" w:color="auto"/>
        <w:left w:val="none" w:sz="0" w:space="0" w:color="auto"/>
        <w:bottom w:val="none" w:sz="0" w:space="0" w:color="auto"/>
        <w:right w:val="none" w:sz="0" w:space="0" w:color="auto"/>
      </w:divBdr>
    </w:div>
    <w:div w:id="1797915589">
      <w:bodyDiv w:val="1"/>
      <w:marLeft w:val="0"/>
      <w:marRight w:val="0"/>
      <w:marTop w:val="0"/>
      <w:marBottom w:val="0"/>
      <w:divBdr>
        <w:top w:val="none" w:sz="0" w:space="0" w:color="auto"/>
        <w:left w:val="none" w:sz="0" w:space="0" w:color="auto"/>
        <w:bottom w:val="none" w:sz="0" w:space="0" w:color="auto"/>
        <w:right w:val="none" w:sz="0" w:space="0" w:color="auto"/>
      </w:divBdr>
    </w:div>
    <w:div w:id="1823496812">
      <w:bodyDiv w:val="1"/>
      <w:marLeft w:val="0"/>
      <w:marRight w:val="0"/>
      <w:marTop w:val="0"/>
      <w:marBottom w:val="0"/>
      <w:divBdr>
        <w:top w:val="none" w:sz="0" w:space="0" w:color="auto"/>
        <w:left w:val="none" w:sz="0" w:space="0" w:color="auto"/>
        <w:bottom w:val="none" w:sz="0" w:space="0" w:color="auto"/>
        <w:right w:val="none" w:sz="0" w:space="0" w:color="auto"/>
      </w:divBdr>
    </w:div>
    <w:div w:id="1824274997">
      <w:bodyDiv w:val="1"/>
      <w:marLeft w:val="0"/>
      <w:marRight w:val="0"/>
      <w:marTop w:val="0"/>
      <w:marBottom w:val="0"/>
      <w:divBdr>
        <w:top w:val="none" w:sz="0" w:space="0" w:color="auto"/>
        <w:left w:val="none" w:sz="0" w:space="0" w:color="auto"/>
        <w:bottom w:val="none" w:sz="0" w:space="0" w:color="auto"/>
        <w:right w:val="none" w:sz="0" w:space="0" w:color="auto"/>
      </w:divBdr>
    </w:div>
    <w:div w:id="1857844908">
      <w:bodyDiv w:val="1"/>
      <w:marLeft w:val="0"/>
      <w:marRight w:val="0"/>
      <w:marTop w:val="0"/>
      <w:marBottom w:val="0"/>
      <w:divBdr>
        <w:top w:val="none" w:sz="0" w:space="0" w:color="auto"/>
        <w:left w:val="none" w:sz="0" w:space="0" w:color="auto"/>
        <w:bottom w:val="none" w:sz="0" w:space="0" w:color="auto"/>
        <w:right w:val="none" w:sz="0" w:space="0" w:color="auto"/>
      </w:divBdr>
    </w:div>
    <w:div w:id="1975524516">
      <w:bodyDiv w:val="1"/>
      <w:marLeft w:val="0"/>
      <w:marRight w:val="0"/>
      <w:marTop w:val="0"/>
      <w:marBottom w:val="0"/>
      <w:divBdr>
        <w:top w:val="none" w:sz="0" w:space="0" w:color="auto"/>
        <w:left w:val="none" w:sz="0" w:space="0" w:color="auto"/>
        <w:bottom w:val="none" w:sz="0" w:space="0" w:color="auto"/>
        <w:right w:val="none" w:sz="0" w:space="0" w:color="auto"/>
      </w:divBdr>
    </w:div>
    <w:div w:id="2048329117">
      <w:bodyDiv w:val="1"/>
      <w:marLeft w:val="0"/>
      <w:marRight w:val="0"/>
      <w:marTop w:val="0"/>
      <w:marBottom w:val="0"/>
      <w:divBdr>
        <w:top w:val="none" w:sz="0" w:space="0" w:color="auto"/>
        <w:left w:val="none" w:sz="0" w:space="0" w:color="auto"/>
        <w:bottom w:val="none" w:sz="0" w:space="0" w:color="auto"/>
        <w:right w:val="none" w:sz="0" w:space="0" w:color="auto"/>
      </w:divBdr>
    </w:div>
    <w:div w:id="2064451374">
      <w:bodyDiv w:val="1"/>
      <w:marLeft w:val="0"/>
      <w:marRight w:val="0"/>
      <w:marTop w:val="0"/>
      <w:marBottom w:val="0"/>
      <w:divBdr>
        <w:top w:val="none" w:sz="0" w:space="0" w:color="auto"/>
        <w:left w:val="none" w:sz="0" w:space="0" w:color="auto"/>
        <w:bottom w:val="none" w:sz="0" w:space="0" w:color="auto"/>
        <w:right w:val="none" w:sz="0" w:space="0" w:color="auto"/>
      </w:divBdr>
    </w:div>
    <w:div w:id="2065904866">
      <w:bodyDiv w:val="1"/>
      <w:marLeft w:val="0"/>
      <w:marRight w:val="0"/>
      <w:marTop w:val="0"/>
      <w:marBottom w:val="0"/>
      <w:divBdr>
        <w:top w:val="none" w:sz="0" w:space="0" w:color="auto"/>
        <w:left w:val="none" w:sz="0" w:space="0" w:color="auto"/>
        <w:bottom w:val="none" w:sz="0" w:space="0" w:color="auto"/>
        <w:right w:val="none" w:sz="0" w:space="0" w:color="auto"/>
      </w:divBdr>
    </w:div>
    <w:div w:id="2075471542">
      <w:bodyDiv w:val="1"/>
      <w:marLeft w:val="0"/>
      <w:marRight w:val="0"/>
      <w:marTop w:val="0"/>
      <w:marBottom w:val="0"/>
      <w:divBdr>
        <w:top w:val="none" w:sz="0" w:space="0" w:color="auto"/>
        <w:left w:val="none" w:sz="0" w:space="0" w:color="auto"/>
        <w:bottom w:val="none" w:sz="0" w:space="0" w:color="auto"/>
        <w:right w:val="none" w:sz="0" w:space="0" w:color="auto"/>
      </w:divBdr>
    </w:div>
    <w:div w:id="2100366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PreSetup\Documents\University\Year%20two\Site%20Production%20and%20Project%20managment\submission%202%20gantt%20char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PreSetup\AppData\Roaming\Microsoft\Excel\submission%202%20gantt%20chart%20(version%201).xlsb"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Labour required during the construction </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Sheet1!$B$129:$C$133</c:f>
              <c:strCache>
                <c:ptCount val="5"/>
                <c:pt idx="0">
                  <c:v>Month 1=</c:v>
                </c:pt>
                <c:pt idx="1">
                  <c:v>Month 2=</c:v>
                </c:pt>
                <c:pt idx="2">
                  <c:v>Month 3=</c:v>
                </c:pt>
                <c:pt idx="3">
                  <c:v>Month 4=</c:v>
                </c:pt>
                <c:pt idx="4">
                  <c:v>Month 5 =</c:v>
                </c:pt>
              </c:strCache>
              <c:extLst/>
            </c:strRef>
          </c:cat>
          <c:val>
            <c:numRef>
              <c:f>Sheet1!$D$129:$D$133</c:f>
              <c:numCache>
                <c:formatCode>General</c:formatCode>
                <c:ptCount val="5"/>
                <c:pt idx="0">
                  <c:v>61</c:v>
                </c:pt>
                <c:pt idx="1">
                  <c:v>111</c:v>
                </c:pt>
                <c:pt idx="2">
                  <c:v>126</c:v>
                </c:pt>
                <c:pt idx="3">
                  <c:v>93</c:v>
                </c:pt>
                <c:pt idx="4">
                  <c:v>14</c:v>
                </c:pt>
              </c:numCache>
            </c:numRef>
          </c:val>
        </c:ser>
        <c:dLbls>
          <c:showLegendKey val="0"/>
          <c:showVal val="0"/>
          <c:showCatName val="0"/>
          <c:showSerName val="0"/>
          <c:showPercent val="0"/>
          <c:showBubbleSize val="0"/>
        </c:dLbls>
        <c:gapWidth val="182"/>
        <c:axId val="473629008"/>
        <c:axId val="473126376"/>
      </c:barChart>
      <c:catAx>
        <c:axId val="47362900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3126376"/>
        <c:crosses val="autoZero"/>
        <c:auto val="1"/>
        <c:lblAlgn val="ctr"/>
        <c:lblOffset val="100"/>
        <c:noMultiLvlLbl val="0"/>
      </c:catAx>
      <c:valAx>
        <c:axId val="47312637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36290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Estimated</a:t>
            </a:r>
            <a:r>
              <a:rPr lang="en-GB" baseline="0"/>
              <a:t> Cost of Construction</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Sheet1!$D$116:$D$125</c:f>
              <c:strCache>
                <c:ptCount val="10"/>
                <c:pt idx="1">
                  <c:v>Month 1 Cost - £</c:v>
                </c:pt>
                <c:pt idx="3">
                  <c:v>Month 2 Cost-£</c:v>
                </c:pt>
                <c:pt idx="5">
                  <c:v>Month 3 Cost -£</c:v>
                </c:pt>
                <c:pt idx="7">
                  <c:v>Month 4 Cost - £</c:v>
                </c:pt>
                <c:pt idx="9">
                  <c:v>Month 5 Cost - £</c:v>
                </c:pt>
              </c:strCache>
            </c:strRef>
          </c:cat>
          <c:val>
            <c:numRef>
              <c:f>Sheet1!$E$116:$E$125</c:f>
              <c:numCache>
                <c:formatCode>General</c:formatCode>
                <c:ptCount val="10"/>
              </c:numCache>
            </c:numRef>
          </c:val>
        </c:ser>
        <c:ser>
          <c:idx val="1"/>
          <c:order val="1"/>
          <c:spPr>
            <a:solidFill>
              <a:schemeClr val="accent2"/>
            </a:solidFill>
            <a:ln>
              <a:noFill/>
            </a:ln>
            <a:effectLst/>
          </c:spPr>
          <c:invertIfNegative val="0"/>
          <c:cat>
            <c:strRef>
              <c:f>Sheet1!$D$116:$D$125</c:f>
              <c:strCache>
                <c:ptCount val="10"/>
                <c:pt idx="1">
                  <c:v>Month 1 Cost - £</c:v>
                </c:pt>
                <c:pt idx="3">
                  <c:v>Month 2 Cost-£</c:v>
                </c:pt>
                <c:pt idx="5">
                  <c:v>Month 3 Cost -£</c:v>
                </c:pt>
                <c:pt idx="7">
                  <c:v>Month 4 Cost - £</c:v>
                </c:pt>
                <c:pt idx="9">
                  <c:v>Month 5 Cost - £</c:v>
                </c:pt>
              </c:strCache>
            </c:strRef>
          </c:cat>
          <c:val>
            <c:numRef>
              <c:f>Sheet1!$F$116:$F$125</c:f>
              <c:numCache>
                <c:formatCode>"£"#,##0.00_);[Red]\("£"#,##0.00\)</c:formatCode>
                <c:ptCount val="10"/>
                <c:pt idx="1">
                  <c:v>123286.29000000001</c:v>
                </c:pt>
                <c:pt idx="3" formatCode="&quot;£&quot;#,##0.00">
                  <c:v>209897.55</c:v>
                </c:pt>
                <c:pt idx="5" formatCode="&quot;£&quot;#,##0_);[Red]\(&quot;£&quot;#,##0\)">
                  <c:v>96396</c:v>
                </c:pt>
                <c:pt idx="7" formatCode="&quot;£&quot;#,##0_);[Red]\(&quot;£&quot;#,##0\)">
                  <c:v>46936</c:v>
                </c:pt>
                <c:pt idx="9" formatCode="&quot;£&quot;#,##0_);[Red]\(&quot;£&quot;#,##0\)">
                  <c:v>4060</c:v>
                </c:pt>
              </c:numCache>
            </c:numRef>
          </c:val>
        </c:ser>
        <c:dLbls>
          <c:showLegendKey val="0"/>
          <c:showVal val="0"/>
          <c:showCatName val="0"/>
          <c:showSerName val="0"/>
          <c:showPercent val="0"/>
          <c:showBubbleSize val="0"/>
        </c:dLbls>
        <c:gapWidth val="219"/>
        <c:overlap val="-27"/>
        <c:axId val="473126768"/>
        <c:axId val="323747952"/>
      </c:barChart>
      <c:catAx>
        <c:axId val="473126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3747952"/>
        <c:crosses val="autoZero"/>
        <c:auto val="1"/>
        <c:lblAlgn val="ctr"/>
        <c:lblOffset val="100"/>
        <c:noMultiLvlLbl val="0"/>
      </c:catAx>
      <c:valAx>
        <c:axId val="3237479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31267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Aec17</b:Tag>
    <b:SourceType>Report</b:SourceType>
    <b:Guid>{06F1D565-A9D0-48D0-BE97-CDB273639296}</b:Guid>
    <b:Title>Spon's Civil Engineering and Highway Works Price Book 2018</b:Title>
    <b:Year>2017</b:Year>
    <b:Author>
      <b:Author>
        <b:Corporate>Aecom</b:Corporate>
      </b:Author>
    </b:Author>
    <b:Publisher>Taylor and Francis </b:Publisher>
    <b:City>London </b:City>
    <b:RefOrder>7</b:RefOrder>
  </b:Source>
  <b:Source>
    <b:Tag>Ber11</b:Tag>
    <b:SourceType>Report</b:SourceType>
    <b:Guid>{D54BF5D1-6ED9-4A8A-B419-A86C2BA98B81}</b:Guid>
    <b:Title>Prefabrication and Modularization: Increasing Productivity in the Construction Industry</b:Title>
    <b:Year>2011</b:Year>
    <b:Publisher>McGraw-Hill Construction</b:Publisher>
    <b:Author>
      <b:Author>
        <b:NameList>
          <b:Person>
            <b:Last>Bernstein</b:Last>
            <b:Middle>M.</b:Middle>
            <b:First>Harvey</b:First>
          </b:Person>
          <b:Person>
            <b:Last>Gudgel </b:Last>
            <b:Middle>E.</b:Middle>
            <b:First>John</b:First>
          </b:Person>
          <b:Person>
            <b:Last>Laquidara-Carr, </b:Last>
            <b:First>Donna</b:First>
          </b:Person>
        </b:NameList>
      </b:Author>
    </b:Author>
    <b:RefOrder>1</b:RefOrder>
  </b:Source>
  <b:Source>
    <b:Tag>Jam17</b:Tag>
    <b:SourceType>InternetSite</b:SourceType>
    <b:Guid>{D972E1D5-FDFB-4C88-8C4B-7AC4A3DD78E4}</b:Guid>
    <b:Title>Types of supports for loads</b:Title>
    <b:Year>2017</b:Year>
    <b:YearAccessed>2018</b:YearAccessed>
    <b:MonthAccessed>1</b:MonthAccessed>
    <b:DayAccessed>25</b:DayAccessed>
    <b:URL>https://www.aboutcivil.org/types-of-supports.html</b:URL>
    <b:Author>
      <b:Author>
        <b:NameList>
          <b:Person>
            <b:Last>Jamal</b:Last>
            <b:First>Haseeb</b:First>
          </b:Person>
        </b:NameList>
      </b:Author>
    </b:Author>
    <b:RefOrder>3</b:RefOrder>
  </b:Source>
  <b:Source>
    <b:Tag>Ent16</b:Tag>
    <b:SourceType>JournalArticle</b:SourceType>
    <b:Guid>{9A934EB8-F0AE-4488-971F-F580CFB33FC5}</b:Guid>
    <b:Title>Reduction of scour around bridge piers using a modified method for vortex reduction</b:Title>
    <b:Year>2016</b:Year>
    <b:JournalName>Alexandria Engineering Journal</b:JournalName>
    <b:Pages>467-478</b:Pages>
    <b:Volume>52</b:Volume>
    <b:Issue>3</b:Issue>
    <b:Author>
      <b:Author>
        <b:NameList>
          <b:Person>
            <b:Last>Enteasar</b:Last>
            <b:Middle>S</b:Middle>
            <b:First>A</b:First>
          </b:Person>
          <b:Person>
            <b:Last>Ghorab </b:Last>
            <b:First>EL</b:First>
          </b:Person>
        </b:NameList>
      </b:Author>
    </b:Author>
    <b:RefOrder>5</b:RefOrder>
  </b:Source>
  <b:Source>
    <b:Tag>Kha14</b:Tag>
    <b:SourceType>Book</b:SourceType>
    <b:Guid>{7015FFC7-F8FE-4DC4-9B4D-828EBA94833F}</b:Guid>
    <b:Title>Accelerated Bridge Construction: Best Practices and Techniques</b:Title>
    <b:Year>2014</b:Year>
    <b:Publisher>Elsevier</b:Publisher>
    <b:Edition>1st</b:Edition>
    <b:Author>
      <b:Author>
        <b:NameList>
          <b:Person>
            <b:Last>Khan</b:Last>
            <b:Middle>Ali</b:Middle>
            <b:First>Mohiuddin</b:First>
          </b:Person>
        </b:NameList>
      </b:Author>
    </b:Author>
    <b:RefOrder>2</b:RefOrder>
  </b:Source>
  <b:Source>
    <b:Tag>Cla02</b:Tag>
    <b:SourceType>Book</b:SourceType>
    <b:Guid>{5FA289F5-39DC-4933-8595-114F673B7BD8}</b:Guid>
    <b:Title>Which contract? Choosing the appreopriate building contract</b:Title>
    <b:Year>2002</b:Year>
    <b:Publisher>RIBA</b:Publisher>
    <b:Author>
      <b:Author>
        <b:NameList>
          <b:Person>
            <b:Last>Clamp</b:Last>
            <b:First>Hugh</b:First>
          </b:Person>
          <b:Person>
            <b:Last>Cox</b:Last>
            <b:First>Stanley</b:First>
          </b:Person>
        </b:NameList>
      </b:Author>
    </b:Author>
    <b:RefOrder>8</b:RefOrder>
  </b:Source>
  <b:Source>
    <b:Tag>Wan15</b:Tag>
    <b:SourceType>JournalArticle</b:SourceType>
    <b:Guid>{B3278694-DE60-446E-8B97-91EDBC36DA8F}</b:Guid>
    <b:Title>Analysis of Water Flow Pressure on Bridge Piers considering the Impact Effect</b:Title>
    <b:Year>2015</b:Year>
    <b:JournalName>Mathematical Problems in Engineering</b:JournalName>
    <b:Pages>1-9</b:Pages>
    <b:Volume>2015</b:Volume>
    <b:Author>
      <b:Author>
        <b:NameList>
          <b:Person>
            <b:Last>Wang</b:Last>
            <b:First>Yin-hui</b:First>
          </b:Person>
          <b:Person>
            <b:Last>Zou</b:Last>
            <b:First>Yi-song</b:First>
          </b:Person>
          <b:Person>
            <b:Last>Xu</b:Last>
            <b:First>Lue-qin </b:First>
          </b:Person>
          <b:Person>
            <b:Last>Luo</b:Last>
            <b:First>Zheng</b:First>
          </b:Person>
        </b:NameList>
      </b:Author>
    </b:Author>
    <b:RefOrder>4</b:RefOrder>
  </b:Source>
  <b:Source>
    <b:Tag>The17</b:Tag>
    <b:SourceType>InternetSite</b:SourceType>
    <b:Guid>{856A6952-90CF-4956-98BD-97BCE6EA7A0F}</b:Guid>
    <b:Title>Incremental Launching Method of Bridge Construction</b:Title>
    <b:Year>2017</b:Year>
    <b:YearAccessed>2018</b:YearAccessed>
    <b:MonthAccessed>2</b:MonthAccessed>
    <b:DayAccessed>15</b:DayAccessed>
    <b:URL>https://theconstructor.org/structures/incremental-launching-method-of-bridge-construction/6126/</b:URL>
    <b:Author>
      <b:Author>
        <b:Corporate>TheConstructor.org</b:Corporate>
      </b:Author>
    </b:Author>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C9D5EDE-8257-4918-B798-AD60F6964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2392</Words>
  <Characters>13641</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Construction of the Loughor Bridge</vt:lpstr>
    </vt:vector>
  </TitlesOfParts>
  <Company/>
  <LinksUpToDate>false</LinksUpToDate>
  <CharactersWithSpaces>16001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Construction of the Loughor Bridge</dc:title>
  <dc:subject>Submission 2</dc:subject>
  <dc:creator>Patrick Nolan</dc:creator>
  <cp:keywords/>
  <dc:description/>
  <cp:lastModifiedBy>Patrick Nolan</cp:lastModifiedBy>
  <cp:revision>3</cp:revision>
  <dcterms:created xsi:type="dcterms:W3CDTF">2018-02-23T10:14:00Z</dcterms:created>
  <dcterms:modified xsi:type="dcterms:W3CDTF">2018-02-23T10:19:00Z</dcterms:modified>
</cp:coreProperties>
</file>