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C03D6" w:rsidRDefault="00BC03D6"/>
    <w:sdt>
      <w:sdtPr>
        <w:rPr>
          <w:rFonts w:asciiTheme="majorHAnsi" w:eastAsiaTheme="majorEastAsia" w:hAnsiTheme="majorHAnsi" w:cstheme="majorBidi"/>
          <w:caps/>
          <w:lang w:val="en-GB" w:eastAsia="en-US"/>
        </w:rPr>
        <w:id w:val="654106512"/>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42"/>
          </w:tblGrid>
          <w:tr w:rsidR="00B733A2">
            <w:trPr>
              <w:trHeight w:val="2880"/>
              <w:jc w:val="center"/>
            </w:trPr>
            <w:sdt>
              <w:sdtPr>
                <w:rPr>
                  <w:rFonts w:asciiTheme="majorHAnsi" w:eastAsiaTheme="majorEastAsia" w:hAnsiTheme="majorHAnsi" w:cstheme="majorBidi"/>
                  <w:caps/>
                  <w:lang w:val="en-GB" w:eastAsia="en-US"/>
                </w:rPr>
                <w:alias w:val="Company"/>
                <w:id w:val="15524243"/>
                <w:dataBinding w:prefixMappings="xmlns:ns0='http://schemas.openxmlformats.org/officeDocument/2006/extended-properties'" w:xpath="/ns0:Properties[1]/ns0:Company[1]" w:storeItemID="{6668398D-A668-4E3E-A5EB-62B293D839F1}"/>
                <w:text/>
              </w:sdtPr>
              <w:sdtEndPr>
                <w:rPr>
                  <w:lang w:val="en-US" w:eastAsia="ja-JP"/>
                </w:rPr>
              </w:sdtEndPr>
              <w:sdtContent>
                <w:tc>
                  <w:tcPr>
                    <w:tcW w:w="5000" w:type="pct"/>
                  </w:tcPr>
                  <w:p w:rsidR="00B733A2" w:rsidRDefault="00B733A2" w:rsidP="00B733A2">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University of Wales trinity saint david</w:t>
                    </w:r>
                  </w:p>
                </w:tc>
              </w:sdtContent>
            </w:sdt>
          </w:tr>
          <w:tr w:rsidR="00B733A2">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B733A2" w:rsidRDefault="00B733A2" w:rsidP="00B733A2">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A critical evaluation of the role of digital innovation in professional practice</w:t>
                    </w:r>
                  </w:p>
                </w:tc>
              </w:sdtContent>
            </w:sdt>
          </w:tr>
          <w:tr w:rsidR="00B733A2">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B733A2" w:rsidRDefault="00B733A2" w:rsidP="00B733A2">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PGCE/PCET Module ECPT6006</w:t>
                    </w:r>
                  </w:p>
                </w:tc>
              </w:sdtContent>
            </w:sdt>
          </w:tr>
          <w:tr w:rsidR="00B733A2">
            <w:trPr>
              <w:trHeight w:val="360"/>
              <w:jc w:val="center"/>
            </w:trPr>
            <w:tc>
              <w:tcPr>
                <w:tcW w:w="5000" w:type="pct"/>
                <w:vAlign w:val="center"/>
              </w:tcPr>
              <w:p w:rsidR="00B733A2" w:rsidRDefault="00B733A2">
                <w:pPr>
                  <w:pStyle w:val="NoSpacing"/>
                  <w:jc w:val="center"/>
                </w:pPr>
              </w:p>
            </w:tc>
          </w:tr>
          <w:tr w:rsidR="00B733A2">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B733A2" w:rsidRDefault="00B733A2">
                    <w:pPr>
                      <w:pStyle w:val="NoSpacing"/>
                      <w:jc w:val="center"/>
                      <w:rPr>
                        <w:b/>
                        <w:bCs/>
                      </w:rPr>
                    </w:pPr>
                    <w:r>
                      <w:rPr>
                        <w:b/>
                        <w:bCs/>
                        <w:lang w:val="en-GB"/>
                      </w:rPr>
                      <w:t>By Keith Davies - 2005889</w:t>
                    </w:r>
                  </w:p>
                </w:tc>
              </w:sdtContent>
            </w:sdt>
          </w:tr>
          <w:tr w:rsidR="00B733A2">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fullDate="2023-12-07T00:00:00Z">
                  <w:dateFormat w:val="M/d/yyyy"/>
                  <w:lid w:val="en-US"/>
                  <w:storeMappedDataAs w:val="dateTime"/>
                  <w:calendar w:val="gregorian"/>
                </w:date>
              </w:sdtPr>
              <w:sdtEndPr/>
              <w:sdtContent>
                <w:tc>
                  <w:tcPr>
                    <w:tcW w:w="5000" w:type="pct"/>
                    <w:vAlign w:val="center"/>
                  </w:tcPr>
                  <w:p w:rsidR="00B733A2" w:rsidRDefault="00B733A2">
                    <w:pPr>
                      <w:pStyle w:val="NoSpacing"/>
                      <w:jc w:val="center"/>
                      <w:rPr>
                        <w:b/>
                        <w:bCs/>
                      </w:rPr>
                    </w:pPr>
                    <w:r>
                      <w:rPr>
                        <w:b/>
                        <w:bCs/>
                      </w:rPr>
                      <w:t>12/7/2023</w:t>
                    </w:r>
                  </w:p>
                </w:tc>
              </w:sdtContent>
            </w:sdt>
          </w:tr>
        </w:tbl>
        <w:p w:rsidR="00B733A2" w:rsidRDefault="00B733A2"/>
        <w:p w:rsidR="00B733A2" w:rsidRDefault="00B733A2"/>
        <w:tbl>
          <w:tblPr>
            <w:tblpPr w:leftFromText="187" w:rightFromText="187" w:horzAnchor="margin" w:tblpXSpec="center" w:tblpYSpec="bottom"/>
            <w:tblW w:w="5000" w:type="pct"/>
            <w:tblLook w:val="04A0" w:firstRow="1" w:lastRow="0" w:firstColumn="1" w:lastColumn="0" w:noHBand="0" w:noVBand="1"/>
          </w:tblPr>
          <w:tblGrid>
            <w:gridCol w:w="9242"/>
          </w:tblGrid>
          <w:tr w:rsidR="00B733A2">
            <w:sdt>
              <w:sdtPr>
                <w:alias w:val="Abstract"/>
                <w:id w:val="8276291"/>
                <w:dataBinding w:prefixMappings="xmlns:ns0='http://schemas.microsoft.com/office/2006/coverPageProps'" w:xpath="/ns0:CoverPageProperties[1]/ns0:Abstract[1]" w:storeItemID="{55AF091B-3C7A-41E3-B477-F2FDAA23CFDA}"/>
                <w:text/>
              </w:sdtPr>
              <w:sdtEndPr/>
              <w:sdtContent>
                <w:tc>
                  <w:tcPr>
                    <w:tcW w:w="5000" w:type="pct"/>
                  </w:tcPr>
                  <w:p w:rsidR="00B733A2" w:rsidRDefault="00B733A2" w:rsidP="00B733A2">
                    <w:pPr>
                      <w:pStyle w:val="NoSpacing"/>
                    </w:pPr>
                    <w:r>
                      <w:t>5000 words</w:t>
                    </w:r>
                  </w:p>
                </w:tc>
              </w:sdtContent>
            </w:sdt>
          </w:tr>
        </w:tbl>
        <w:p w:rsidR="00B733A2" w:rsidRDefault="00B733A2"/>
        <w:p w:rsidR="00B733A2" w:rsidRDefault="00B733A2">
          <w:r>
            <w:br w:type="page"/>
          </w:r>
        </w:p>
      </w:sdtContent>
    </w:sdt>
    <w:p w:rsidR="00A753D1" w:rsidRDefault="00A753D1" w:rsidP="00A753D1">
      <w:pPr>
        <w:spacing w:line="360" w:lineRule="auto"/>
        <w:rPr>
          <w:b/>
          <w:sz w:val="24"/>
          <w:szCs w:val="24"/>
          <w:u w:val="single"/>
        </w:rPr>
      </w:pPr>
      <w:r w:rsidRPr="00B733A2">
        <w:rPr>
          <w:b/>
          <w:sz w:val="24"/>
          <w:szCs w:val="24"/>
          <w:u w:val="single"/>
        </w:rPr>
        <w:lastRenderedPageBreak/>
        <w:t>Introduction</w:t>
      </w:r>
    </w:p>
    <w:p w:rsidR="00A753D1" w:rsidRDefault="00A753D1" w:rsidP="00A753D1">
      <w:pPr>
        <w:spacing w:line="360" w:lineRule="auto"/>
        <w:rPr>
          <w:sz w:val="24"/>
          <w:szCs w:val="24"/>
        </w:rPr>
      </w:pPr>
      <w:r>
        <w:rPr>
          <w:sz w:val="24"/>
          <w:szCs w:val="24"/>
        </w:rPr>
        <w:t>Over the last century the educational industry in the United Kingdom (UK) has evolved significantly to enhance pedagogical learning through the use of digital innovation (DI) within professional practice, with digital technologies (DT) being a vital tool to enable this (Hashim, Tlemsani and Matthews, 2022). This revolution has evolved from the use of chalk boards in the early 1800’s, to gradually introducing new technologies as they have emerged as a result of Moores Law for cheap digital infrastructure, such as projectors, computers, laptops, connectivity apps and more recently virtual reality (Fichman, Santos and Zheng, 2014). This is in line with the United Nations vision for quality education for all, as part of their Sustainable Development 2030 Agenda that aims to provide inclusive and equitable education using DT (Haleem et al, 2022)</w:t>
      </w:r>
      <w:r w:rsidRPr="001E0D92">
        <w:rPr>
          <w:sz w:val="24"/>
          <w:szCs w:val="24"/>
        </w:rPr>
        <w:t>.</w:t>
      </w:r>
      <w:r>
        <w:rPr>
          <w:sz w:val="24"/>
          <w:szCs w:val="24"/>
        </w:rPr>
        <w:t xml:space="preserve"> This was enhanced further during the impact of the COVID-19 pandemic and lockdowns initiating school closures, resulting in learners needing DT in order to receive education remotely (Pozo et al, 2021). </w:t>
      </w:r>
    </w:p>
    <w:p w:rsidR="00A753D1" w:rsidRDefault="00A753D1" w:rsidP="00A753D1">
      <w:pPr>
        <w:spacing w:line="360" w:lineRule="auto"/>
        <w:rPr>
          <w:sz w:val="24"/>
          <w:szCs w:val="24"/>
        </w:rPr>
      </w:pPr>
      <w:r>
        <w:rPr>
          <w:sz w:val="24"/>
          <w:szCs w:val="24"/>
        </w:rPr>
        <w:t xml:space="preserve">The main role of DI in education and professional practice is to be utilised as an effective tool to enhance learner outcomes, assist system improvements, contribute to improved quality, support and satisfaction and to pass on knowledge effectively that fosters student engagement and motivation (Ng, 2015). However, not everyone is in agreement that DI in professional pedagogical practice is the way forward. McCarthy et al (2023) argues that DI in education and professional practice is still not a global universal concept due to a lack of governance, regulation, finances and resources and requires significant investment that many educational landscapes are unable to achieve. Additionally, Gkrimpizi, Peristeras and Magnisalis (2023) </w:t>
      </w:r>
      <w:r w:rsidRPr="00FB5712">
        <w:rPr>
          <w:sz w:val="24"/>
          <w:szCs w:val="24"/>
        </w:rPr>
        <w:t xml:space="preserve">share that from a teaching perspective, despite being essential, </w:t>
      </w:r>
      <w:r>
        <w:rPr>
          <w:sz w:val="24"/>
          <w:szCs w:val="24"/>
        </w:rPr>
        <w:t xml:space="preserve">DI </w:t>
      </w:r>
      <w:r w:rsidRPr="00FB5712">
        <w:rPr>
          <w:sz w:val="24"/>
          <w:szCs w:val="24"/>
        </w:rPr>
        <w:t xml:space="preserve">has not been integrated into education as </w:t>
      </w:r>
      <w:r>
        <w:rPr>
          <w:sz w:val="24"/>
          <w:szCs w:val="24"/>
        </w:rPr>
        <w:t>efficiently</w:t>
      </w:r>
      <w:r w:rsidRPr="00FB5712">
        <w:rPr>
          <w:sz w:val="24"/>
          <w:szCs w:val="24"/>
        </w:rPr>
        <w:t xml:space="preserve"> as it should considering its wider use in societ</w:t>
      </w:r>
      <w:r>
        <w:rPr>
          <w:sz w:val="24"/>
          <w:szCs w:val="24"/>
        </w:rPr>
        <w:t>y.</w:t>
      </w:r>
      <w:r w:rsidRPr="003D32BF">
        <w:rPr>
          <w:b/>
          <w:sz w:val="24"/>
          <w:szCs w:val="24"/>
        </w:rPr>
        <w:t xml:space="preserve"> </w:t>
      </w:r>
      <w:r>
        <w:rPr>
          <w:sz w:val="24"/>
          <w:szCs w:val="24"/>
        </w:rPr>
        <w:t>Uzorka, Namara and Olaniyan (2023) share</w:t>
      </w:r>
      <w:r w:rsidRPr="00FB5712">
        <w:rPr>
          <w:sz w:val="24"/>
          <w:szCs w:val="24"/>
        </w:rPr>
        <w:t xml:space="preserve"> many professionals are not up to date with the implementation of technology, pedagogical practices and frameworks for </w:t>
      </w:r>
      <w:r>
        <w:rPr>
          <w:sz w:val="24"/>
          <w:szCs w:val="24"/>
        </w:rPr>
        <w:t>DI</w:t>
      </w:r>
      <w:r w:rsidRPr="00FB5712">
        <w:rPr>
          <w:sz w:val="24"/>
          <w:szCs w:val="24"/>
        </w:rPr>
        <w:t xml:space="preserve">, have </w:t>
      </w:r>
      <w:r>
        <w:rPr>
          <w:sz w:val="24"/>
          <w:szCs w:val="24"/>
        </w:rPr>
        <w:t>a resistance to change,</w:t>
      </w:r>
      <w:r w:rsidRPr="00FB5712">
        <w:rPr>
          <w:sz w:val="24"/>
          <w:szCs w:val="24"/>
        </w:rPr>
        <w:t xml:space="preserve"> </w:t>
      </w:r>
      <w:r>
        <w:rPr>
          <w:sz w:val="24"/>
          <w:szCs w:val="24"/>
        </w:rPr>
        <w:t>lack confidence and expertise and display</w:t>
      </w:r>
      <w:r w:rsidRPr="00FB5712">
        <w:rPr>
          <w:sz w:val="24"/>
          <w:szCs w:val="24"/>
        </w:rPr>
        <w:t xml:space="preserve"> limited understanding of the benefits linked to </w:t>
      </w:r>
      <w:r>
        <w:rPr>
          <w:sz w:val="24"/>
          <w:szCs w:val="24"/>
        </w:rPr>
        <w:t>DI</w:t>
      </w:r>
      <w:r w:rsidRPr="00FB5712">
        <w:rPr>
          <w:sz w:val="24"/>
          <w:szCs w:val="24"/>
        </w:rPr>
        <w:t xml:space="preserve">. </w:t>
      </w:r>
      <w:r>
        <w:rPr>
          <w:sz w:val="24"/>
          <w:szCs w:val="24"/>
        </w:rPr>
        <w:t xml:space="preserve">That being said, despite not everyone in agreement that DI is the way forward in professional practice, as society travels further towards a digital era, more blended approaches are being used especially within higher and further education (HFE) settings (Adel and Dayan, 2021). This is to help with a more engaging, flexible, inclusive, accessible and personalised experience for students that can create equality of opportunity </w:t>
      </w:r>
      <w:r>
        <w:rPr>
          <w:sz w:val="24"/>
          <w:szCs w:val="24"/>
        </w:rPr>
        <w:lastRenderedPageBreak/>
        <w:t>in wider society and skill development (Yang et al, 2023). The following assignment will incorporate a miniature literature review based on creativity and digital innovation (C&amp;DI) within post compulsory education (PCE), followed by a justification for using a selected type of technology linked to a framework, which in this case was the Kahoot gamification platform (KGP). A lesson plan and photographic evidence will also be implemented and will then end with an evaluation and reflection of the DI outcome.</w:t>
      </w:r>
    </w:p>
    <w:p w:rsidR="00A753D1" w:rsidRDefault="00A753D1" w:rsidP="00A753D1">
      <w:pPr>
        <w:spacing w:line="360" w:lineRule="auto"/>
        <w:rPr>
          <w:sz w:val="24"/>
          <w:szCs w:val="24"/>
        </w:rPr>
      </w:pPr>
    </w:p>
    <w:p w:rsidR="00A753D1" w:rsidRPr="00C142D6" w:rsidRDefault="00A753D1" w:rsidP="00A753D1">
      <w:pPr>
        <w:spacing w:line="360" w:lineRule="auto"/>
        <w:rPr>
          <w:b/>
          <w:sz w:val="24"/>
          <w:szCs w:val="24"/>
          <w:u w:val="single"/>
        </w:rPr>
      </w:pPr>
      <w:r w:rsidRPr="00C142D6">
        <w:rPr>
          <w:b/>
          <w:sz w:val="24"/>
          <w:szCs w:val="24"/>
          <w:u w:val="single"/>
        </w:rPr>
        <w:t>Literature review</w:t>
      </w:r>
      <w:bookmarkStart w:id="0" w:name="_GoBack"/>
      <w:bookmarkEnd w:id="0"/>
    </w:p>
    <w:p w:rsidR="00A753D1" w:rsidRDefault="00A753D1" w:rsidP="00A753D1">
      <w:pPr>
        <w:spacing w:line="360" w:lineRule="auto"/>
        <w:rPr>
          <w:b/>
          <w:sz w:val="24"/>
          <w:szCs w:val="24"/>
          <w:u w:val="single"/>
        </w:rPr>
      </w:pPr>
      <w:r w:rsidRPr="00C142D6">
        <w:rPr>
          <w:b/>
          <w:sz w:val="24"/>
          <w:szCs w:val="24"/>
          <w:u w:val="single"/>
        </w:rPr>
        <w:t>The role of creativity and digital innovation</w:t>
      </w:r>
    </w:p>
    <w:p w:rsidR="00A753D1" w:rsidRDefault="00A753D1" w:rsidP="00A753D1">
      <w:pPr>
        <w:spacing w:line="360" w:lineRule="auto"/>
        <w:rPr>
          <w:sz w:val="24"/>
          <w:szCs w:val="24"/>
        </w:rPr>
      </w:pPr>
      <w:r>
        <w:rPr>
          <w:sz w:val="24"/>
          <w:szCs w:val="24"/>
        </w:rPr>
        <w:t>C&amp;DI can be described as critical inter-related methods that can be enhanced and cultivated to create opportunity through means of technology in efficient and diverse ways not previously thought possible (Ferrari, Cachia and Punie, 2009). Although broad, multifaceted and complex in nature, Li, Kim and Palkar (2022) describe creativity as one of the most critical skills needed in the 21</w:t>
      </w:r>
      <w:r w:rsidRPr="00397207">
        <w:rPr>
          <w:sz w:val="24"/>
          <w:szCs w:val="24"/>
          <w:vertAlign w:val="superscript"/>
        </w:rPr>
        <w:t>st</w:t>
      </w:r>
      <w:r>
        <w:rPr>
          <w:sz w:val="24"/>
          <w:szCs w:val="24"/>
        </w:rPr>
        <w:t xml:space="preserve"> century both inside and outside classroom environments in order to encourage students to reach their intellectual peak and potential. As the digital trends in today’s society have progressed, the methods in which people achieve visions, goals and overcome challenges have advanced, which has been particularly significant in educational environments based on alternative didactic methods (Rapanta et al, 2021).</w:t>
      </w:r>
    </w:p>
    <w:p w:rsidR="00A753D1" w:rsidRDefault="00A753D1" w:rsidP="00A753D1">
      <w:pPr>
        <w:spacing w:line="360" w:lineRule="auto"/>
        <w:rPr>
          <w:sz w:val="24"/>
          <w:szCs w:val="24"/>
        </w:rPr>
      </w:pPr>
      <w:r>
        <w:rPr>
          <w:sz w:val="24"/>
          <w:szCs w:val="24"/>
        </w:rPr>
        <w:t xml:space="preserve">In the view of Jackson (2019) C&amp;DI is essential in providing learners with transferable skills needed to adapt with rapid change, with DT and pedagogy often complimenting each other. This is based on pedagogy being an approach utilised by professionals to distribute knowledge and technology being that approach to change the way professionals translate knowledge for enhanced learner experience through smarter approaches (Race and Pickford, pg.11, 2007). However, Fischer, Lundin and Lindberg (2022) explain that whilst C&amp;DI may be instrumental in improving the learner environment, making sure it is adaptable and useable for learners is crucial otherwise it becomes inappropriate, ineffective and obsolete. This can allude to some theoretical principles where it is believed that pedagogical design decisions should be based on the learning theory of cognitive, associative and situative traditions as part of the ‘new science of learning’ (Mayes, pg. 17, </w:t>
      </w:r>
      <w:r>
        <w:rPr>
          <w:sz w:val="24"/>
          <w:szCs w:val="24"/>
        </w:rPr>
        <w:lastRenderedPageBreak/>
        <w:t>2019). The following Literature review will focus on three main Journal articles discussing C&amp;DI in PCE. In order to find the right academically valuable and reliable peer reviewed journal articles required for the literature review, the Critical Appraisal Skills Programme (CASP) evaluation tool will be utilised (Long, French and Brooks, 2020).</w:t>
      </w:r>
    </w:p>
    <w:p w:rsidR="00A753D1" w:rsidRDefault="00A753D1" w:rsidP="00A753D1">
      <w:pPr>
        <w:spacing w:line="360" w:lineRule="auto"/>
        <w:rPr>
          <w:sz w:val="24"/>
          <w:szCs w:val="24"/>
        </w:rPr>
      </w:pPr>
      <w:r>
        <w:rPr>
          <w:sz w:val="24"/>
          <w:szCs w:val="24"/>
        </w:rPr>
        <w:t>DI is not only used to help students, it can also help teachers develop a more creative working ethic and practice. An example of this includes e-learning, also known as technology enhanced learning, which can be carried out through various forms of technology which supports reuse and resource sharing (Concannon, Flynn and Campbell, 2005). Literature by Mayes and Freitas (2004) believes that e-learning influences the learning process by putting theory into practice and utilising technology through support.</w:t>
      </w:r>
    </w:p>
    <w:p w:rsidR="00A753D1" w:rsidRDefault="00A753D1" w:rsidP="00A753D1">
      <w:pPr>
        <w:spacing w:line="360" w:lineRule="auto"/>
        <w:rPr>
          <w:sz w:val="24"/>
          <w:szCs w:val="24"/>
        </w:rPr>
      </w:pPr>
      <w:r>
        <w:rPr>
          <w:sz w:val="24"/>
          <w:szCs w:val="24"/>
        </w:rPr>
        <w:t xml:space="preserve">Mayes and Freitas (2004) explain that due to the changing nature of teaching practice and the shifting of roles to include more training, such as safeguarding and with less time to do this, e-learning is becoming a more creative way to train teachers using pedagogical design. Additionally the literature by Mayes and Freitas (2004) suggests that utilising good pedagogical designs through e-learning can reduce inconsistencies between the curriculum taught, methods used, learning environment and procedures followed to improve learner outcomes. Liu, Zhao and Su (2022) are in agreement with Mayes and Freitas (2004) and state that computer technology development has enabled e-learning, as a remote interactive environment, to generate the construction of understanding for capable and confident learners and has been utilised more within PCE since the COVID-19 pandemic. Not only is this a more cost effective way to navigate training in a turbulent economic climate, but it can be flexible for busy schedules, achieved in a comfortable environment, generate quality teaching and can be a quick and effective way to deliver new pedagogical practices in the curriculum (Stecula and Wolniak, 2022). An example of this comes from the study by Nilsson and Lund (2018) who introduced in house digital didactic design </w:t>
      </w:r>
      <w:r w:rsidRPr="001D09ED">
        <w:rPr>
          <w:rFonts w:cstheme="minorHAnsi"/>
          <w:sz w:val="24"/>
          <w:szCs w:val="24"/>
          <w:shd w:val="clear" w:color="auto" w:fill="FFFFFF"/>
        </w:rPr>
        <w:t>(D</w:t>
      </w:r>
      <w:r w:rsidRPr="001D09ED">
        <w:rPr>
          <w:rFonts w:cstheme="minorHAnsi"/>
          <w:sz w:val="24"/>
          <w:szCs w:val="24"/>
          <w:shd w:val="clear" w:color="auto" w:fill="FFFFFF"/>
          <w:vertAlign w:val="superscript"/>
        </w:rPr>
        <w:t>3</w:t>
      </w:r>
      <w:r w:rsidRPr="001D09ED">
        <w:rPr>
          <w:rFonts w:cstheme="minorHAnsi"/>
          <w:sz w:val="24"/>
          <w:szCs w:val="24"/>
          <w:shd w:val="clear" w:color="auto" w:fill="FFFFFF"/>
        </w:rPr>
        <w:t>)</w:t>
      </w:r>
      <w:r>
        <w:rPr>
          <w:rFonts w:cstheme="minorHAnsi"/>
          <w:sz w:val="24"/>
          <w:szCs w:val="24"/>
          <w:shd w:val="clear" w:color="auto" w:fill="FFFFFF"/>
        </w:rPr>
        <w:t xml:space="preserve"> to science teachers, whereby they design their own DT in order to help develop individual knowledge of technology through active participation. The purpose was to enable experts in teaching and learning to understand the benefits of introducing a co-designed DT their students would find beneficial through a cognitive approach, whilst improving teacher knowledge, motivation and professional development (Nilsson and Lund, 2018).</w:t>
      </w:r>
    </w:p>
    <w:p w:rsidR="00A753D1" w:rsidRDefault="00A753D1" w:rsidP="00A753D1">
      <w:pPr>
        <w:spacing w:line="360" w:lineRule="auto"/>
        <w:rPr>
          <w:sz w:val="24"/>
          <w:szCs w:val="24"/>
        </w:rPr>
      </w:pPr>
      <w:r>
        <w:rPr>
          <w:sz w:val="24"/>
          <w:szCs w:val="24"/>
        </w:rPr>
        <w:lastRenderedPageBreak/>
        <w:t>However, Gherhes et al (2021) argue this form of C&amp;DI can take away the value of face to face learning that fosters a sense of belonging and can create more physical problems such as eyesight deterioration, back pain and reduces general interaction needed for effective communication and building relationships with learners. Maatuk et al (2022)</w:t>
      </w:r>
      <w:r>
        <w:rPr>
          <w:b/>
          <w:sz w:val="24"/>
          <w:szCs w:val="24"/>
        </w:rPr>
        <w:t xml:space="preserve"> </w:t>
      </w:r>
      <w:r>
        <w:rPr>
          <w:sz w:val="24"/>
          <w:szCs w:val="24"/>
        </w:rPr>
        <w:t>also disagrees with e-learning as a tool to improve digital skill acquisition by suggesting that following instructions removes creativity from learning as primarily focusing on theory removes the applied practice aspect. That being said Stefan (2012) believes that e-learning can be immersive and interactive when utilised and as technology develops further will become a mainstream exploratory and fertile form of creative learning in many other industries also. Furthermore, according to Albrahim (2020) being able to use digital systems required for e-learning will enhance teachers’ ability to be adaptable to technology as it becomes more mainstream within educational settings and remove discomfort. This is especially considering Schiuma, Schettini and Santarsiero (2021) understand DI as being more about talent and how to creatively use technology as a tool rather than the technology used which reiterates the importance of the report generated by Mayes and Freitas (2004).</w:t>
      </w:r>
    </w:p>
    <w:p w:rsidR="00A753D1" w:rsidRDefault="00A753D1" w:rsidP="00A753D1">
      <w:pPr>
        <w:spacing w:line="360" w:lineRule="auto"/>
        <w:rPr>
          <w:sz w:val="24"/>
          <w:szCs w:val="24"/>
        </w:rPr>
      </w:pPr>
      <w:r>
        <w:rPr>
          <w:sz w:val="24"/>
          <w:szCs w:val="24"/>
        </w:rPr>
        <w:t>Similar to e-learning, C&amp;DI has also been instrumental in helping classroom environments adapt to the inclusive practice of additional learning needs (ALN) and neurodiverse (ND) students (Zolyomi et al, 2018). As ALN and neurodiversity is becoming a more mainstream discourse in education, based on the emphasis that every individuals mind works differently through cognitive variation, creating a fit for purpose environment for these individuals to thrive and reduce difficulties is vital (Hamilton and Petty, 2023). That being said Syharat et al (2023) allude that many ALN and ND students have difficulty maintaining the unwritten institutional expectations of behaviour, interaction and studying, such as sitting still through lectures and reduced breaks that can cause loss of concentration and motivation. Sviridova et al (2023) believes that this is where immersive technologies, such as Virtual Reality (VR) and Augmented Reality (AR), can act as a tool to blur the lines between physical and digital worlds and improve academic performance, engagement and motivation of ALN and ND students. With this in mind Schmidt et al (2023)</w:t>
      </w:r>
      <w:r>
        <w:rPr>
          <w:b/>
          <w:sz w:val="24"/>
          <w:szCs w:val="24"/>
        </w:rPr>
        <w:t xml:space="preserve"> </w:t>
      </w:r>
      <w:r>
        <w:rPr>
          <w:sz w:val="24"/>
          <w:szCs w:val="24"/>
        </w:rPr>
        <w:t xml:space="preserve">believe that not only can VR/AR DT improve the quality of education by creating memory stimulation, but can also improve visual and spatial literacy. </w:t>
      </w:r>
    </w:p>
    <w:p w:rsidR="00A753D1" w:rsidRDefault="00A753D1" w:rsidP="00A753D1">
      <w:pPr>
        <w:spacing w:line="360" w:lineRule="auto"/>
        <w:rPr>
          <w:sz w:val="24"/>
          <w:szCs w:val="24"/>
        </w:rPr>
      </w:pPr>
      <w:r>
        <w:rPr>
          <w:sz w:val="24"/>
          <w:szCs w:val="24"/>
        </w:rPr>
        <w:lastRenderedPageBreak/>
        <w:t>The study by Sviridova et al (2023) was based on 180 students in two HFE institutions, where the effectiveness of using immersive technologies as a tool to improve academic success, motivation and involvement was utilised. Sviridova et al (2023) found that after using the motivation and engagement scale on three tests engagement and motivation did increase, however there was no impact on academic success and grade improvement which Hayat et al (2020) shares is the main indicator of measuring learning success. Additionally the studies by Sviridova et al (2023) did not highlight the amount of ALN or ND students that were involved, although Gurbuz, Hanley and Riby (2019) explain that roughly 2.4% of the UK population fall into the ND category with only around 40% of this statistic successfully completing PCE studies.</w:t>
      </w:r>
    </w:p>
    <w:p w:rsidR="00A753D1" w:rsidRDefault="00A753D1" w:rsidP="00A753D1">
      <w:pPr>
        <w:spacing w:line="360" w:lineRule="auto"/>
        <w:rPr>
          <w:sz w:val="24"/>
          <w:szCs w:val="24"/>
        </w:rPr>
      </w:pPr>
      <w:r>
        <w:rPr>
          <w:sz w:val="24"/>
          <w:szCs w:val="24"/>
        </w:rPr>
        <w:t xml:space="preserve">Many subjects such as architecture, aviation, design, construction and engineering are already advanced in utilising VR/AR tools to display 3D models and </w:t>
      </w:r>
      <w:r w:rsidRPr="00837DCE">
        <w:rPr>
          <w:rFonts w:cstheme="minorHAnsi"/>
          <w:sz w:val="24"/>
          <w:szCs w:val="24"/>
          <w:shd w:val="clear" w:color="auto" w:fill="FFFFFF"/>
        </w:rPr>
        <w:t>360° videos</w:t>
      </w:r>
      <w:r w:rsidRPr="00837DCE">
        <w:rPr>
          <w:sz w:val="27"/>
          <w:szCs w:val="27"/>
          <w:shd w:val="clear" w:color="auto" w:fill="FFFFFF"/>
        </w:rPr>
        <w:t xml:space="preserve"> </w:t>
      </w:r>
      <w:r>
        <w:rPr>
          <w:sz w:val="24"/>
          <w:szCs w:val="24"/>
        </w:rPr>
        <w:t>that take students to physically restricted locations, which also incorporates inclusivity, diversity and acceptance of ALN and ND students within the educational field (Marks and Thomas, 2022). This reiterates the notion that Sviridova et al (2023) share in VR/AR becoming a predominant concept within many HFE settings moving forward when bridging the gap between traditional teaching methods and real world experiences that goes beyond textbooks and lectures. That being said there needs to be ethical considerations when utilising this form of C&amp;DI so that mental and physical health, safety, privacy and autonomy is not impacted (Skulmowski, 2023). Not only is the cost of incorporating VR/AR into learning astronomical, but it also takes immense time, planning and training to effectively utilise these tools effectively and efficiently (Farra et al, 2020)</w:t>
      </w:r>
      <w:r w:rsidRPr="00D4154C">
        <w:rPr>
          <w:sz w:val="24"/>
          <w:szCs w:val="24"/>
        </w:rPr>
        <w:t>.</w:t>
      </w:r>
      <w:r>
        <w:rPr>
          <w:b/>
          <w:sz w:val="24"/>
          <w:szCs w:val="24"/>
        </w:rPr>
        <w:t xml:space="preserve"> </w:t>
      </w:r>
      <w:r w:rsidRPr="004476F0">
        <w:rPr>
          <w:sz w:val="24"/>
          <w:szCs w:val="24"/>
        </w:rPr>
        <w:t>Furthermore,</w:t>
      </w:r>
      <w:r>
        <w:rPr>
          <w:b/>
          <w:sz w:val="24"/>
          <w:szCs w:val="24"/>
        </w:rPr>
        <w:t xml:space="preserve"> </w:t>
      </w:r>
      <w:r>
        <w:rPr>
          <w:sz w:val="24"/>
          <w:szCs w:val="24"/>
        </w:rPr>
        <w:t xml:space="preserve">Al-Ansi et al (2023) highlights that there is limited and insufficient scientific knowledge on the impact that VR/AR tools have on learning outcomes for students of all abilities despite the wealth of opportunities it creates to leverage technology enhanced learning and individual customised learning experiences. </w:t>
      </w:r>
    </w:p>
    <w:p w:rsidR="00A753D1" w:rsidRDefault="00A753D1" w:rsidP="00A753D1">
      <w:pPr>
        <w:spacing w:line="360" w:lineRule="auto"/>
        <w:rPr>
          <w:sz w:val="24"/>
          <w:szCs w:val="24"/>
        </w:rPr>
      </w:pPr>
      <w:r>
        <w:rPr>
          <w:sz w:val="24"/>
          <w:szCs w:val="24"/>
        </w:rPr>
        <w:t xml:space="preserve">Whilst VR/AR may be disputable as effective tools that can be widely utilised within all areas of education, there are other forms of C&amp;DI that can be utilised more extensively to shape pedagogical experiences at a more affordable cost (Menon, 2022). One of these tools is gamification which refers to an educational approach using digital game design in order to motivate students for optimised learning and support behaviour change (Smiderle et al, </w:t>
      </w:r>
      <w:r>
        <w:rPr>
          <w:sz w:val="24"/>
          <w:szCs w:val="24"/>
        </w:rPr>
        <w:lastRenderedPageBreak/>
        <w:t xml:space="preserve">2020). As the use of smartphones are now a standard addition to society in general, education is slowly moving from the previous notion that mobile phone use should be limited and kept away during lesson time, to a more opportunistic method of teaching that can foster collaborative learning experiences (Mohammadi, Sarvestani and Nouroozi, 2020). One study that focuses on utilising smartphone use for gamification was conducted by Neureiter et al (2020) who incorporated the online gaming platform Kahoot in a medical educational environment to help second year medical students learn four major topics. </w:t>
      </w:r>
    </w:p>
    <w:p w:rsidR="00A753D1" w:rsidRDefault="00A753D1" w:rsidP="00A753D1">
      <w:pPr>
        <w:spacing w:line="360" w:lineRule="auto"/>
        <w:rPr>
          <w:sz w:val="24"/>
          <w:szCs w:val="24"/>
        </w:rPr>
      </w:pPr>
      <w:r>
        <w:rPr>
          <w:sz w:val="24"/>
          <w:szCs w:val="24"/>
        </w:rPr>
        <w:t xml:space="preserve">Neureiter et al (2020) found that when utilising Kahoot as part of teaching, the percentage of correct answers increased from 45% prior to using the platform to 76.3% post using the platform, with the time taken to answer questions decreasing from 50% making the average time to answer move from 8.3 seconds to 4.3 seconds. This suggests that utilising a gamification platform via smartphone in a classroom situation can help students become more motivated, increase engagement and retain more information, thus strengthening the education system and academic achievement (Pechenkina et al, 2017). Salhab and Daher (2023) believe this could be a result of empowering students to take control of their own learning through a medium like technology they feel they can connect on a more intimate level with. Having said that, Tofade, Elsner and Haines (2013) highlight that gamification questions are only able to ask lower level convergent questions that require factual recall rather than in depth higher order divergent questions that promote analysis and evaluation or deep critical thinking processes. This is a negative aspect reflected in the study by Neureiter et al (2020) as there were no questions based on epidemiological content, ethical patient questionnaires or medical testing as part of the KGP. </w:t>
      </w:r>
    </w:p>
    <w:p w:rsidR="00A753D1" w:rsidRDefault="00A753D1" w:rsidP="00A753D1">
      <w:pPr>
        <w:spacing w:line="360" w:lineRule="auto"/>
        <w:rPr>
          <w:sz w:val="24"/>
          <w:szCs w:val="24"/>
        </w:rPr>
      </w:pPr>
      <w:r>
        <w:rPr>
          <w:sz w:val="24"/>
          <w:szCs w:val="24"/>
        </w:rPr>
        <w:t xml:space="preserve">The study by Neureiter et al (2020) fails to include the main limitations linked to gamification platforms. Wang and Tahir (2020) advise that although Kahoot has roughly seventy million active users, with 50% of this number being student led, there can be some concerning issues that can increase student anxiety such as stressful time pressure, unstable internet connection and fear of losing. That being said DT integration will always have limitations, similar to traditional teaching methods, where certain students will not engage well (Schwerdt and Wuppermann, 2011). Evidence by Licorish et al (2018) agrees with the study by Neureiter et al (2020) indicating that their key findings revealed educational games minimise distractions and improve teaching quality to enhance classroom dynamics, </w:t>
      </w:r>
      <w:r>
        <w:rPr>
          <w:sz w:val="24"/>
          <w:szCs w:val="24"/>
        </w:rPr>
        <w:lastRenderedPageBreak/>
        <w:t xml:space="preserve">motivation and the learning process for a more enriched learning quality not found in conventional teaching. </w:t>
      </w:r>
    </w:p>
    <w:p w:rsidR="00A753D1" w:rsidRPr="007A75E8" w:rsidRDefault="00A753D1" w:rsidP="00A753D1">
      <w:pPr>
        <w:spacing w:line="360" w:lineRule="auto"/>
        <w:rPr>
          <w:sz w:val="24"/>
          <w:szCs w:val="24"/>
        </w:rPr>
      </w:pPr>
    </w:p>
    <w:p w:rsidR="00A753D1" w:rsidRDefault="00A753D1" w:rsidP="00A753D1">
      <w:pPr>
        <w:spacing w:line="360" w:lineRule="auto"/>
        <w:rPr>
          <w:b/>
          <w:sz w:val="24"/>
          <w:szCs w:val="24"/>
          <w:u w:val="single"/>
        </w:rPr>
      </w:pPr>
      <w:r>
        <w:rPr>
          <w:b/>
          <w:sz w:val="24"/>
          <w:szCs w:val="24"/>
          <w:u w:val="single"/>
        </w:rPr>
        <w:t>Selection and justification of appropriate teaching tools/resources</w:t>
      </w:r>
    </w:p>
    <w:p w:rsidR="00A753D1" w:rsidRDefault="00A753D1" w:rsidP="00A753D1">
      <w:pPr>
        <w:spacing w:line="360" w:lineRule="auto"/>
        <w:rPr>
          <w:sz w:val="24"/>
          <w:szCs w:val="24"/>
        </w:rPr>
      </w:pPr>
      <w:r>
        <w:rPr>
          <w:sz w:val="24"/>
          <w:szCs w:val="24"/>
        </w:rPr>
        <w:t>Based on the information found on C&amp;DI in the previous literature review and how certain digital tools can aid in increased academic performance, I have decided to utilise the KGP in order to explore the link between pedagogy and technology. This is based on the pedagogical Cognitive Theory of Learning/Development by Jean Piaget where learners takes active roles in the learning process, utilising cognitive skills such as thinking, reading, retaining information, learning, reasoning, decision making, problem solving and paying attention to complete tasks (Khan, Adnan and Raza, 2023). Bygstad et al (2022) illustrate that by facilitating C&amp;DI cognitive learning is promoted to help foster engagement, motivation and goal achievement from new experiences which are instrumental in academic success and cognitive development. As constructivism plays a dominant role in education philosophy and the modern learning and teaching process, this is also interlinked with the Social Development Theory by Lev Vygotsky, which indicates that learning is guided by social interaction and environment (Erbil, 2020). In HFE this can relate to intrapersonal and interpersonal levels of cooperative activity and its ability to emphasise potential in learners within the cultural setting they are exposed to (Lai, 2023).</w:t>
      </w:r>
    </w:p>
    <w:p w:rsidR="00A753D1" w:rsidRDefault="00A753D1" w:rsidP="00A753D1">
      <w:pPr>
        <w:spacing w:line="360" w:lineRule="auto"/>
        <w:rPr>
          <w:sz w:val="24"/>
          <w:szCs w:val="24"/>
        </w:rPr>
      </w:pPr>
      <w:r>
        <w:rPr>
          <w:sz w:val="24"/>
          <w:szCs w:val="24"/>
        </w:rPr>
        <w:t xml:space="preserve">That being said, Constructivism is a classic theory that can also be described as outdated in relation to education, hence a newer and more modernised theory that Dziubaniuk, Ivanova-Gongne and Nyholm (2023) share can be applied to the changes towards digitalisation of the learning environment known as Connectivism Learning Theory. The Connectivism Learning Theory, first introduced by George Siemens in 2004, believes that learning should be a collaborative approach in order to distribute knowledge via a variety of networks within technological environments, which is shaping how we communicate, live and learn in order to enhance autonomy, connectedness, motivation, diversity and openness (Hendricks, 2019). Whilst Corbett and Spinello (2020) insinuate that the Connectivism Theory has a lack of boundaries with limited evidence to either prove or disprove it in comparison to older theories, such as constructivism, behaviourism and </w:t>
      </w:r>
      <w:r>
        <w:rPr>
          <w:sz w:val="24"/>
          <w:szCs w:val="24"/>
        </w:rPr>
        <w:lastRenderedPageBreak/>
        <w:t xml:space="preserve">cognitivism, it can be utilised as a blended approach alongside older learning theories to determine the application of C&amp;DI. This has helped me justify using the KGP as a teaching tool in HFE. </w:t>
      </w:r>
    </w:p>
    <w:p w:rsidR="00A753D1" w:rsidRDefault="00A753D1" w:rsidP="00A753D1">
      <w:pPr>
        <w:spacing w:line="360" w:lineRule="auto"/>
        <w:rPr>
          <w:sz w:val="24"/>
          <w:szCs w:val="24"/>
        </w:rPr>
      </w:pPr>
      <w:r>
        <w:rPr>
          <w:sz w:val="24"/>
          <w:szCs w:val="24"/>
        </w:rPr>
        <w:t xml:space="preserve">As well as utilising pedagogical theories to justify using Kahoot as a digital teaching tool, it is also important to utilise a framework to aid in integrating technology into the classroom. Frameworks are described as the scaffolding used to help the decision making process and inform teachers of models used to achieve desired learning outcomes (Donnelly, McGarr and O’Reilly, 2011). Of the many frameworks available, such as TIMS, RAT and TPACK, I decided to determine the appropriateness of using Kahoot as a teaching tool based on the framework SAMR. The SAMR model, designed by Dr Ruben Puentedura, is a conceptual framework that focuses on four stages of technology integration, with the acronym SAMR standing for Substitution, Augmentation, Modification and Redefinition and assists teachers in thinking about how they can design, create and integrate technology into education (Blundell, Mukherjee and Nykvist, 2022). </w:t>
      </w:r>
    </w:p>
    <w:p w:rsidR="00A753D1" w:rsidRPr="00E139B3" w:rsidRDefault="00A753D1" w:rsidP="00A753D1">
      <w:pPr>
        <w:spacing w:line="360" w:lineRule="auto"/>
        <w:rPr>
          <w:b/>
          <w:sz w:val="24"/>
          <w:szCs w:val="24"/>
        </w:rPr>
      </w:pPr>
      <w:r>
        <w:rPr>
          <w:b/>
          <w:sz w:val="24"/>
          <w:szCs w:val="24"/>
        </w:rPr>
        <w:t>Please refer to appendix</w:t>
      </w:r>
      <w:r w:rsidRPr="00E139B3">
        <w:rPr>
          <w:b/>
          <w:sz w:val="24"/>
          <w:szCs w:val="24"/>
        </w:rPr>
        <w:t xml:space="preserve"> 1 for further information on SAMR</w:t>
      </w:r>
      <w:r>
        <w:rPr>
          <w:b/>
          <w:sz w:val="24"/>
          <w:szCs w:val="24"/>
        </w:rPr>
        <w:t>.</w:t>
      </w:r>
    </w:p>
    <w:p w:rsidR="00A753D1" w:rsidRDefault="00A753D1" w:rsidP="00A753D1">
      <w:pPr>
        <w:spacing w:line="360" w:lineRule="auto"/>
        <w:rPr>
          <w:sz w:val="24"/>
          <w:szCs w:val="24"/>
        </w:rPr>
      </w:pPr>
      <w:r>
        <w:rPr>
          <w:sz w:val="24"/>
          <w:szCs w:val="24"/>
        </w:rPr>
        <w:t>One of the main benefits of using the SAMR model as a framework, is that teachers do not necessarily have to follow all four stages when integrating technology, but rather refer to select stages that reflect the reason for using technology as a replacement for more traditional teaching (Rehman and Aurangzeb, 2021).  Additionally SAMR can be viewed as helping technology integration be cost effective and allows teachers to visualise a more blended approach, which is beneficial for learners and teachers alike who enjoy learning from traditional teaching but are also able to participate effectively through technology (Reich, Rooney and Lizier, 2021). However, there are limitations to using the SAMR framework. Hamilton, Rosenberg and Akcaoglu (2016) indicate that whilst SAMR may be a good foundation for technology integration in HFE, the relationship between pedagogy, content and technology is complex in nature and SAMR can over simplify this concept by focusing on product over process. In comparison using another framework such a TPACK, which stands for Technological Pedagogical Content Knowledge framework, could also have been a beneficial option.</w:t>
      </w:r>
    </w:p>
    <w:p w:rsidR="00A753D1" w:rsidRDefault="00A753D1" w:rsidP="00A753D1">
      <w:pPr>
        <w:spacing w:line="360" w:lineRule="auto"/>
        <w:rPr>
          <w:sz w:val="24"/>
          <w:szCs w:val="24"/>
        </w:rPr>
      </w:pPr>
      <w:r>
        <w:rPr>
          <w:sz w:val="24"/>
          <w:szCs w:val="24"/>
        </w:rPr>
        <w:lastRenderedPageBreak/>
        <w:t xml:space="preserve">TPACK focuses more on enabling teachers to understand the link and what to combine between technology, pedagogy and content and using their own knowledge when integrating technology as part of a lecture for improved learning experiences (Elmaadaway and Abouelenein, 2022). That being said Bajracharya (2021) mentions that despite access to technological frameworks and plans for government policies to be implemented to encourage technology integration, research shows that many classrooms are still not sufficiently technologically equipped and inadequate teaching competencies cannot guarantee successful technology practice and integration. This is where e-learning as a way to mitigate these inadequacies, as previously mentioned by Mayes and Freitas (2004), will be vital in implementing throughout PCE so that frameworks such as SAMR can be utilised to enhance DI. Nevertheless, I feel SAMR falls within the domain of cognitive pedagogy, as explained by Suryani, Heru and Masagus (2019) and can boost confidence, enable learners to connect with new information and help retain knowledge which is why I personally felt it was the more beneficial framework to follow. </w:t>
      </w:r>
    </w:p>
    <w:p w:rsidR="00A753D1" w:rsidRDefault="00A753D1" w:rsidP="00A753D1">
      <w:pPr>
        <w:spacing w:line="360" w:lineRule="auto"/>
        <w:rPr>
          <w:sz w:val="24"/>
          <w:szCs w:val="24"/>
        </w:rPr>
      </w:pPr>
      <w:r>
        <w:rPr>
          <w:sz w:val="24"/>
          <w:szCs w:val="24"/>
        </w:rPr>
        <w:t xml:space="preserve">For my personal teaching session I followed two different stages which helped me integrate the KGP and that was based on the second stage augmentation and the third stage modification. This is because the augmentation stage refers to using technology as a way to either exchange or improve current methods for enhanced learning and the modification stage refers to technology promoting the learning opportunity that would not have occurred had technology not been implemented, thus transforming the assigned activity (Rehman and Aurangzeb, 2021). Based on this framework I used the KGP to exchange the traditional way of asking questions for a more interactive method of assessment via smartphone usage. This was to discover if students had understood the lecture I presented and to identify if the learning outcomes had been met which I believed could improve engagement and participation. Furthermore utilising smartphone usage promoted the learning opportunity as more people became involved in answering the questions, especially those who are not as confident in public speaking therefore transforming the assigned activity to a more inclusive environment (Mohammadi, Sarvestani and Nouroozi, 2020).  </w:t>
      </w:r>
    </w:p>
    <w:p w:rsidR="00A753D1" w:rsidRDefault="00A753D1" w:rsidP="00A753D1">
      <w:pPr>
        <w:spacing w:line="360" w:lineRule="auto"/>
        <w:rPr>
          <w:b/>
          <w:sz w:val="24"/>
          <w:szCs w:val="24"/>
          <w:u w:val="single"/>
        </w:rPr>
      </w:pPr>
    </w:p>
    <w:p w:rsidR="00A753D1" w:rsidRDefault="00A753D1" w:rsidP="00A753D1">
      <w:pPr>
        <w:spacing w:line="360" w:lineRule="auto"/>
        <w:rPr>
          <w:b/>
          <w:sz w:val="24"/>
          <w:szCs w:val="24"/>
          <w:u w:val="single"/>
        </w:rPr>
      </w:pPr>
    </w:p>
    <w:p w:rsidR="00A753D1" w:rsidRDefault="00A753D1" w:rsidP="00A753D1">
      <w:pPr>
        <w:spacing w:line="360" w:lineRule="auto"/>
        <w:rPr>
          <w:b/>
          <w:sz w:val="24"/>
          <w:szCs w:val="24"/>
          <w:u w:val="single"/>
        </w:rPr>
      </w:pPr>
      <w:r>
        <w:rPr>
          <w:b/>
          <w:sz w:val="24"/>
          <w:szCs w:val="24"/>
          <w:u w:val="single"/>
        </w:rPr>
        <w:lastRenderedPageBreak/>
        <w:t>Application of select learning tools</w:t>
      </w:r>
    </w:p>
    <w:p w:rsidR="00A753D1" w:rsidRDefault="00A753D1" w:rsidP="00A753D1">
      <w:pPr>
        <w:spacing w:line="360" w:lineRule="auto"/>
        <w:rPr>
          <w:b/>
          <w:sz w:val="24"/>
          <w:szCs w:val="24"/>
          <w:u w:val="single"/>
        </w:rPr>
      </w:pPr>
      <w:r>
        <w:rPr>
          <w:sz w:val="24"/>
          <w:szCs w:val="24"/>
        </w:rPr>
        <w:t>In order to apply the KGP I delivered a thirty</w:t>
      </w:r>
      <w:r w:rsidRPr="00474DF8">
        <w:rPr>
          <w:sz w:val="24"/>
          <w:szCs w:val="24"/>
        </w:rPr>
        <w:t xml:space="preserve"> min</w:t>
      </w:r>
      <w:r>
        <w:rPr>
          <w:sz w:val="24"/>
          <w:szCs w:val="24"/>
        </w:rPr>
        <w:t>ute</w:t>
      </w:r>
      <w:r w:rsidRPr="00474DF8">
        <w:rPr>
          <w:sz w:val="24"/>
          <w:szCs w:val="24"/>
        </w:rPr>
        <w:t xml:space="preserve"> </w:t>
      </w:r>
      <w:r>
        <w:rPr>
          <w:sz w:val="24"/>
          <w:szCs w:val="24"/>
        </w:rPr>
        <w:t>PowerP</w:t>
      </w:r>
      <w:r w:rsidRPr="00474DF8">
        <w:rPr>
          <w:sz w:val="24"/>
          <w:szCs w:val="24"/>
        </w:rPr>
        <w:t xml:space="preserve">oint </w:t>
      </w:r>
      <w:r>
        <w:rPr>
          <w:sz w:val="24"/>
          <w:szCs w:val="24"/>
        </w:rPr>
        <w:t xml:space="preserve">lecture </w:t>
      </w:r>
      <w:r w:rsidRPr="00474DF8">
        <w:rPr>
          <w:sz w:val="24"/>
          <w:szCs w:val="24"/>
        </w:rPr>
        <w:t>on</w:t>
      </w:r>
      <w:r>
        <w:rPr>
          <w:sz w:val="24"/>
          <w:szCs w:val="24"/>
        </w:rPr>
        <w:t xml:space="preserve"> nutrition and the fundamentals of protein intake for post exercise recovery. Rather than asking questions at the end and only having one or two students respond I used the KGP as the DI to engage the whole class by integrating smartphone use. The purpose was to allow students to get out of their seats to scan the Quick Response (QR) code from the presentation via their smartphone, which was to prompt student movement after being sedentary, therefore encouraging emotional regulation and brain stimulation known to enhance concentration, alertness and enjoyment (Peiris et al, 2021). Once the QR code was scanned using the camera on the student smartphone, the students entered their name which automatically linked them to the KGP which then appeared on the main screen for all to view (Neureiter et al, 2020). Questions then appeared on the main screen designed by myself based on the lecture carried out and each question allowed a twenty second time limit for students to answer. The screen then showed the students answers and gave more points to whoever answered the quickest. This provides healthy competition for cooperative learning which aids in higher levels of motivation and engagement for improved cognitive learning outcomes (Goshevski, Veljanoska and Hatziapostolou, 2017). </w:t>
      </w:r>
    </w:p>
    <w:p w:rsidR="00A753D1" w:rsidRDefault="00A753D1" w:rsidP="00A753D1">
      <w:pPr>
        <w:rPr>
          <w:b/>
          <w:sz w:val="24"/>
          <w:szCs w:val="24"/>
          <w:u w:val="single"/>
        </w:rPr>
      </w:pPr>
    </w:p>
    <w:p w:rsidR="00A753D1" w:rsidRDefault="00A753D1" w:rsidP="00A753D1">
      <w:pPr>
        <w:rPr>
          <w:b/>
          <w:sz w:val="24"/>
          <w:szCs w:val="24"/>
          <w:u w:val="single"/>
        </w:rPr>
      </w:pPr>
    </w:p>
    <w:p w:rsidR="00A753D1" w:rsidRDefault="00A753D1" w:rsidP="00A753D1">
      <w:pPr>
        <w:rPr>
          <w:b/>
          <w:sz w:val="24"/>
          <w:szCs w:val="24"/>
          <w:u w:val="single"/>
        </w:rPr>
      </w:pPr>
    </w:p>
    <w:p w:rsidR="00A753D1" w:rsidRDefault="00A753D1" w:rsidP="00A753D1">
      <w:pPr>
        <w:rPr>
          <w:b/>
          <w:sz w:val="24"/>
          <w:szCs w:val="24"/>
          <w:u w:val="single"/>
        </w:rPr>
      </w:pPr>
    </w:p>
    <w:p w:rsidR="00A753D1" w:rsidRDefault="00A753D1" w:rsidP="00A753D1">
      <w:pPr>
        <w:rPr>
          <w:b/>
          <w:sz w:val="24"/>
          <w:szCs w:val="24"/>
          <w:u w:val="single"/>
        </w:rPr>
      </w:pPr>
    </w:p>
    <w:p w:rsidR="00A753D1" w:rsidRDefault="00A753D1" w:rsidP="00A753D1">
      <w:pPr>
        <w:rPr>
          <w:b/>
          <w:sz w:val="24"/>
          <w:szCs w:val="24"/>
          <w:u w:val="single"/>
        </w:rPr>
      </w:pPr>
    </w:p>
    <w:p w:rsidR="00A753D1" w:rsidRDefault="00A753D1" w:rsidP="00A753D1">
      <w:pPr>
        <w:rPr>
          <w:b/>
          <w:sz w:val="24"/>
          <w:szCs w:val="24"/>
          <w:u w:val="single"/>
        </w:rPr>
      </w:pPr>
    </w:p>
    <w:p w:rsidR="00A753D1" w:rsidRDefault="00A753D1" w:rsidP="00A753D1">
      <w:pPr>
        <w:rPr>
          <w:b/>
          <w:sz w:val="24"/>
          <w:szCs w:val="24"/>
          <w:u w:val="single"/>
        </w:rPr>
      </w:pPr>
    </w:p>
    <w:p w:rsidR="00A753D1" w:rsidRDefault="00A753D1" w:rsidP="00A753D1">
      <w:pPr>
        <w:rPr>
          <w:b/>
          <w:sz w:val="24"/>
          <w:szCs w:val="24"/>
          <w:u w:val="single"/>
        </w:rPr>
      </w:pPr>
    </w:p>
    <w:p w:rsidR="00A753D1" w:rsidRDefault="00A753D1" w:rsidP="00A753D1">
      <w:pPr>
        <w:rPr>
          <w:b/>
          <w:sz w:val="24"/>
          <w:szCs w:val="24"/>
          <w:u w:val="single"/>
        </w:rPr>
      </w:pPr>
    </w:p>
    <w:p w:rsidR="00A753D1" w:rsidRDefault="00A753D1" w:rsidP="00A753D1">
      <w:pPr>
        <w:rPr>
          <w:b/>
          <w:sz w:val="24"/>
          <w:szCs w:val="24"/>
          <w:u w:val="single"/>
        </w:rPr>
      </w:pPr>
    </w:p>
    <w:p w:rsidR="00A753D1" w:rsidRDefault="00A753D1" w:rsidP="00A753D1">
      <w:pPr>
        <w:rPr>
          <w:b/>
          <w:sz w:val="24"/>
          <w:szCs w:val="24"/>
          <w:u w:val="single"/>
        </w:rPr>
      </w:pPr>
      <w:r w:rsidRPr="00744DCA">
        <w:rPr>
          <w:b/>
          <w:sz w:val="24"/>
          <w:szCs w:val="24"/>
          <w:u w:val="single"/>
        </w:rPr>
        <w:lastRenderedPageBreak/>
        <w:t>Lesson plan</w:t>
      </w:r>
    </w:p>
    <w:p w:rsidR="00A753D1" w:rsidRDefault="00A753D1" w:rsidP="00A753D1">
      <w:pPr>
        <w:rPr>
          <w:lang w:eastAsia="x-none"/>
        </w:rPr>
      </w:pPr>
    </w:p>
    <w:p w:rsidR="00A753D1" w:rsidRDefault="00A753D1" w:rsidP="00A753D1">
      <w:pPr>
        <w:jc w:val="center"/>
        <w:rPr>
          <w:lang w:eastAsia="x-none"/>
        </w:rPr>
      </w:pPr>
      <w:r w:rsidRPr="00AA4407">
        <w:rPr>
          <w:noProof/>
          <w:lang w:eastAsia="en-GB"/>
        </w:rPr>
        <w:drawing>
          <wp:inline distT="0" distB="0" distL="0" distR="0" wp14:anchorId="115D31A3" wp14:editId="3F45EBD1">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rsidR="00A753D1" w:rsidRPr="002B7E18" w:rsidRDefault="00A753D1" w:rsidP="00A753D1">
      <w:pPr>
        <w:pStyle w:val="Caption"/>
        <w:tabs>
          <w:tab w:val="left" w:pos="615"/>
          <w:tab w:val="center" w:pos="4802"/>
        </w:tabs>
        <w:jc w:val="center"/>
      </w:pPr>
    </w:p>
    <w:p w:rsidR="00A753D1" w:rsidRDefault="00A753D1" w:rsidP="00A753D1">
      <w:pPr>
        <w:pStyle w:val="Title"/>
        <w:jc w:val="left"/>
      </w:pPr>
      <w:r>
        <w:t xml:space="preserve">                                                 </w:t>
      </w:r>
    </w:p>
    <w:p w:rsidR="00A753D1" w:rsidRDefault="00A753D1" w:rsidP="00A753D1">
      <w:pPr>
        <w:pStyle w:val="Title"/>
      </w:pPr>
      <w:r>
        <w:t>Lesson Plan</w:t>
      </w:r>
    </w:p>
    <w:p w:rsidR="00A753D1" w:rsidRDefault="00A753D1" w:rsidP="00A753D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753D1" w:rsidRPr="00887937" w:rsidTr="00CD6954">
        <w:trPr>
          <w:cantSplit/>
        </w:trPr>
        <w:tc>
          <w:tcPr>
            <w:tcW w:w="4909" w:type="dxa"/>
            <w:gridSpan w:val="2"/>
          </w:tcPr>
          <w:p w:rsidR="00A753D1" w:rsidRPr="008127C7" w:rsidRDefault="00A753D1" w:rsidP="00CD6954">
            <w:pPr>
              <w:jc w:val="both"/>
              <w:rPr>
                <w:rFonts w:ascii="Calibri" w:hAnsi="Calibri" w:cs="Calibri"/>
                <w:b/>
                <w:sz w:val="24"/>
              </w:rPr>
            </w:pPr>
            <w:r w:rsidRPr="008127C7">
              <w:rPr>
                <w:rFonts w:ascii="Calibri" w:hAnsi="Calibri" w:cs="Calibri"/>
                <w:b/>
                <w:sz w:val="24"/>
              </w:rPr>
              <w:t xml:space="preserve">Topic: </w:t>
            </w:r>
            <w:r w:rsidRPr="008127C7">
              <w:rPr>
                <w:rFonts w:ascii="Calibri" w:hAnsi="Calibri" w:cs="Calibri"/>
                <w:sz w:val="24"/>
              </w:rPr>
              <w:t>Nutrition and protein intake for post exercise recovery (Ergogenics)</w:t>
            </w:r>
          </w:p>
        </w:tc>
        <w:tc>
          <w:tcPr>
            <w:tcW w:w="4914" w:type="dxa"/>
            <w:gridSpan w:val="2"/>
          </w:tcPr>
          <w:p w:rsidR="00A753D1" w:rsidRPr="008127C7" w:rsidRDefault="00A753D1" w:rsidP="00CD6954">
            <w:pPr>
              <w:jc w:val="both"/>
              <w:rPr>
                <w:rFonts w:ascii="Calibri" w:hAnsi="Calibri" w:cs="Calibri"/>
                <w:b/>
                <w:sz w:val="24"/>
              </w:rPr>
            </w:pPr>
            <w:r w:rsidRPr="008127C7">
              <w:rPr>
                <w:rFonts w:ascii="Calibri" w:hAnsi="Calibri" w:cs="Calibri"/>
                <w:b/>
                <w:sz w:val="24"/>
              </w:rPr>
              <w:t xml:space="preserve">Class: </w:t>
            </w:r>
            <w:r w:rsidRPr="008127C7">
              <w:rPr>
                <w:rFonts w:ascii="Calibri" w:hAnsi="Calibri" w:cs="Calibri"/>
                <w:sz w:val="24"/>
              </w:rPr>
              <w:t>PCET</w:t>
            </w:r>
          </w:p>
          <w:p w:rsidR="00A753D1" w:rsidRPr="008127C7" w:rsidRDefault="00A753D1" w:rsidP="00CD6954">
            <w:pPr>
              <w:jc w:val="both"/>
              <w:rPr>
                <w:rFonts w:ascii="Calibri" w:hAnsi="Calibri" w:cs="Calibri"/>
                <w:b/>
                <w:sz w:val="24"/>
              </w:rPr>
            </w:pPr>
          </w:p>
        </w:tc>
      </w:tr>
      <w:tr w:rsidR="00A753D1" w:rsidRPr="00887937" w:rsidTr="00CD6954">
        <w:tc>
          <w:tcPr>
            <w:tcW w:w="2802" w:type="dxa"/>
            <w:tcBorders>
              <w:bottom w:val="nil"/>
            </w:tcBorders>
          </w:tcPr>
          <w:p w:rsidR="00A753D1" w:rsidRPr="008127C7" w:rsidRDefault="00A753D1" w:rsidP="00CD6954">
            <w:pPr>
              <w:jc w:val="both"/>
              <w:rPr>
                <w:rFonts w:ascii="Calibri" w:hAnsi="Calibri" w:cs="Calibri"/>
                <w:b/>
                <w:sz w:val="24"/>
              </w:rPr>
            </w:pPr>
            <w:r w:rsidRPr="008127C7">
              <w:rPr>
                <w:rFonts w:ascii="Calibri" w:hAnsi="Calibri" w:cs="Calibri"/>
                <w:b/>
                <w:sz w:val="24"/>
              </w:rPr>
              <w:t>Date: 28/11/23</w:t>
            </w:r>
          </w:p>
          <w:p w:rsidR="00A753D1" w:rsidRPr="008127C7" w:rsidRDefault="00A753D1" w:rsidP="00CD6954">
            <w:pPr>
              <w:jc w:val="both"/>
              <w:rPr>
                <w:rFonts w:ascii="Calibri" w:hAnsi="Calibri" w:cs="Calibri"/>
                <w:b/>
                <w:sz w:val="24"/>
              </w:rPr>
            </w:pPr>
          </w:p>
        </w:tc>
        <w:tc>
          <w:tcPr>
            <w:tcW w:w="4110" w:type="dxa"/>
            <w:gridSpan w:val="2"/>
            <w:tcBorders>
              <w:bottom w:val="nil"/>
            </w:tcBorders>
          </w:tcPr>
          <w:p w:rsidR="00A753D1" w:rsidRPr="008127C7" w:rsidRDefault="00A753D1" w:rsidP="00CD6954">
            <w:pPr>
              <w:jc w:val="both"/>
              <w:rPr>
                <w:rFonts w:ascii="Calibri" w:hAnsi="Calibri" w:cs="Calibri"/>
                <w:b/>
                <w:sz w:val="24"/>
              </w:rPr>
            </w:pPr>
            <w:r w:rsidRPr="008127C7">
              <w:rPr>
                <w:rFonts w:ascii="Calibri" w:hAnsi="Calibri" w:cs="Calibri"/>
                <w:b/>
                <w:sz w:val="24"/>
              </w:rPr>
              <w:t>Length of lesson: 30 minutes</w:t>
            </w:r>
          </w:p>
        </w:tc>
        <w:tc>
          <w:tcPr>
            <w:tcW w:w="2911" w:type="dxa"/>
            <w:tcBorders>
              <w:bottom w:val="nil"/>
            </w:tcBorders>
          </w:tcPr>
          <w:p w:rsidR="00A753D1" w:rsidRPr="008127C7" w:rsidRDefault="00A753D1" w:rsidP="00CD6954">
            <w:pPr>
              <w:jc w:val="both"/>
              <w:rPr>
                <w:rFonts w:ascii="Calibri" w:hAnsi="Calibri" w:cs="Calibri"/>
                <w:b/>
                <w:sz w:val="24"/>
              </w:rPr>
            </w:pPr>
            <w:r w:rsidRPr="008127C7">
              <w:rPr>
                <w:rFonts w:ascii="Calibri" w:hAnsi="Calibri" w:cs="Calibri"/>
                <w:b/>
                <w:sz w:val="24"/>
              </w:rPr>
              <w:t>Number of students: 5</w:t>
            </w:r>
          </w:p>
        </w:tc>
      </w:tr>
      <w:tr w:rsidR="00A753D1" w:rsidRPr="00887937" w:rsidTr="00CD6954">
        <w:trPr>
          <w:cantSplit/>
        </w:trPr>
        <w:tc>
          <w:tcPr>
            <w:tcW w:w="9823" w:type="dxa"/>
            <w:gridSpan w:val="4"/>
            <w:tcBorders>
              <w:bottom w:val="single" w:sz="2" w:space="0" w:color="auto"/>
            </w:tcBorders>
          </w:tcPr>
          <w:p w:rsidR="00A753D1" w:rsidRPr="008127C7" w:rsidRDefault="00A753D1" w:rsidP="00CD6954">
            <w:pPr>
              <w:jc w:val="both"/>
              <w:rPr>
                <w:rFonts w:ascii="Calibri" w:hAnsi="Calibri" w:cs="Calibri"/>
                <w:sz w:val="24"/>
              </w:rPr>
            </w:pPr>
            <w:r w:rsidRPr="008127C7">
              <w:rPr>
                <w:rFonts w:ascii="Calibri" w:hAnsi="Calibri" w:cs="Calibri"/>
                <w:b/>
                <w:sz w:val="24"/>
              </w:rPr>
              <w:t xml:space="preserve">Resources required: </w:t>
            </w:r>
            <w:r w:rsidRPr="008127C7">
              <w:rPr>
                <w:rFonts w:ascii="Calibri" w:hAnsi="Calibri" w:cs="Calibri"/>
                <w:sz w:val="24"/>
              </w:rPr>
              <w:t xml:space="preserve">PowerPoint Presentation, </w:t>
            </w:r>
            <w:r>
              <w:rPr>
                <w:rFonts w:ascii="Calibri" w:hAnsi="Calibri" w:cs="Calibri"/>
                <w:sz w:val="24"/>
              </w:rPr>
              <w:t>KGP</w:t>
            </w:r>
            <w:r w:rsidRPr="008127C7">
              <w:rPr>
                <w:rFonts w:ascii="Calibri" w:hAnsi="Calibri" w:cs="Calibri"/>
                <w:sz w:val="24"/>
              </w:rPr>
              <w:t xml:space="preserve">, internet, </w:t>
            </w:r>
            <w:r>
              <w:rPr>
                <w:rFonts w:ascii="Calibri" w:hAnsi="Calibri" w:cs="Calibri"/>
                <w:sz w:val="24"/>
              </w:rPr>
              <w:t>smart</w:t>
            </w:r>
            <w:r w:rsidRPr="008127C7">
              <w:rPr>
                <w:rFonts w:ascii="Calibri" w:hAnsi="Calibri" w:cs="Calibri"/>
                <w:sz w:val="24"/>
              </w:rPr>
              <w:t>phone</w:t>
            </w:r>
          </w:p>
          <w:p w:rsidR="00A753D1" w:rsidRPr="00887937" w:rsidRDefault="00A753D1" w:rsidP="00CD6954">
            <w:pPr>
              <w:jc w:val="both"/>
              <w:rPr>
                <w:rFonts w:ascii="Calibri" w:hAnsi="Calibri" w:cs="Calibri"/>
                <w:b/>
              </w:rPr>
            </w:pPr>
          </w:p>
        </w:tc>
      </w:tr>
      <w:tr w:rsidR="00A753D1" w:rsidRPr="00887937" w:rsidTr="00CD6954">
        <w:trPr>
          <w:cantSplit/>
        </w:trPr>
        <w:tc>
          <w:tcPr>
            <w:tcW w:w="9823" w:type="dxa"/>
            <w:gridSpan w:val="4"/>
            <w:tcBorders>
              <w:top w:val="single" w:sz="2" w:space="0" w:color="auto"/>
            </w:tcBorders>
          </w:tcPr>
          <w:p w:rsidR="00A753D1" w:rsidRPr="008127C7" w:rsidRDefault="00A753D1" w:rsidP="00CD6954">
            <w:pPr>
              <w:jc w:val="both"/>
              <w:rPr>
                <w:rFonts w:ascii="Calibri" w:hAnsi="Calibri" w:cs="Calibri"/>
                <w:b/>
                <w:sz w:val="24"/>
              </w:rPr>
            </w:pPr>
            <w:r w:rsidRPr="008127C7">
              <w:rPr>
                <w:rFonts w:ascii="Calibri" w:hAnsi="Calibri" w:cs="Calibri"/>
                <w:b/>
                <w:sz w:val="24"/>
              </w:rPr>
              <w:t>Aim of Lesson</w:t>
            </w:r>
          </w:p>
          <w:p w:rsidR="00A753D1" w:rsidRPr="008127C7" w:rsidRDefault="00A753D1" w:rsidP="00CD6954">
            <w:pPr>
              <w:jc w:val="both"/>
              <w:rPr>
                <w:rFonts w:ascii="Calibri" w:hAnsi="Calibri" w:cs="Calibri"/>
                <w:sz w:val="24"/>
              </w:rPr>
            </w:pPr>
            <w:r w:rsidRPr="008127C7">
              <w:rPr>
                <w:rFonts w:ascii="Calibri" w:hAnsi="Calibri" w:cs="Calibri"/>
                <w:sz w:val="24"/>
              </w:rPr>
              <w:t>To teach theoretical knowledge on the benefits of protein from a nutritional perspective and its use as an ergogenic for post exercise recovery</w:t>
            </w:r>
          </w:p>
          <w:p w:rsidR="00A753D1" w:rsidRPr="008127C7" w:rsidRDefault="00A753D1" w:rsidP="00CD6954">
            <w:pPr>
              <w:jc w:val="both"/>
              <w:rPr>
                <w:rFonts w:ascii="Calibri" w:hAnsi="Calibri" w:cs="Calibri"/>
                <w:sz w:val="24"/>
              </w:rPr>
            </w:pPr>
            <w:r w:rsidRPr="008127C7">
              <w:rPr>
                <w:rFonts w:ascii="Calibri" w:hAnsi="Calibri" w:cs="Calibri"/>
                <w:sz w:val="24"/>
              </w:rPr>
              <w:t xml:space="preserve">To implement a form of </w:t>
            </w:r>
            <w:r>
              <w:rPr>
                <w:rFonts w:ascii="Calibri" w:hAnsi="Calibri" w:cs="Calibri"/>
                <w:sz w:val="24"/>
              </w:rPr>
              <w:t>C&amp;DI</w:t>
            </w:r>
          </w:p>
          <w:p w:rsidR="00A753D1" w:rsidRPr="008127C7" w:rsidRDefault="00A753D1" w:rsidP="00CD6954">
            <w:pPr>
              <w:jc w:val="both"/>
              <w:rPr>
                <w:rFonts w:ascii="Calibri" w:hAnsi="Calibri" w:cs="Calibri"/>
                <w:sz w:val="24"/>
              </w:rPr>
            </w:pPr>
            <w:r w:rsidRPr="008127C7">
              <w:rPr>
                <w:rFonts w:ascii="Calibri" w:hAnsi="Calibri" w:cs="Calibri"/>
                <w:sz w:val="24"/>
              </w:rPr>
              <w:t xml:space="preserve">For students to be more engaged through </w:t>
            </w:r>
            <w:r>
              <w:rPr>
                <w:rFonts w:ascii="Calibri" w:hAnsi="Calibri" w:cs="Calibri"/>
                <w:sz w:val="24"/>
              </w:rPr>
              <w:t>DI</w:t>
            </w:r>
          </w:p>
          <w:p w:rsidR="00A753D1" w:rsidRPr="00887937" w:rsidRDefault="00A753D1" w:rsidP="00CD6954">
            <w:pPr>
              <w:jc w:val="both"/>
              <w:rPr>
                <w:rFonts w:ascii="Calibri" w:hAnsi="Calibri" w:cs="Calibri"/>
                <w:b/>
              </w:rPr>
            </w:pPr>
          </w:p>
        </w:tc>
      </w:tr>
      <w:tr w:rsidR="00A753D1" w:rsidRPr="00887937" w:rsidTr="00CD6954">
        <w:trPr>
          <w:cantSplit/>
        </w:trPr>
        <w:tc>
          <w:tcPr>
            <w:tcW w:w="9823" w:type="dxa"/>
            <w:gridSpan w:val="4"/>
            <w:tcBorders>
              <w:bottom w:val="nil"/>
            </w:tcBorders>
          </w:tcPr>
          <w:p w:rsidR="00A753D1" w:rsidRPr="008127C7" w:rsidRDefault="00A753D1" w:rsidP="00CD6954">
            <w:pPr>
              <w:jc w:val="both"/>
              <w:rPr>
                <w:rFonts w:ascii="Calibri" w:hAnsi="Calibri" w:cs="Calibri"/>
                <w:b/>
                <w:sz w:val="24"/>
              </w:rPr>
            </w:pPr>
            <w:r w:rsidRPr="008127C7">
              <w:rPr>
                <w:rFonts w:ascii="Calibri" w:hAnsi="Calibri" w:cs="Calibri"/>
                <w:b/>
                <w:sz w:val="24"/>
              </w:rPr>
              <w:t>Learning Outcomes – The Learners Should Be Able To:</w:t>
            </w:r>
          </w:p>
          <w:p w:rsidR="00A753D1" w:rsidRPr="008127C7" w:rsidRDefault="00A753D1" w:rsidP="00A753D1">
            <w:pPr>
              <w:pStyle w:val="ListParagraph"/>
              <w:numPr>
                <w:ilvl w:val="0"/>
                <w:numId w:val="2"/>
              </w:numPr>
              <w:jc w:val="both"/>
              <w:rPr>
                <w:rFonts w:ascii="Calibri" w:hAnsi="Calibri" w:cs="Calibri"/>
                <w:sz w:val="24"/>
              </w:rPr>
            </w:pPr>
            <w:r w:rsidRPr="008127C7">
              <w:rPr>
                <w:rFonts w:ascii="Calibri" w:hAnsi="Calibri" w:cs="Calibri"/>
                <w:sz w:val="24"/>
              </w:rPr>
              <w:t>Understand the benefits of nutrition and protein intake</w:t>
            </w:r>
          </w:p>
          <w:p w:rsidR="00A753D1" w:rsidRPr="008127C7" w:rsidRDefault="00A753D1" w:rsidP="00A753D1">
            <w:pPr>
              <w:pStyle w:val="ListParagraph"/>
              <w:numPr>
                <w:ilvl w:val="0"/>
                <w:numId w:val="2"/>
              </w:numPr>
              <w:jc w:val="both"/>
              <w:rPr>
                <w:rFonts w:ascii="Calibri" w:hAnsi="Calibri" w:cs="Calibri"/>
                <w:sz w:val="24"/>
              </w:rPr>
            </w:pPr>
            <w:r w:rsidRPr="008127C7">
              <w:rPr>
                <w:rFonts w:ascii="Calibri" w:hAnsi="Calibri" w:cs="Calibri"/>
                <w:sz w:val="24"/>
              </w:rPr>
              <w:t>Know different definitions such as Amino acid and ergogenic</w:t>
            </w:r>
          </w:p>
          <w:p w:rsidR="00A753D1" w:rsidRPr="008127C7" w:rsidRDefault="00A753D1" w:rsidP="00A753D1">
            <w:pPr>
              <w:pStyle w:val="ListParagraph"/>
              <w:numPr>
                <w:ilvl w:val="0"/>
                <w:numId w:val="2"/>
              </w:numPr>
              <w:jc w:val="both"/>
              <w:rPr>
                <w:rFonts w:ascii="Calibri" w:hAnsi="Calibri" w:cs="Calibri"/>
                <w:sz w:val="24"/>
              </w:rPr>
            </w:pPr>
            <w:r w:rsidRPr="008127C7">
              <w:rPr>
                <w:rFonts w:ascii="Calibri" w:hAnsi="Calibri" w:cs="Calibri"/>
                <w:sz w:val="24"/>
              </w:rPr>
              <w:t>Understand the importance of protein in exercise recovery for the body</w:t>
            </w:r>
          </w:p>
          <w:p w:rsidR="00A753D1" w:rsidRPr="008127C7" w:rsidRDefault="00A753D1" w:rsidP="00A753D1">
            <w:pPr>
              <w:pStyle w:val="ListParagraph"/>
              <w:numPr>
                <w:ilvl w:val="0"/>
                <w:numId w:val="2"/>
              </w:numPr>
              <w:jc w:val="both"/>
              <w:rPr>
                <w:rFonts w:ascii="Calibri" w:hAnsi="Calibri" w:cs="Calibri"/>
                <w:sz w:val="24"/>
              </w:rPr>
            </w:pPr>
            <w:r w:rsidRPr="008127C7">
              <w:rPr>
                <w:rFonts w:ascii="Calibri" w:hAnsi="Calibri" w:cs="Calibri"/>
                <w:sz w:val="24"/>
              </w:rPr>
              <w:t>Know how protein can impact muscle mass for both athletes and the average person exercising</w:t>
            </w:r>
          </w:p>
          <w:p w:rsidR="00A753D1" w:rsidRPr="00887937" w:rsidRDefault="00A753D1" w:rsidP="00CD6954">
            <w:pPr>
              <w:jc w:val="both"/>
              <w:rPr>
                <w:rFonts w:ascii="Calibri" w:hAnsi="Calibri" w:cs="Calibri"/>
                <w:b/>
              </w:rPr>
            </w:pPr>
          </w:p>
        </w:tc>
      </w:tr>
      <w:tr w:rsidR="00A753D1" w:rsidRPr="00887937" w:rsidTr="00CD6954">
        <w:trPr>
          <w:cantSplit/>
        </w:trPr>
        <w:tc>
          <w:tcPr>
            <w:tcW w:w="9823" w:type="dxa"/>
            <w:gridSpan w:val="4"/>
            <w:tcBorders>
              <w:bottom w:val="single" w:sz="2" w:space="0" w:color="auto"/>
            </w:tcBorders>
          </w:tcPr>
          <w:p w:rsidR="00A753D1" w:rsidRPr="008127C7" w:rsidRDefault="00A753D1" w:rsidP="00CD6954">
            <w:pPr>
              <w:jc w:val="both"/>
              <w:rPr>
                <w:rFonts w:ascii="Calibri" w:hAnsi="Calibri" w:cs="Calibri"/>
                <w:b/>
                <w:sz w:val="24"/>
              </w:rPr>
            </w:pPr>
            <w:r w:rsidRPr="008127C7">
              <w:rPr>
                <w:rFonts w:ascii="Calibri" w:hAnsi="Calibri" w:cs="Calibri"/>
                <w:b/>
                <w:sz w:val="24"/>
              </w:rPr>
              <w:lastRenderedPageBreak/>
              <w:t>Previous student knowledge required for the session:</w:t>
            </w:r>
            <w:r w:rsidRPr="008127C7">
              <w:rPr>
                <w:rFonts w:ascii="Calibri" w:hAnsi="Calibri" w:cs="Calibri"/>
                <w:b/>
                <w:sz w:val="24"/>
              </w:rPr>
              <w:tab/>
            </w:r>
          </w:p>
          <w:p w:rsidR="00A753D1" w:rsidRPr="008127C7" w:rsidRDefault="00A753D1" w:rsidP="00CD6954">
            <w:pPr>
              <w:jc w:val="both"/>
              <w:rPr>
                <w:rFonts w:ascii="Calibri" w:hAnsi="Calibri" w:cs="Calibri"/>
                <w:b/>
                <w:sz w:val="24"/>
              </w:rPr>
            </w:pPr>
            <w:r w:rsidRPr="008127C7">
              <w:rPr>
                <w:rFonts w:ascii="Calibri" w:hAnsi="Calibri" w:cs="Calibri"/>
                <w:sz w:val="24"/>
              </w:rPr>
              <w:t xml:space="preserve">No previous knowledge is necessary as this will be a new topic not many students will be familiar with unless they have a sporting background. </w:t>
            </w:r>
          </w:p>
          <w:p w:rsidR="00A753D1" w:rsidRPr="00887937" w:rsidRDefault="00A753D1" w:rsidP="00CD6954">
            <w:pPr>
              <w:jc w:val="both"/>
              <w:rPr>
                <w:rFonts w:ascii="Calibri" w:hAnsi="Calibri" w:cs="Calibri"/>
                <w:b/>
              </w:rPr>
            </w:pPr>
          </w:p>
        </w:tc>
      </w:tr>
      <w:tr w:rsidR="00A753D1" w:rsidRPr="00887937" w:rsidTr="00CD6954">
        <w:trPr>
          <w:cantSplit/>
        </w:trPr>
        <w:tc>
          <w:tcPr>
            <w:tcW w:w="9823" w:type="dxa"/>
            <w:gridSpan w:val="4"/>
            <w:tcBorders>
              <w:top w:val="single" w:sz="2" w:space="0" w:color="auto"/>
            </w:tcBorders>
          </w:tcPr>
          <w:p w:rsidR="00A753D1" w:rsidRPr="008127C7" w:rsidRDefault="00A753D1" w:rsidP="00CD6954">
            <w:pPr>
              <w:jc w:val="both"/>
              <w:rPr>
                <w:rFonts w:ascii="Calibri" w:hAnsi="Calibri" w:cs="Calibri"/>
                <w:b/>
                <w:sz w:val="24"/>
              </w:rPr>
            </w:pPr>
            <w:r w:rsidRPr="008127C7">
              <w:rPr>
                <w:rFonts w:ascii="Calibri" w:hAnsi="Calibri" w:cs="Calibri"/>
                <w:b/>
                <w:sz w:val="24"/>
              </w:rPr>
              <w:t>Anticipated difficulties (if applicable):</w:t>
            </w:r>
          </w:p>
          <w:p w:rsidR="00A753D1" w:rsidRPr="008127C7" w:rsidRDefault="00A753D1" w:rsidP="00CD6954">
            <w:pPr>
              <w:jc w:val="both"/>
              <w:rPr>
                <w:rFonts w:ascii="Calibri" w:hAnsi="Calibri" w:cs="Calibri"/>
                <w:sz w:val="24"/>
              </w:rPr>
            </w:pPr>
            <w:r w:rsidRPr="008127C7">
              <w:rPr>
                <w:rFonts w:ascii="Calibri" w:hAnsi="Calibri" w:cs="Calibri"/>
                <w:sz w:val="24"/>
              </w:rPr>
              <w:t>Internet/connection speed</w:t>
            </w:r>
          </w:p>
          <w:p w:rsidR="00A753D1" w:rsidRPr="008127C7" w:rsidRDefault="00A753D1" w:rsidP="00CD6954">
            <w:pPr>
              <w:jc w:val="both"/>
              <w:rPr>
                <w:rFonts w:ascii="Calibri" w:hAnsi="Calibri" w:cs="Calibri"/>
                <w:sz w:val="24"/>
              </w:rPr>
            </w:pPr>
            <w:r w:rsidRPr="008127C7">
              <w:rPr>
                <w:rFonts w:ascii="Calibri" w:hAnsi="Calibri" w:cs="Calibri"/>
                <w:sz w:val="24"/>
              </w:rPr>
              <w:t>University WIFI not working</w:t>
            </w:r>
          </w:p>
          <w:p w:rsidR="00A753D1" w:rsidRPr="008127C7" w:rsidRDefault="00A753D1" w:rsidP="00CD6954">
            <w:pPr>
              <w:jc w:val="both"/>
              <w:rPr>
                <w:rFonts w:ascii="Calibri" w:hAnsi="Calibri" w:cs="Calibri"/>
                <w:sz w:val="24"/>
              </w:rPr>
            </w:pPr>
            <w:r w:rsidRPr="008127C7">
              <w:rPr>
                <w:rFonts w:ascii="Calibri" w:hAnsi="Calibri" w:cs="Calibri"/>
                <w:sz w:val="24"/>
              </w:rPr>
              <w:t xml:space="preserve">Digital capability of students </w:t>
            </w:r>
          </w:p>
          <w:p w:rsidR="00A753D1" w:rsidRPr="008127C7" w:rsidRDefault="00A753D1" w:rsidP="00CD6954">
            <w:pPr>
              <w:jc w:val="both"/>
              <w:rPr>
                <w:rFonts w:ascii="Calibri" w:hAnsi="Calibri" w:cs="Calibri"/>
                <w:sz w:val="24"/>
              </w:rPr>
            </w:pPr>
            <w:r w:rsidRPr="008127C7">
              <w:rPr>
                <w:rFonts w:ascii="Calibri" w:hAnsi="Calibri" w:cs="Calibri"/>
                <w:sz w:val="24"/>
              </w:rPr>
              <w:t>Students f</w:t>
            </w:r>
            <w:r>
              <w:rPr>
                <w:rFonts w:ascii="Calibri" w:hAnsi="Calibri" w:cs="Calibri"/>
                <w:sz w:val="24"/>
              </w:rPr>
              <w:t>orgetting to bring their smart</w:t>
            </w:r>
            <w:r w:rsidRPr="008127C7">
              <w:rPr>
                <w:rFonts w:ascii="Calibri" w:hAnsi="Calibri" w:cs="Calibri"/>
                <w:sz w:val="24"/>
              </w:rPr>
              <w:t>phone device</w:t>
            </w:r>
          </w:p>
          <w:p w:rsidR="00A753D1" w:rsidRPr="008127C7" w:rsidRDefault="00A753D1" w:rsidP="00CD6954">
            <w:pPr>
              <w:jc w:val="both"/>
              <w:rPr>
                <w:rFonts w:ascii="Calibri" w:hAnsi="Calibri" w:cs="Calibri"/>
                <w:b/>
                <w:sz w:val="24"/>
              </w:rPr>
            </w:pPr>
            <w:r>
              <w:rPr>
                <w:rFonts w:ascii="Calibri" w:hAnsi="Calibri" w:cs="Calibri"/>
                <w:sz w:val="24"/>
              </w:rPr>
              <w:t>Students having older smart</w:t>
            </w:r>
            <w:r w:rsidRPr="008127C7">
              <w:rPr>
                <w:rFonts w:ascii="Calibri" w:hAnsi="Calibri" w:cs="Calibri"/>
                <w:sz w:val="24"/>
              </w:rPr>
              <w:t>phone devices that may be slower than more modern ones</w:t>
            </w:r>
          </w:p>
        </w:tc>
      </w:tr>
      <w:tr w:rsidR="00A753D1" w:rsidTr="00CD6954">
        <w:trPr>
          <w:cantSplit/>
        </w:trPr>
        <w:tc>
          <w:tcPr>
            <w:tcW w:w="9823" w:type="dxa"/>
            <w:gridSpan w:val="4"/>
            <w:tcBorders>
              <w:top w:val="single" w:sz="2" w:space="0" w:color="auto"/>
            </w:tcBorders>
          </w:tcPr>
          <w:p w:rsidR="00A753D1" w:rsidRPr="008127C7" w:rsidRDefault="00A753D1" w:rsidP="00CD6954">
            <w:pPr>
              <w:jc w:val="both"/>
              <w:rPr>
                <w:rFonts w:eastAsiaTheme="minorEastAsia"/>
                <w:b/>
                <w:bCs/>
                <w:sz w:val="24"/>
              </w:rPr>
            </w:pPr>
            <w:r w:rsidRPr="008127C7">
              <w:rPr>
                <w:rFonts w:eastAsiaTheme="minorEastAsia"/>
                <w:b/>
                <w:bCs/>
                <w:sz w:val="24"/>
              </w:rPr>
              <w:t>Professional Standards (where are these being met within the session):</w:t>
            </w:r>
          </w:p>
          <w:p w:rsidR="00A753D1" w:rsidRPr="008127C7" w:rsidRDefault="00A753D1" w:rsidP="00CD6954">
            <w:pPr>
              <w:jc w:val="both"/>
              <w:rPr>
                <w:rFonts w:eastAsiaTheme="minorEastAsia"/>
                <w:bCs/>
                <w:sz w:val="24"/>
              </w:rPr>
            </w:pPr>
            <w:r w:rsidRPr="008127C7">
              <w:rPr>
                <w:rFonts w:eastAsiaTheme="minorEastAsia"/>
                <w:b/>
                <w:bCs/>
                <w:sz w:val="24"/>
              </w:rPr>
              <w:t xml:space="preserve">Demonstrate commitment to learners, their safety and their wellbeing – </w:t>
            </w:r>
            <w:r w:rsidRPr="008127C7">
              <w:rPr>
                <w:rFonts w:eastAsiaTheme="minorEastAsia"/>
                <w:bCs/>
                <w:sz w:val="24"/>
              </w:rPr>
              <w:t>This will be taken into consideration by creating a safe environment. I will make sure I try to answer any questions given by students to the best of my ability with as much in depth knowledge as I can and being dedicated in my efforts. I will also try to provide a learning environment that encourages critical thinking and decision making.</w:t>
            </w:r>
          </w:p>
          <w:p w:rsidR="00A753D1" w:rsidRPr="008127C7" w:rsidRDefault="00A753D1" w:rsidP="00CD6954">
            <w:pPr>
              <w:jc w:val="both"/>
              <w:rPr>
                <w:rFonts w:eastAsiaTheme="minorEastAsia"/>
                <w:bCs/>
                <w:sz w:val="24"/>
              </w:rPr>
            </w:pPr>
            <w:r w:rsidRPr="008127C7">
              <w:rPr>
                <w:rFonts w:eastAsiaTheme="minorEastAsia"/>
                <w:b/>
                <w:bCs/>
                <w:sz w:val="24"/>
              </w:rPr>
              <w:t xml:space="preserve">Value and promote diversity, equality of opportunity and inclusion – </w:t>
            </w:r>
            <w:r w:rsidRPr="008127C7">
              <w:rPr>
                <w:rFonts w:eastAsiaTheme="minorEastAsia"/>
                <w:bCs/>
                <w:sz w:val="24"/>
              </w:rPr>
              <w:t xml:space="preserve">This will be met by including everyone in the class through questions and giving all a voice. I will be aware that some students may have ALN and will try to explain in different ways if required. I will also ensure materials utilized are non-racist, non-sexist and non-discriminatory. </w:t>
            </w:r>
          </w:p>
          <w:p w:rsidR="00A753D1" w:rsidRPr="008127C7" w:rsidRDefault="00A753D1" w:rsidP="00CD6954">
            <w:pPr>
              <w:jc w:val="both"/>
              <w:rPr>
                <w:rFonts w:eastAsiaTheme="minorEastAsia"/>
                <w:bCs/>
                <w:sz w:val="24"/>
              </w:rPr>
            </w:pPr>
            <w:r w:rsidRPr="008127C7">
              <w:rPr>
                <w:rFonts w:eastAsiaTheme="minorEastAsia"/>
                <w:b/>
                <w:bCs/>
                <w:sz w:val="24"/>
              </w:rPr>
              <w:t xml:space="preserve">Demonstrate dignity, courtesy and respect towards others – </w:t>
            </w:r>
            <w:r w:rsidRPr="008127C7">
              <w:rPr>
                <w:rFonts w:eastAsiaTheme="minorEastAsia"/>
                <w:bCs/>
                <w:sz w:val="24"/>
              </w:rPr>
              <w:t>This will be met by listening to others views on the subject matter regardless if it is negative or positive and respecting how people feel on the topic. Although this is a hard topic I will be respectful of others opinions and feelings but also by acting as a role model who has utilized effective exercise practice.</w:t>
            </w:r>
          </w:p>
          <w:p w:rsidR="00A753D1" w:rsidRPr="008127C7" w:rsidRDefault="00A753D1" w:rsidP="00CD6954">
            <w:pPr>
              <w:jc w:val="both"/>
              <w:rPr>
                <w:rFonts w:eastAsiaTheme="minorEastAsia"/>
                <w:bCs/>
                <w:sz w:val="24"/>
              </w:rPr>
            </w:pPr>
            <w:r w:rsidRPr="008127C7">
              <w:rPr>
                <w:rFonts w:eastAsiaTheme="minorEastAsia"/>
                <w:b/>
                <w:bCs/>
                <w:sz w:val="24"/>
              </w:rPr>
              <w:t xml:space="preserve">Enable learners to share responsibility for their own learning and assessment – </w:t>
            </w:r>
            <w:r w:rsidRPr="008127C7">
              <w:rPr>
                <w:rFonts w:eastAsiaTheme="minorEastAsia"/>
                <w:bCs/>
                <w:sz w:val="24"/>
              </w:rPr>
              <w:t xml:space="preserve">This will be met by measuring how much the students know before by asking if anyone is aware of what </w:t>
            </w:r>
            <w:r>
              <w:rPr>
                <w:rFonts w:eastAsiaTheme="minorEastAsia"/>
                <w:bCs/>
                <w:sz w:val="24"/>
              </w:rPr>
              <w:t>the benefits of protein is in nutrition for post exercise recovery</w:t>
            </w:r>
            <w:r w:rsidRPr="008127C7">
              <w:rPr>
                <w:rFonts w:eastAsiaTheme="minorEastAsia"/>
                <w:bCs/>
                <w:sz w:val="24"/>
              </w:rPr>
              <w:t xml:space="preserve"> and after by </w:t>
            </w:r>
            <w:r>
              <w:rPr>
                <w:rFonts w:eastAsiaTheme="minorEastAsia"/>
                <w:bCs/>
                <w:sz w:val="24"/>
              </w:rPr>
              <w:t>using the KGP as a replacement for traditional questions</w:t>
            </w:r>
            <w:r w:rsidRPr="008127C7">
              <w:rPr>
                <w:rFonts w:eastAsiaTheme="minorEastAsia"/>
                <w:bCs/>
                <w:sz w:val="24"/>
              </w:rPr>
              <w:t xml:space="preserve">. I will also be asking questions and scenarios throughout for students to evaluate their own progress and to support learners to achieve their potential by setting this challenge. </w:t>
            </w:r>
          </w:p>
          <w:p w:rsidR="00A753D1" w:rsidRPr="008127C7" w:rsidRDefault="00A753D1" w:rsidP="00CD6954">
            <w:pPr>
              <w:jc w:val="both"/>
              <w:rPr>
                <w:b/>
                <w:bCs/>
                <w:sz w:val="24"/>
                <w:szCs w:val="24"/>
              </w:rPr>
            </w:pPr>
          </w:p>
        </w:tc>
      </w:tr>
    </w:tbl>
    <w:p w:rsidR="00A753D1" w:rsidRDefault="00A753D1" w:rsidP="00A753D1"/>
    <w:p w:rsidR="00A753D1" w:rsidRPr="008127C7" w:rsidRDefault="00A753D1" w:rsidP="00A753D1">
      <w:pPr>
        <w:rPr>
          <w:rFonts w:ascii="Calibri" w:hAnsi="Calibri" w:cs="Calibri"/>
          <w:b/>
          <w:sz w:val="24"/>
          <w:szCs w:val="24"/>
          <w:u w:val="single"/>
        </w:rPr>
      </w:pPr>
      <w:r w:rsidRPr="008127C7">
        <w:rPr>
          <w:rFonts w:ascii="Calibri" w:hAnsi="Calibri" w:cs="Calibri"/>
          <w:b/>
          <w:sz w:val="24"/>
          <w:szCs w:val="24"/>
          <w:u w:val="single"/>
        </w:rPr>
        <w:lastRenderedPageBreak/>
        <w:t>Lesson Detail:</w:t>
      </w:r>
    </w:p>
    <w:p w:rsidR="00A753D1" w:rsidRDefault="00A753D1" w:rsidP="00A753D1"/>
    <w:tbl>
      <w:tblPr>
        <w:tblW w:w="1034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4"/>
        <w:gridCol w:w="2093"/>
        <w:gridCol w:w="2444"/>
        <w:gridCol w:w="4140"/>
        <w:gridCol w:w="1571"/>
        <w:gridCol w:w="66"/>
      </w:tblGrid>
      <w:tr w:rsidR="00A753D1" w:rsidRPr="008127C7" w:rsidTr="00CD6954">
        <w:trPr>
          <w:gridAfter w:val="1"/>
          <w:wAfter w:w="66" w:type="dxa"/>
          <w:trHeight w:val="439"/>
        </w:trPr>
        <w:tc>
          <w:tcPr>
            <w:tcW w:w="2127" w:type="dxa"/>
            <w:gridSpan w:val="2"/>
          </w:tcPr>
          <w:p w:rsidR="00A753D1" w:rsidRPr="008127C7" w:rsidRDefault="00A753D1" w:rsidP="00CD6954">
            <w:pPr>
              <w:jc w:val="center"/>
              <w:rPr>
                <w:rFonts w:ascii="Calibri" w:hAnsi="Calibri" w:cs="Calibri"/>
                <w:b/>
                <w:sz w:val="24"/>
                <w:szCs w:val="24"/>
              </w:rPr>
            </w:pPr>
          </w:p>
          <w:p w:rsidR="00A753D1" w:rsidRPr="008127C7" w:rsidRDefault="00A753D1" w:rsidP="00CD6954">
            <w:pPr>
              <w:jc w:val="center"/>
              <w:rPr>
                <w:rFonts w:ascii="Calibri" w:hAnsi="Calibri" w:cs="Calibri"/>
                <w:b/>
                <w:sz w:val="24"/>
                <w:szCs w:val="24"/>
              </w:rPr>
            </w:pPr>
            <w:r w:rsidRPr="008127C7">
              <w:rPr>
                <w:rFonts w:ascii="Calibri" w:hAnsi="Calibri" w:cs="Calibri"/>
                <w:b/>
                <w:sz w:val="24"/>
                <w:szCs w:val="24"/>
              </w:rPr>
              <w:t xml:space="preserve">Stage </w:t>
            </w:r>
          </w:p>
        </w:tc>
        <w:tc>
          <w:tcPr>
            <w:tcW w:w="2444" w:type="dxa"/>
          </w:tcPr>
          <w:p w:rsidR="00A753D1" w:rsidRPr="008127C7" w:rsidRDefault="00A753D1" w:rsidP="00CD6954">
            <w:pPr>
              <w:jc w:val="center"/>
              <w:rPr>
                <w:rFonts w:ascii="Calibri" w:hAnsi="Calibri" w:cs="Calibri"/>
                <w:b/>
                <w:sz w:val="24"/>
                <w:szCs w:val="24"/>
              </w:rPr>
            </w:pPr>
          </w:p>
          <w:p w:rsidR="00A753D1" w:rsidRPr="008127C7" w:rsidRDefault="00A753D1" w:rsidP="00CD6954">
            <w:pPr>
              <w:jc w:val="center"/>
              <w:rPr>
                <w:rFonts w:ascii="Calibri" w:hAnsi="Calibri" w:cs="Calibri"/>
                <w:b/>
                <w:sz w:val="24"/>
                <w:szCs w:val="24"/>
              </w:rPr>
            </w:pPr>
            <w:r w:rsidRPr="008127C7">
              <w:rPr>
                <w:rFonts w:ascii="Calibri" w:hAnsi="Calibri" w:cs="Calibri"/>
                <w:b/>
                <w:sz w:val="24"/>
                <w:szCs w:val="24"/>
              </w:rPr>
              <w:t>Focus</w:t>
            </w:r>
          </w:p>
        </w:tc>
        <w:tc>
          <w:tcPr>
            <w:tcW w:w="4140" w:type="dxa"/>
          </w:tcPr>
          <w:p w:rsidR="00A753D1" w:rsidRPr="008127C7" w:rsidRDefault="00A753D1" w:rsidP="00CD6954">
            <w:pPr>
              <w:jc w:val="center"/>
              <w:rPr>
                <w:rFonts w:ascii="Calibri" w:hAnsi="Calibri" w:cs="Calibri"/>
                <w:b/>
                <w:sz w:val="24"/>
                <w:szCs w:val="24"/>
              </w:rPr>
            </w:pPr>
          </w:p>
          <w:p w:rsidR="00A753D1" w:rsidRPr="008127C7" w:rsidRDefault="00A753D1" w:rsidP="00CD6954">
            <w:pPr>
              <w:jc w:val="center"/>
              <w:rPr>
                <w:rFonts w:ascii="Calibri" w:hAnsi="Calibri" w:cs="Calibri"/>
                <w:b/>
                <w:sz w:val="24"/>
                <w:szCs w:val="24"/>
              </w:rPr>
            </w:pPr>
            <w:r w:rsidRPr="008127C7">
              <w:rPr>
                <w:rFonts w:ascii="Calibri" w:hAnsi="Calibri" w:cs="Calibri"/>
                <w:b/>
                <w:sz w:val="24"/>
                <w:szCs w:val="24"/>
              </w:rPr>
              <w:t xml:space="preserve">Strategy </w:t>
            </w:r>
          </w:p>
        </w:tc>
        <w:tc>
          <w:tcPr>
            <w:tcW w:w="1571" w:type="dxa"/>
          </w:tcPr>
          <w:p w:rsidR="00A753D1" w:rsidRPr="008127C7" w:rsidRDefault="00A753D1" w:rsidP="00CD6954">
            <w:pPr>
              <w:jc w:val="center"/>
              <w:rPr>
                <w:rFonts w:ascii="Calibri" w:hAnsi="Calibri" w:cs="Calibri"/>
                <w:b/>
                <w:sz w:val="24"/>
                <w:szCs w:val="24"/>
              </w:rPr>
            </w:pPr>
          </w:p>
          <w:p w:rsidR="00A753D1" w:rsidRPr="008127C7" w:rsidRDefault="00A753D1" w:rsidP="00CD6954">
            <w:pPr>
              <w:jc w:val="center"/>
              <w:rPr>
                <w:rFonts w:ascii="Calibri" w:hAnsi="Calibri" w:cs="Calibri"/>
                <w:b/>
                <w:sz w:val="24"/>
                <w:szCs w:val="24"/>
              </w:rPr>
            </w:pPr>
            <w:r w:rsidRPr="008127C7">
              <w:rPr>
                <w:rFonts w:ascii="Calibri" w:hAnsi="Calibri" w:cs="Calibri"/>
                <w:b/>
                <w:sz w:val="24"/>
                <w:szCs w:val="24"/>
              </w:rPr>
              <w:t xml:space="preserve">Time </w:t>
            </w:r>
          </w:p>
          <w:p w:rsidR="00A753D1" w:rsidRPr="008127C7" w:rsidRDefault="00A753D1" w:rsidP="00CD6954">
            <w:pPr>
              <w:jc w:val="center"/>
              <w:rPr>
                <w:rFonts w:ascii="Calibri" w:hAnsi="Calibri" w:cs="Calibri"/>
                <w:b/>
                <w:sz w:val="24"/>
                <w:szCs w:val="24"/>
              </w:rPr>
            </w:pPr>
          </w:p>
        </w:tc>
      </w:tr>
      <w:tr w:rsidR="00A753D1" w:rsidRPr="008127C7" w:rsidTr="00CD6954">
        <w:trPr>
          <w:gridAfter w:val="1"/>
          <w:wAfter w:w="66" w:type="dxa"/>
          <w:trHeight w:val="2258"/>
        </w:trPr>
        <w:tc>
          <w:tcPr>
            <w:tcW w:w="2127" w:type="dxa"/>
            <w:gridSpan w:val="2"/>
            <w:tcBorders>
              <w:top w:val="single" w:sz="4" w:space="0" w:color="auto"/>
              <w:left w:val="single" w:sz="4" w:space="0" w:color="auto"/>
              <w:bottom w:val="single" w:sz="4" w:space="0" w:color="auto"/>
              <w:right w:val="single" w:sz="4" w:space="0" w:color="auto"/>
            </w:tcBorders>
          </w:tcPr>
          <w:p w:rsidR="00A753D1" w:rsidRPr="008127C7" w:rsidRDefault="00A753D1" w:rsidP="00CD6954">
            <w:pPr>
              <w:jc w:val="both"/>
              <w:rPr>
                <w:rFonts w:ascii="Calibri" w:hAnsi="Calibri" w:cs="Calibri"/>
                <w:b/>
                <w:sz w:val="24"/>
                <w:szCs w:val="24"/>
              </w:rPr>
            </w:pPr>
            <w:r w:rsidRPr="008127C7">
              <w:rPr>
                <w:rFonts w:ascii="Calibri" w:hAnsi="Calibri" w:cs="Calibri"/>
                <w:b/>
                <w:sz w:val="24"/>
                <w:szCs w:val="24"/>
              </w:rPr>
              <w:t>Introduction</w:t>
            </w: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r w:rsidRPr="008127C7">
              <w:rPr>
                <w:rFonts w:ascii="Calibri" w:hAnsi="Calibri" w:cs="Calibri"/>
                <w:b/>
                <w:sz w:val="24"/>
                <w:szCs w:val="24"/>
              </w:rPr>
              <w:t xml:space="preserve">Development </w:t>
            </w: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rPr>
                <w:rFonts w:ascii="Calibri" w:hAnsi="Calibri" w:cs="Calibri"/>
                <w:b/>
                <w:sz w:val="24"/>
                <w:szCs w:val="24"/>
              </w:rPr>
            </w:pPr>
          </w:p>
          <w:p w:rsidR="00A753D1" w:rsidRPr="008127C7" w:rsidRDefault="00A753D1" w:rsidP="00CD6954">
            <w:pPr>
              <w:rPr>
                <w:rFonts w:ascii="Calibri" w:hAnsi="Calibri" w:cs="Calibri"/>
                <w:b/>
                <w:sz w:val="24"/>
                <w:szCs w:val="24"/>
              </w:rPr>
            </w:pPr>
          </w:p>
          <w:p w:rsidR="00A753D1" w:rsidRPr="008127C7" w:rsidRDefault="00A753D1" w:rsidP="00CD6954">
            <w:pPr>
              <w:rPr>
                <w:rFonts w:ascii="Calibri" w:hAnsi="Calibri" w:cs="Calibri"/>
                <w:b/>
                <w:sz w:val="24"/>
                <w:szCs w:val="24"/>
              </w:rPr>
            </w:pPr>
          </w:p>
          <w:p w:rsidR="00A753D1" w:rsidRDefault="00A753D1" w:rsidP="00CD6954">
            <w:pPr>
              <w:rPr>
                <w:rFonts w:ascii="Calibri" w:hAnsi="Calibri" w:cs="Calibri"/>
                <w:b/>
                <w:sz w:val="24"/>
                <w:szCs w:val="24"/>
              </w:rPr>
            </w:pPr>
          </w:p>
          <w:p w:rsidR="00A753D1" w:rsidRDefault="00A753D1" w:rsidP="00CD6954">
            <w:pPr>
              <w:rPr>
                <w:rFonts w:ascii="Calibri" w:hAnsi="Calibri" w:cs="Calibri"/>
                <w:b/>
                <w:sz w:val="24"/>
                <w:szCs w:val="24"/>
              </w:rPr>
            </w:pPr>
          </w:p>
          <w:p w:rsidR="00A753D1" w:rsidRDefault="00A753D1" w:rsidP="00CD6954">
            <w:pPr>
              <w:rPr>
                <w:rFonts w:ascii="Calibri" w:hAnsi="Calibri" w:cs="Calibri"/>
                <w:b/>
                <w:sz w:val="24"/>
                <w:szCs w:val="24"/>
              </w:rPr>
            </w:pPr>
          </w:p>
          <w:p w:rsidR="00A753D1" w:rsidRPr="008127C7" w:rsidRDefault="00A753D1" w:rsidP="00CD6954">
            <w:pPr>
              <w:rPr>
                <w:rFonts w:ascii="Calibri" w:hAnsi="Calibri" w:cs="Calibri"/>
                <w:b/>
                <w:sz w:val="24"/>
                <w:szCs w:val="24"/>
              </w:rPr>
            </w:pPr>
            <w:r>
              <w:rPr>
                <w:rFonts w:ascii="Calibri" w:hAnsi="Calibri" w:cs="Calibri"/>
                <w:b/>
                <w:sz w:val="24"/>
                <w:szCs w:val="24"/>
              </w:rPr>
              <w:t>Plenary/conclusio</w:t>
            </w:r>
            <w:r w:rsidRPr="008127C7">
              <w:rPr>
                <w:rFonts w:ascii="Calibri" w:hAnsi="Calibri" w:cs="Calibri"/>
                <w:b/>
                <w:sz w:val="24"/>
                <w:szCs w:val="24"/>
              </w:rPr>
              <w:t>n</w:t>
            </w:r>
          </w:p>
          <w:p w:rsidR="00A753D1" w:rsidRPr="008127C7" w:rsidRDefault="00A753D1" w:rsidP="00CD6954">
            <w:pPr>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tc>
        <w:tc>
          <w:tcPr>
            <w:tcW w:w="2444" w:type="dxa"/>
            <w:tcBorders>
              <w:top w:val="single" w:sz="4" w:space="0" w:color="auto"/>
              <w:left w:val="single" w:sz="4" w:space="0" w:color="auto"/>
              <w:bottom w:val="single" w:sz="4" w:space="0" w:color="auto"/>
              <w:right w:val="single" w:sz="4" w:space="0" w:color="auto"/>
            </w:tcBorders>
          </w:tcPr>
          <w:p w:rsidR="00A753D1" w:rsidRPr="008127C7" w:rsidRDefault="00A753D1" w:rsidP="00CD6954">
            <w:pPr>
              <w:jc w:val="both"/>
              <w:rPr>
                <w:rFonts w:ascii="Calibri" w:hAnsi="Calibri" w:cs="Calibri"/>
                <w:b/>
                <w:sz w:val="24"/>
                <w:szCs w:val="24"/>
              </w:rPr>
            </w:pPr>
            <w:r w:rsidRPr="008127C7">
              <w:rPr>
                <w:rFonts w:ascii="Calibri" w:hAnsi="Calibri" w:cs="Calibri"/>
                <w:b/>
                <w:sz w:val="24"/>
                <w:szCs w:val="24"/>
              </w:rPr>
              <w:lastRenderedPageBreak/>
              <w:t>Introduce lecture by discussing learning outcomes and find out what the students basic knowledge of nutrition is.</w:t>
            </w: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r w:rsidRPr="008127C7">
              <w:rPr>
                <w:rFonts w:ascii="Calibri" w:hAnsi="Calibri" w:cs="Calibri"/>
                <w:b/>
                <w:sz w:val="24"/>
                <w:szCs w:val="24"/>
              </w:rPr>
              <w:t>AS the PowerPoint progresses ask learners if they exercise regularly and if they know the importance of nutrition for recovery</w:t>
            </w:r>
          </w:p>
          <w:p w:rsidR="00A753D1" w:rsidRPr="008127C7" w:rsidRDefault="00A753D1" w:rsidP="00CD6954">
            <w:pPr>
              <w:jc w:val="both"/>
              <w:rPr>
                <w:rFonts w:ascii="Calibri" w:hAnsi="Calibri" w:cs="Calibri"/>
                <w:b/>
                <w:sz w:val="24"/>
                <w:szCs w:val="24"/>
              </w:rPr>
            </w:pPr>
            <w:r w:rsidRPr="008127C7">
              <w:rPr>
                <w:rFonts w:ascii="Calibri" w:hAnsi="Calibri" w:cs="Calibri"/>
                <w:b/>
                <w:sz w:val="24"/>
                <w:szCs w:val="24"/>
              </w:rPr>
              <w:t xml:space="preserve">Theory based </w:t>
            </w:r>
          </w:p>
          <w:p w:rsidR="00A753D1" w:rsidRPr="008127C7" w:rsidRDefault="00A753D1" w:rsidP="00CD6954">
            <w:pPr>
              <w:jc w:val="both"/>
              <w:rPr>
                <w:rFonts w:ascii="Calibri" w:hAnsi="Calibri" w:cs="Calibri"/>
                <w:b/>
                <w:sz w:val="24"/>
                <w:szCs w:val="24"/>
              </w:rPr>
            </w:pPr>
            <w:r w:rsidRPr="008127C7">
              <w:rPr>
                <w:rFonts w:ascii="Calibri" w:hAnsi="Calibri" w:cs="Calibri"/>
                <w:b/>
                <w:sz w:val="24"/>
                <w:szCs w:val="24"/>
              </w:rPr>
              <w:t>Introduce protein and how this aids recovery and why it is important</w:t>
            </w:r>
          </w:p>
          <w:p w:rsidR="00A753D1" w:rsidRPr="008127C7" w:rsidRDefault="00A753D1" w:rsidP="00CD6954">
            <w:pPr>
              <w:jc w:val="both"/>
              <w:rPr>
                <w:rFonts w:ascii="Calibri" w:hAnsi="Calibri" w:cs="Calibri"/>
                <w:b/>
                <w:sz w:val="24"/>
                <w:szCs w:val="24"/>
              </w:rPr>
            </w:pPr>
            <w:r w:rsidRPr="008127C7">
              <w:rPr>
                <w:rFonts w:ascii="Calibri" w:hAnsi="Calibri" w:cs="Calibri"/>
                <w:b/>
                <w:sz w:val="24"/>
                <w:szCs w:val="24"/>
              </w:rPr>
              <w:t>Discuss amounts of amino acids needed to make up protein intake</w:t>
            </w:r>
          </w:p>
          <w:p w:rsidR="00A753D1" w:rsidRPr="008127C7" w:rsidRDefault="00A753D1" w:rsidP="00CD6954">
            <w:pPr>
              <w:jc w:val="both"/>
              <w:rPr>
                <w:rFonts w:ascii="Calibri" w:hAnsi="Calibri" w:cs="Calibri"/>
                <w:b/>
                <w:sz w:val="24"/>
                <w:szCs w:val="24"/>
              </w:rPr>
            </w:pPr>
          </w:p>
          <w:p w:rsidR="00A753D1" w:rsidRDefault="00A753D1" w:rsidP="00CD6954">
            <w:pPr>
              <w:jc w:val="both"/>
              <w:rPr>
                <w:rFonts w:ascii="Calibri" w:hAnsi="Calibri" w:cs="Calibri"/>
                <w:b/>
                <w:sz w:val="24"/>
                <w:szCs w:val="24"/>
              </w:rPr>
            </w:pPr>
          </w:p>
          <w:p w:rsidR="00A753D1"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r w:rsidRPr="008127C7">
              <w:rPr>
                <w:rFonts w:ascii="Calibri" w:hAnsi="Calibri" w:cs="Calibri"/>
                <w:b/>
                <w:sz w:val="24"/>
                <w:szCs w:val="24"/>
              </w:rPr>
              <w:t xml:space="preserve">Group quiz on knowledge that has been learned throughout lecture using </w:t>
            </w:r>
            <w:r>
              <w:rPr>
                <w:rFonts w:ascii="Calibri" w:hAnsi="Calibri" w:cs="Calibri"/>
                <w:b/>
                <w:sz w:val="24"/>
                <w:szCs w:val="24"/>
              </w:rPr>
              <w:t>KGP</w:t>
            </w:r>
            <w:r w:rsidRPr="008127C7">
              <w:rPr>
                <w:rFonts w:ascii="Calibri" w:hAnsi="Calibri" w:cs="Calibri"/>
                <w:b/>
                <w:sz w:val="24"/>
                <w:szCs w:val="24"/>
              </w:rPr>
              <w:t xml:space="preserve"> to encourage engagement and motivation of students for positive learning outcomes based on cognitive development</w:t>
            </w:r>
          </w:p>
        </w:tc>
        <w:tc>
          <w:tcPr>
            <w:tcW w:w="4140" w:type="dxa"/>
            <w:tcBorders>
              <w:top w:val="single" w:sz="4" w:space="0" w:color="auto"/>
              <w:left w:val="single" w:sz="4" w:space="0" w:color="auto"/>
              <w:bottom w:val="single" w:sz="4" w:space="0" w:color="auto"/>
              <w:right w:val="single" w:sz="4" w:space="0" w:color="auto"/>
            </w:tcBorders>
          </w:tcPr>
          <w:p w:rsidR="00A753D1" w:rsidRPr="008127C7" w:rsidRDefault="00A753D1" w:rsidP="00CD6954">
            <w:pPr>
              <w:jc w:val="both"/>
              <w:rPr>
                <w:rFonts w:ascii="Calibri" w:hAnsi="Calibri" w:cs="Calibri"/>
                <w:b/>
                <w:sz w:val="24"/>
                <w:szCs w:val="24"/>
              </w:rPr>
            </w:pPr>
            <w:r w:rsidRPr="008127C7">
              <w:rPr>
                <w:rFonts w:ascii="Calibri" w:hAnsi="Calibri" w:cs="Calibri"/>
                <w:b/>
                <w:sz w:val="24"/>
                <w:szCs w:val="24"/>
              </w:rPr>
              <w:lastRenderedPageBreak/>
              <w:t>Formative questioning, making sure everyone is involved</w:t>
            </w: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r w:rsidRPr="008127C7">
              <w:rPr>
                <w:rFonts w:ascii="Calibri" w:hAnsi="Calibri" w:cs="Calibri"/>
                <w:b/>
                <w:sz w:val="24"/>
                <w:szCs w:val="24"/>
              </w:rPr>
              <w:t xml:space="preserve">                                                                         Q&amp;A throughout to test knowledge</w:t>
            </w: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Default="00A753D1" w:rsidP="00CD6954">
            <w:pPr>
              <w:jc w:val="both"/>
              <w:rPr>
                <w:rFonts w:ascii="Calibri" w:hAnsi="Calibri" w:cs="Calibri"/>
                <w:b/>
                <w:sz w:val="24"/>
                <w:szCs w:val="24"/>
              </w:rPr>
            </w:pPr>
          </w:p>
          <w:p w:rsidR="00A753D1" w:rsidRDefault="00A753D1" w:rsidP="00CD6954">
            <w:pPr>
              <w:jc w:val="both"/>
              <w:rPr>
                <w:rFonts w:ascii="Calibri" w:hAnsi="Calibri" w:cs="Calibri"/>
                <w:b/>
                <w:sz w:val="24"/>
                <w:szCs w:val="24"/>
              </w:rPr>
            </w:pPr>
          </w:p>
          <w:p w:rsidR="00A753D1"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r w:rsidRPr="008127C7">
              <w:rPr>
                <w:rFonts w:ascii="Calibri" w:hAnsi="Calibri" w:cs="Calibri"/>
                <w:b/>
                <w:sz w:val="24"/>
                <w:szCs w:val="24"/>
              </w:rPr>
              <w:t>Practical</w:t>
            </w:r>
          </w:p>
          <w:p w:rsidR="00A753D1" w:rsidRPr="008127C7" w:rsidRDefault="00A753D1" w:rsidP="00CD6954">
            <w:pPr>
              <w:jc w:val="both"/>
              <w:rPr>
                <w:rFonts w:ascii="Calibri" w:hAnsi="Calibri" w:cs="Calibri"/>
                <w:b/>
                <w:sz w:val="24"/>
                <w:szCs w:val="24"/>
              </w:rPr>
            </w:pPr>
            <w:r w:rsidRPr="008127C7">
              <w:rPr>
                <w:rFonts w:ascii="Calibri" w:hAnsi="Calibri" w:cs="Calibri"/>
                <w:b/>
                <w:sz w:val="24"/>
                <w:szCs w:val="24"/>
              </w:rPr>
              <w:t>Group collaboration summative assessment</w:t>
            </w:r>
          </w:p>
        </w:tc>
        <w:tc>
          <w:tcPr>
            <w:tcW w:w="1571" w:type="dxa"/>
            <w:tcBorders>
              <w:top w:val="single" w:sz="4" w:space="0" w:color="auto"/>
              <w:left w:val="single" w:sz="4" w:space="0" w:color="auto"/>
              <w:bottom w:val="single" w:sz="4" w:space="0" w:color="auto"/>
              <w:right w:val="single" w:sz="4" w:space="0" w:color="auto"/>
            </w:tcBorders>
          </w:tcPr>
          <w:p w:rsidR="00A753D1" w:rsidRPr="008127C7" w:rsidRDefault="00A753D1" w:rsidP="00CD6954">
            <w:pPr>
              <w:jc w:val="both"/>
              <w:rPr>
                <w:rFonts w:ascii="Calibri" w:hAnsi="Calibri" w:cs="Calibri"/>
                <w:b/>
                <w:sz w:val="24"/>
                <w:szCs w:val="24"/>
              </w:rPr>
            </w:pPr>
            <w:r w:rsidRPr="008127C7">
              <w:rPr>
                <w:rFonts w:ascii="Calibri" w:hAnsi="Calibri" w:cs="Calibri"/>
                <w:b/>
                <w:sz w:val="24"/>
                <w:szCs w:val="24"/>
              </w:rPr>
              <w:lastRenderedPageBreak/>
              <w:t>5 minutes</w:t>
            </w: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r w:rsidRPr="008127C7">
              <w:rPr>
                <w:rFonts w:ascii="Calibri" w:hAnsi="Calibri" w:cs="Calibri"/>
                <w:b/>
                <w:sz w:val="24"/>
                <w:szCs w:val="24"/>
              </w:rPr>
              <w:t>15 minutes</w:t>
            </w: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Default="00A753D1" w:rsidP="00CD6954">
            <w:pPr>
              <w:jc w:val="both"/>
              <w:rPr>
                <w:rFonts w:ascii="Calibri" w:hAnsi="Calibri" w:cs="Calibri"/>
                <w:b/>
                <w:sz w:val="24"/>
                <w:szCs w:val="24"/>
              </w:rPr>
            </w:pPr>
          </w:p>
          <w:p w:rsidR="00A753D1" w:rsidRDefault="00A753D1" w:rsidP="00CD6954">
            <w:pPr>
              <w:jc w:val="both"/>
              <w:rPr>
                <w:rFonts w:ascii="Calibri" w:hAnsi="Calibri" w:cs="Calibri"/>
                <w:b/>
                <w:sz w:val="24"/>
                <w:szCs w:val="24"/>
              </w:rPr>
            </w:pPr>
          </w:p>
          <w:p w:rsidR="00A753D1"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r w:rsidRPr="008127C7">
              <w:rPr>
                <w:rFonts w:ascii="Calibri" w:hAnsi="Calibri" w:cs="Calibri"/>
                <w:b/>
                <w:sz w:val="24"/>
                <w:szCs w:val="24"/>
              </w:rPr>
              <w:t>10 minutes</w:t>
            </w: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p w:rsidR="00A753D1" w:rsidRPr="008127C7" w:rsidRDefault="00A753D1" w:rsidP="00CD6954">
            <w:pPr>
              <w:jc w:val="both"/>
              <w:rPr>
                <w:rFonts w:ascii="Calibri" w:hAnsi="Calibri" w:cs="Calibri"/>
                <w:b/>
                <w:sz w:val="24"/>
                <w:szCs w:val="24"/>
              </w:rPr>
            </w:pPr>
          </w:p>
        </w:tc>
      </w:tr>
      <w:tr w:rsidR="00A753D1" w:rsidTr="00CD6954">
        <w:tblPrEx>
          <w:tblLook w:val="04A0" w:firstRow="1" w:lastRow="0" w:firstColumn="1" w:lastColumn="0" w:noHBand="0" w:noVBand="1"/>
        </w:tblPrEx>
        <w:trPr>
          <w:gridBefore w:val="1"/>
          <w:wBefore w:w="34" w:type="dxa"/>
        </w:trPr>
        <w:tc>
          <w:tcPr>
            <w:tcW w:w="10314" w:type="dxa"/>
            <w:gridSpan w:val="5"/>
            <w:shd w:val="clear" w:color="auto" w:fill="auto"/>
          </w:tcPr>
          <w:p w:rsidR="00A753D1" w:rsidRPr="008127C7" w:rsidRDefault="00A753D1" w:rsidP="00CD6954">
            <w:pPr>
              <w:jc w:val="center"/>
              <w:rPr>
                <w:rFonts w:ascii="Calibri" w:hAnsi="Calibri" w:cs="Calibri"/>
                <w:b/>
                <w:sz w:val="24"/>
                <w:szCs w:val="24"/>
              </w:rPr>
            </w:pPr>
            <w:r w:rsidRPr="008127C7">
              <w:rPr>
                <w:rFonts w:ascii="Calibri" w:hAnsi="Calibri" w:cs="Calibri"/>
                <w:b/>
                <w:sz w:val="24"/>
                <w:szCs w:val="24"/>
              </w:rPr>
              <w:lastRenderedPageBreak/>
              <w:t>Assessment Strategies: when and how are they included within the lesson?</w:t>
            </w:r>
          </w:p>
          <w:p w:rsidR="00A753D1" w:rsidRPr="008127C7" w:rsidRDefault="00A753D1" w:rsidP="00CD6954">
            <w:pPr>
              <w:jc w:val="both"/>
              <w:rPr>
                <w:rFonts w:cstheme="minorHAnsi"/>
                <w:sz w:val="24"/>
                <w:szCs w:val="24"/>
              </w:rPr>
            </w:pPr>
            <w:r w:rsidRPr="008127C7">
              <w:rPr>
                <w:rFonts w:cstheme="minorHAnsi"/>
                <w:sz w:val="24"/>
                <w:szCs w:val="24"/>
              </w:rPr>
              <w:t xml:space="preserve">Q&amp;A throughout, </w:t>
            </w:r>
          </w:p>
          <w:p w:rsidR="00A753D1" w:rsidRPr="008127C7" w:rsidRDefault="00A753D1" w:rsidP="00CD6954">
            <w:pPr>
              <w:jc w:val="both"/>
              <w:rPr>
                <w:rFonts w:cstheme="minorHAnsi"/>
                <w:sz w:val="24"/>
                <w:szCs w:val="24"/>
              </w:rPr>
            </w:pPr>
            <w:r w:rsidRPr="008127C7">
              <w:rPr>
                <w:rFonts w:cstheme="minorHAnsi"/>
                <w:sz w:val="24"/>
                <w:szCs w:val="24"/>
              </w:rPr>
              <w:t>visual and practical involvement to make sure different learning styles are utilized</w:t>
            </w:r>
          </w:p>
          <w:p w:rsidR="00A753D1" w:rsidRPr="008127C7" w:rsidRDefault="00A753D1" w:rsidP="00CD6954">
            <w:pPr>
              <w:jc w:val="both"/>
              <w:rPr>
                <w:rFonts w:cstheme="minorHAnsi"/>
                <w:sz w:val="24"/>
                <w:szCs w:val="24"/>
              </w:rPr>
            </w:pPr>
            <w:r w:rsidRPr="008127C7">
              <w:rPr>
                <w:rFonts w:cstheme="minorHAnsi"/>
                <w:sz w:val="24"/>
                <w:szCs w:val="24"/>
              </w:rPr>
              <w:t xml:space="preserve">Group activity quiz assessment using </w:t>
            </w:r>
            <w:r>
              <w:rPr>
                <w:rFonts w:cstheme="minorHAnsi"/>
                <w:sz w:val="24"/>
                <w:szCs w:val="24"/>
              </w:rPr>
              <w:t>DI</w:t>
            </w:r>
            <w:r w:rsidRPr="008127C7">
              <w:rPr>
                <w:rFonts w:cstheme="minorHAnsi"/>
                <w:sz w:val="24"/>
                <w:szCs w:val="24"/>
              </w:rPr>
              <w:t xml:space="preserve"> via </w:t>
            </w:r>
            <w:r>
              <w:rPr>
                <w:rFonts w:cstheme="minorHAnsi"/>
                <w:sz w:val="24"/>
                <w:szCs w:val="24"/>
              </w:rPr>
              <w:t>KGP</w:t>
            </w:r>
          </w:p>
          <w:p w:rsidR="00A753D1" w:rsidRPr="008127C7" w:rsidRDefault="00A753D1" w:rsidP="00CD6954">
            <w:pPr>
              <w:jc w:val="both"/>
              <w:rPr>
                <w:b/>
                <w:sz w:val="24"/>
                <w:szCs w:val="24"/>
              </w:rPr>
            </w:pPr>
          </w:p>
        </w:tc>
      </w:tr>
    </w:tbl>
    <w:p w:rsidR="00A753D1" w:rsidRDefault="00A753D1" w:rsidP="00A753D1"/>
    <w:tbl>
      <w:tblPr>
        <w:tblStyle w:val="TableGrid"/>
        <w:tblW w:w="0" w:type="auto"/>
        <w:tblLook w:val="04A0" w:firstRow="1" w:lastRow="0" w:firstColumn="1" w:lastColumn="0" w:noHBand="0" w:noVBand="1"/>
      </w:tblPr>
      <w:tblGrid>
        <w:gridCol w:w="9016"/>
      </w:tblGrid>
      <w:tr w:rsidR="00A753D1" w:rsidTr="00CD6954">
        <w:tc>
          <w:tcPr>
            <w:tcW w:w="9016" w:type="dxa"/>
          </w:tcPr>
          <w:p w:rsidR="00A753D1" w:rsidRPr="008127C7" w:rsidRDefault="00A753D1" w:rsidP="00CD6954">
            <w:pPr>
              <w:rPr>
                <w:rFonts w:cstheme="minorHAnsi"/>
                <w:b/>
                <w:sz w:val="24"/>
                <w:szCs w:val="24"/>
              </w:rPr>
            </w:pPr>
            <w:r w:rsidRPr="008127C7">
              <w:rPr>
                <w:rFonts w:cstheme="minorHAnsi"/>
                <w:b/>
                <w:sz w:val="24"/>
                <w:szCs w:val="24"/>
              </w:rPr>
              <w:t>Informal reflection (to be completed after the session)</w:t>
            </w:r>
          </w:p>
          <w:p w:rsidR="00A753D1" w:rsidRPr="008127C7" w:rsidRDefault="00A753D1" w:rsidP="00CD6954">
            <w:pPr>
              <w:rPr>
                <w:b/>
                <w:sz w:val="24"/>
                <w:szCs w:val="24"/>
              </w:rPr>
            </w:pPr>
          </w:p>
          <w:p w:rsidR="00A753D1" w:rsidRPr="008127C7" w:rsidRDefault="00A753D1" w:rsidP="00CD6954">
            <w:pPr>
              <w:rPr>
                <w:rFonts w:cstheme="minorHAnsi"/>
                <w:sz w:val="24"/>
              </w:rPr>
            </w:pPr>
            <w:r w:rsidRPr="008127C7">
              <w:rPr>
                <w:rFonts w:cstheme="minorHAnsi"/>
                <w:sz w:val="24"/>
              </w:rPr>
              <w:t xml:space="preserve">I felt relieved after the session had been completed as this meant I had managed to get through it even though I was nervous as it was my first time incorporating </w:t>
            </w:r>
            <w:r>
              <w:rPr>
                <w:rFonts w:cstheme="minorHAnsi"/>
                <w:sz w:val="24"/>
              </w:rPr>
              <w:t>DI</w:t>
            </w:r>
            <w:r w:rsidRPr="008127C7">
              <w:rPr>
                <w:rFonts w:cstheme="minorHAnsi"/>
                <w:sz w:val="24"/>
              </w:rPr>
              <w:t xml:space="preserve"> into teaching. However I did feel that utilising the SAMR framework helped me have a better understanding of how this could improve learner participation and engagement. I knew I would be nervous but as I have been working on slowing down my talking speed in previous lectures I have taken and utilising coping strategies to help me I felt more prepared and confident. I feel that the lesson went well and the students gained some vital knowledge on the importance of nutrition when exercising and how protein intake can help recovery post exercise for healthier outcomes. I really enjoyed using the </w:t>
            </w:r>
            <w:r>
              <w:rPr>
                <w:rFonts w:cstheme="minorHAnsi"/>
                <w:sz w:val="24"/>
              </w:rPr>
              <w:t>KGP</w:t>
            </w:r>
            <w:r w:rsidRPr="008127C7">
              <w:rPr>
                <w:rFonts w:cstheme="minorHAnsi"/>
                <w:sz w:val="24"/>
              </w:rPr>
              <w:t xml:space="preserve"> as it was nice to have such a positive response and participation from the group and this also took pressure away from standing in front of the class and directed student attention to the digital game rather than on me.</w:t>
            </w:r>
          </w:p>
          <w:p w:rsidR="00A753D1" w:rsidRDefault="00A753D1" w:rsidP="00CD6954">
            <w:pPr>
              <w:rPr>
                <w:b/>
                <w:szCs w:val="24"/>
              </w:rPr>
            </w:pPr>
          </w:p>
        </w:tc>
      </w:tr>
    </w:tbl>
    <w:p w:rsidR="00A753D1" w:rsidRDefault="00A753D1" w:rsidP="00A753D1">
      <w:pPr>
        <w:rPr>
          <w:b/>
          <w:szCs w:val="24"/>
        </w:rPr>
      </w:pPr>
    </w:p>
    <w:p w:rsidR="00A753D1" w:rsidRDefault="00A753D1" w:rsidP="00A753D1">
      <w:pPr>
        <w:rPr>
          <w:b/>
          <w:sz w:val="24"/>
          <w:szCs w:val="24"/>
        </w:rPr>
      </w:pPr>
    </w:p>
    <w:p w:rsidR="00A753D1" w:rsidRDefault="00A753D1" w:rsidP="00A753D1">
      <w:pPr>
        <w:rPr>
          <w:b/>
          <w:sz w:val="24"/>
          <w:szCs w:val="24"/>
        </w:rPr>
      </w:pPr>
    </w:p>
    <w:p w:rsidR="00A753D1" w:rsidRPr="00993896" w:rsidRDefault="00A753D1" w:rsidP="00A753D1">
      <w:pPr>
        <w:rPr>
          <w:b/>
          <w:sz w:val="24"/>
          <w:szCs w:val="24"/>
        </w:rPr>
      </w:pPr>
      <w:r w:rsidRPr="00993896">
        <w:rPr>
          <w:b/>
          <w:sz w:val="24"/>
          <w:szCs w:val="24"/>
        </w:rPr>
        <w:lastRenderedPageBreak/>
        <w:t xml:space="preserve">Photographic evidence of implementing </w:t>
      </w:r>
      <w:r>
        <w:rPr>
          <w:b/>
          <w:sz w:val="24"/>
          <w:szCs w:val="24"/>
        </w:rPr>
        <w:t>C&amp;DI</w:t>
      </w:r>
      <w:r w:rsidRPr="00993896">
        <w:rPr>
          <w:b/>
          <w:sz w:val="24"/>
          <w:szCs w:val="24"/>
        </w:rPr>
        <w:t xml:space="preserve"> into teaching</w:t>
      </w:r>
    </w:p>
    <w:p w:rsidR="00A753D1" w:rsidRPr="00993896" w:rsidRDefault="00A753D1" w:rsidP="00A753D1">
      <w:pPr>
        <w:rPr>
          <w:sz w:val="24"/>
          <w:szCs w:val="24"/>
        </w:rPr>
      </w:pPr>
      <w:r w:rsidRPr="00993896">
        <w:rPr>
          <w:sz w:val="24"/>
          <w:szCs w:val="24"/>
        </w:rPr>
        <w:t xml:space="preserve">Photo 1 – PowerPoint </w:t>
      </w:r>
    </w:p>
    <w:p w:rsidR="00A753D1" w:rsidRDefault="00A753D1" w:rsidP="00A753D1">
      <w:pPr>
        <w:rPr>
          <w:b/>
          <w:szCs w:val="24"/>
        </w:rPr>
      </w:pPr>
      <w:r>
        <w:rPr>
          <w:b/>
          <w:noProof/>
          <w:szCs w:val="24"/>
          <w:lang w:eastAsia="en-GB"/>
        </w:rPr>
        <w:drawing>
          <wp:inline distT="0" distB="0" distL="0" distR="0" wp14:anchorId="76B16490" wp14:editId="0E6BCCDF">
            <wp:extent cx="2870522" cy="1724161"/>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 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72649" cy="1725438"/>
                    </a:xfrm>
                    <a:prstGeom prst="rect">
                      <a:avLst/>
                    </a:prstGeom>
                  </pic:spPr>
                </pic:pic>
              </a:graphicData>
            </a:graphic>
          </wp:inline>
        </w:drawing>
      </w:r>
    </w:p>
    <w:p w:rsidR="00A753D1" w:rsidRPr="00993896" w:rsidRDefault="00A753D1" w:rsidP="00A753D1">
      <w:pPr>
        <w:rPr>
          <w:sz w:val="24"/>
          <w:szCs w:val="24"/>
        </w:rPr>
      </w:pPr>
      <w:r w:rsidRPr="00993896">
        <w:rPr>
          <w:sz w:val="24"/>
          <w:szCs w:val="24"/>
        </w:rPr>
        <w:t xml:space="preserve">Photo 2 – Kahoot </w:t>
      </w:r>
    </w:p>
    <w:p w:rsidR="00A753D1" w:rsidRPr="00887937" w:rsidRDefault="00A753D1" w:rsidP="00A753D1">
      <w:pPr>
        <w:rPr>
          <w:b/>
          <w:szCs w:val="24"/>
        </w:rPr>
      </w:pPr>
      <w:r>
        <w:rPr>
          <w:b/>
          <w:noProof/>
          <w:szCs w:val="24"/>
          <w:lang w:eastAsia="en-GB"/>
        </w:rPr>
        <w:drawing>
          <wp:inline distT="0" distB="0" distL="0" distR="0" wp14:anchorId="7FBC4B5B" wp14:editId="75A3CF60">
            <wp:extent cx="2911033" cy="1875099"/>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 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12078" cy="1875772"/>
                    </a:xfrm>
                    <a:prstGeom prst="rect">
                      <a:avLst/>
                    </a:prstGeom>
                  </pic:spPr>
                </pic:pic>
              </a:graphicData>
            </a:graphic>
          </wp:inline>
        </w:drawing>
      </w:r>
    </w:p>
    <w:p w:rsidR="00A753D1" w:rsidRPr="00993896" w:rsidRDefault="00A753D1" w:rsidP="00A753D1">
      <w:pPr>
        <w:rPr>
          <w:sz w:val="24"/>
          <w:szCs w:val="24"/>
        </w:rPr>
      </w:pPr>
      <w:r w:rsidRPr="00993896">
        <w:rPr>
          <w:sz w:val="24"/>
          <w:szCs w:val="24"/>
        </w:rPr>
        <w:t>Photo 3 – Kahoot questions</w:t>
      </w:r>
    </w:p>
    <w:p w:rsidR="00A753D1" w:rsidRPr="00993896" w:rsidRDefault="00A753D1" w:rsidP="00A753D1">
      <w:pPr>
        <w:rPr>
          <w:szCs w:val="24"/>
        </w:rPr>
      </w:pPr>
      <w:r>
        <w:rPr>
          <w:noProof/>
          <w:szCs w:val="24"/>
          <w:lang w:eastAsia="en-GB"/>
        </w:rPr>
        <w:drawing>
          <wp:inline distT="0" distB="0" distL="0" distR="0" wp14:anchorId="7B885592" wp14:editId="3847B581">
            <wp:extent cx="2870311" cy="1759352"/>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 3.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69824" cy="1759054"/>
                    </a:xfrm>
                    <a:prstGeom prst="rect">
                      <a:avLst/>
                    </a:prstGeom>
                  </pic:spPr>
                </pic:pic>
              </a:graphicData>
            </a:graphic>
          </wp:inline>
        </w:drawing>
      </w:r>
    </w:p>
    <w:p w:rsidR="00A753D1" w:rsidRDefault="00A753D1" w:rsidP="00A753D1">
      <w:pPr>
        <w:rPr>
          <w:sz w:val="24"/>
        </w:rPr>
      </w:pPr>
    </w:p>
    <w:p w:rsidR="00A753D1" w:rsidRDefault="00A753D1" w:rsidP="00A753D1">
      <w:pPr>
        <w:rPr>
          <w:sz w:val="24"/>
        </w:rPr>
      </w:pPr>
    </w:p>
    <w:p w:rsidR="00A753D1" w:rsidRDefault="00A753D1" w:rsidP="00A753D1">
      <w:pPr>
        <w:rPr>
          <w:sz w:val="24"/>
        </w:rPr>
      </w:pPr>
    </w:p>
    <w:p w:rsidR="00A753D1" w:rsidRDefault="00A753D1" w:rsidP="00A753D1">
      <w:pPr>
        <w:rPr>
          <w:sz w:val="24"/>
        </w:rPr>
      </w:pPr>
    </w:p>
    <w:p w:rsidR="00A753D1" w:rsidRDefault="00A753D1" w:rsidP="00A753D1">
      <w:pPr>
        <w:rPr>
          <w:sz w:val="24"/>
        </w:rPr>
      </w:pPr>
    </w:p>
    <w:p w:rsidR="00A753D1" w:rsidRPr="00993896" w:rsidRDefault="00A753D1" w:rsidP="00A753D1">
      <w:pPr>
        <w:rPr>
          <w:sz w:val="24"/>
        </w:rPr>
      </w:pPr>
      <w:r w:rsidRPr="00993896">
        <w:rPr>
          <w:sz w:val="24"/>
        </w:rPr>
        <w:lastRenderedPageBreak/>
        <w:t>Photo 4 – Kahoot questions</w:t>
      </w:r>
    </w:p>
    <w:p w:rsidR="00A753D1" w:rsidRDefault="00A753D1" w:rsidP="00A753D1">
      <w:r>
        <w:rPr>
          <w:noProof/>
          <w:lang w:eastAsia="en-GB"/>
        </w:rPr>
        <w:drawing>
          <wp:inline distT="0" distB="0" distL="0" distR="0" wp14:anchorId="05FD50B6" wp14:editId="620E19ED">
            <wp:extent cx="2870311" cy="1643605"/>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 4.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70036" cy="1643448"/>
                    </a:xfrm>
                    <a:prstGeom prst="rect">
                      <a:avLst/>
                    </a:prstGeom>
                  </pic:spPr>
                </pic:pic>
              </a:graphicData>
            </a:graphic>
          </wp:inline>
        </w:drawing>
      </w:r>
    </w:p>
    <w:p w:rsidR="00A753D1" w:rsidRDefault="00A753D1" w:rsidP="00A753D1">
      <w:pPr>
        <w:rPr>
          <w:sz w:val="24"/>
          <w:szCs w:val="24"/>
        </w:rPr>
      </w:pPr>
      <w:r w:rsidRPr="00993896">
        <w:rPr>
          <w:sz w:val="24"/>
          <w:szCs w:val="24"/>
        </w:rPr>
        <w:t xml:space="preserve">Photo 5 </w:t>
      </w:r>
      <w:r>
        <w:rPr>
          <w:sz w:val="24"/>
          <w:szCs w:val="24"/>
        </w:rPr>
        <w:t>–</w:t>
      </w:r>
      <w:r w:rsidRPr="00993896">
        <w:rPr>
          <w:sz w:val="24"/>
          <w:szCs w:val="24"/>
        </w:rPr>
        <w:t xml:space="preserve"> </w:t>
      </w:r>
      <w:r>
        <w:rPr>
          <w:sz w:val="24"/>
          <w:szCs w:val="24"/>
        </w:rPr>
        <w:t>Kahoot questions</w:t>
      </w:r>
    </w:p>
    <w:p w:rsidR="00A753D1" w:rsidRPr="00993896" w:rsidRDefault="00A753D1" w:rsidP="00A753D1">
      <w:pPr>
        <w:rPr>
          <w:sz w:val="24"/>
          <w:szCs w:val="24"/>
        </w:rPr>
      </w:pPr>
      <w:r>
        <w:rPr>
          <w:noProof/>
          <w:sz w:val="24"/>
          <w:szCs w:val="24"/>
          <w:lang w:eastAsia="en-GB"/>
        </w:rPr>
        <w:drawing>
          <wp:inline distT="0" distB="0" distL="0" distR="0" wp14:anchorId="0F3677C6" wp14:editId="379DB23C">
            <wp:extent cx="2870522" cy="1477832"/>
            <wp:effectExtent l="0" t="0" r="635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 5.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72158" cy="1478674"/>
                    </a:xfrm>
                    <a:prstGeom prst="rect">
                      <a:avLst/>
                    </a:prstGeom>
                  </pic:spPr>
                </pic:pic>
              </a:graphicData>
            </a:graphic>
          </wp:inline>
        </w:drawing>
      </w:r>
    </w:p>
    <w:p w:rsidR="00A753D1" w:rsidRDefault="00A753D1" w:rsidP="00A753D1">
      <w:pPr>
        <w:rPr>
          <w:sz w:val="24"/>
          <w:szCs w:val="24"/>
        </w:rPr>
      </w:pPr>
      <w:r w:rsidRPr="00467DFE">
        <w:rPr>
          <w:sz w:val="24"/>
          <w:szCs w:val="24"/>
        </w:rPr>
        <w:t xml:space="preserve">Photo 6 </w:t>
      </w:r>
      <w:r>
        <w:rPr>
          <w:sz w:val="24"/>
          <w:szCs w:val="24"/>
        </w:rPr>
        <w:t>–</w:t>
      </w:r>
      <w:r w:rsidRPr="00467DFE">
        <w:rPr>
          <w:sz w:val="24"/>
          <w:szCs w:val="24"/>
        </w:rPr>
        <w:t xml:space="preserve"> </w:t>
      </w:r>
      <w:r>
        <w:rPr>
          <w:sz w:val="24"/>
          <w:szCs w:val="24"/>
        </w:rPr>
        <w:t>Winner of Kahoot game</w:t>
      </w:r>
    </w:p>
    <w:p w:rsidR="00A753D1" w:rsidRDefault="00A753D1" w:rsidP="00A753D1">
      <w:pPr>
        <w:rPr>
          <w:sz w:val="24"/>
          <w:szCs w:val="24"/>
        </w:rPr>
      </w:pPr>
      <w:r>
        <w:rPr>
          <w:noProof/>
          <w:sz w:val="24"/>
          <w:szCs w:val="24"/>
          <w:lang w:eastAsia="en-GB"/>
        </w:rPr>
        <w:drawing>
          <wp:inline distT="0" distB="0" distL="0" distR="0" wp14:anchorId="4966201C" wp14:editId="6DEABCF1">
            <wp:extent cx="2598516" cy="155100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 6.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99621" cy="1551668"/>
                    </a:xfrm>
                    <a:prstGeom prst="rect">
                      <a:avLst/>
                    </a:prstGeom>
                  </pic:spPr>
                </pic:pic>
              </a:graphicData>
            </a:graphic>
          </wp:inline>
        </w:drawing>
      </w:r>
    </w:p>
    <w:p w:rsidR="00A753D1" w:rsidRDefault="00A753D1" w:rsidP="00A753D1">
      <w:pPr>
        <w:rPr>
          <w:sz w:val="24"/>
          <w:szCs w:val="24"/>
        </w:rPr>
      </w:pPr>
      <w:r>
        <w:rPr>
          <w:sz w:val="24"/>
          <w:szCs w:val="24"/>
        </w:rPr>
        <w:t>Photo 7 – Real time feedback</w:t>
      </w:r>
    </w:p>
    <w:p w:rsidR="00A753D1" w:rsidRPr="00467DFE" w:rsidRDefault="00A753D1" w:rsidP="00A753D1">
      <w:pPr>
        <w:rPr>
          <w:sz w:val="24"/>
          <w:szCs w:val="24"/>
        </w:rPr>
      </w:pPr>
      <w:r>
        <w:rPr>
          <w:noProof/>
          <w:sz w:val="24"/>
          <w:szCs w:val="24"/>
          <w:lang w:eastAsia="en-GB"/>
        </w:rPr>
        <w:drawing>
          <wp:inline distT="0" distB="0" distL="0" distR="0" wp14:anchorId="25FCBD7C" wp14:editId="6BFE138A">
            <wp:extent cx="2646550" cy="1788289"/>
            <wp:effectExtent l="0" t="0" r="1905"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 7.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47006" cy="1788597"/>
                    </a:xfrm>
                    <a:prstGeom prst="rect">
                      <a:avLst/>
                    </a:prstGeom>
                  </pic:spPr>
                </pic:pic>
              </a:graphicData>
            </a:graphic>
          </wp:inline>
        </w:drawing>
      </w:r>
    </w:p>
    <w:p w:rsidR="00A753D1" w:rsidRDefault="00A753D1" w:rsidP="00A753D1">
      <w:pPr>
        <w:spacing w:line="360" w:lineRule="auto"/>
        <w:rPr>
          <w:b/>
          <w:sz w:val="24"/>
          <w:szCs w:val="24"/>
          <w:u w:val="single"/>
        </w:rPr>
      </w:pPr>
    </w:p>
    <w:p w:rsidR="00A753D1" w:rsidRDefault="00A753D1" w:rsidP="00A753D1">
      <w:pPr>
        <w:spacing w:line="360" w:lineRule="auto"/>
        <w:rPr>
          <w:b/>
          <w:sz w:val="24"/>
          <w:szCs w:val="24"/>
          <w:u w:val="single"/>
        </w:rPr>
      </w:pPr>
      <w:r>
        <w:rPr>
          <w:b/>
          <w:sz w:val="24"/>
          <w:szCs w:val="24"/>
          <w:u w:val="single"/>
        </w:rPr>
        <w:lastRenderedPageBreak/>
        <w:t>Evaluation and reflection</w:t>
      </w:r>
    </w:p>
    <w:p w:rsidR="00A753D1" w:rsidRDefault="00A753D1" w:rsidP="00A753D1">
      <w:pPr>
        <w:spacing w:line="360" w:lineRule="auto"/>
        <w:rPr>
          <w:sz w:val="24"/>
          <w:szCs w:val="24"/>
        </w:rPr>
      </w:pPr>
      <w:r>
        <w:rPr>
          <w:sz w:val="24"/>
          <w:szCs w:val="24"/>
        </w:rPr>
        <w:t xml:space="preserve">I found that using the KGP as a technological substitute for traditional questions enhanced the learning experience both visually and cognitively and increased learner participation which was the main aim (Wang and Tahir, 2020). I think the practicality of the tool was a simple yet effective way to involve C&amp;DI and included smartphone usage, which is something the majority of individuals in modern society are familiar with and carry due to easy portability and instant connectivity and allowed the session to flow effectively (Sung, Chang and Liu, 2016). Kahoot works by setting up an account using your own technology via laptop, which again was a quick and easy process and then requests for you to design a questionnaire based on what you have taught. Kahoot gives you options between picking a quiz and true or false questions which are free, however other options such as puzzle, polls and type answers are paid for applications which does limit choice and cause repetition unless organisations are willing to pay subscription fees (Gonzalez and Navarro-Adelantado, 2020). Despite this I found that the free options were more than adequate for the questions I wanted to ask and did challenge student’s ability to recall retained knowledge they had learned which is vital for skill development and evident from the pictures provided (Putz and Treiblmaier, 2019). </w:t>
      </w:r>
    </w:p>
    <w:p w:rsidR="00A753D1" w:rsidRDefault="00A753D1" w:rsidP="00A753D1">
      <w:pPr>
        <w:spacing w:line="360" w:lineRule="auto"/>
        <w:rPr>
          <w:sz w:val="24"/>
          <w:szCs w:val="24"/>
        </w:rPr>
      </w:pPr>
      <w:r>
        <w:rPr>
          <w:sz w:val="24"/>
          <w:szCs w:val="24"/>
        </w:rPr>
        <w:t>Once the design has been chosen you then type in the questions you want to ask where you are offered one right response and three wrong which students will have to choose from</w:t>
      </w:r>
      <w:r w:rsidRPr="00FF56B0">
        <w:rPr>
          <w:sz w:val="24"/>
          <w:szCs w:val="24"/>
        </w:rPr>
        <w:t xml:space="preserve"> </w:t>
      </w:r>
      <w:r>
        <w:rPr>
          <w:sz w:val="24"/>
          <w:szCs w:val="24"/>
        </w:rPr>
        <w:t>and a time limit is then placed on each question. Although time limits can sometimes cause anxiety when recalling knowledge, I felt this method created enthusiasm and determination where the class reflected on the presentation in order to remember what they had learned (Zainuddin, 2023). There is also an option to add easy or hard multiple choice which provides the teacher with full autonomy to design questions they think will be more effective in knowledge recall, allowing the teacher to also be involved in the learning process (Grabner-Hagen and Kingsley, 2023). Once the required amount of questions have been input the design then gets saved and creates a QR code for students to scan using their smartphone to access the game. Students can input their own name or a nickname which can make the interaction fun and creative and there is also an option for group participation which can be beneficial for large student cohorts and teamwork collaboration thus improving social development and communication (Riar et al, 2022).</w:t>
      </w:r>
    </w:p>
    <w:p w:rsidR="00A753D1" w:rsidRDefault="00A753D1" w:rsidP="00A753D1">
      <w:pPr>
        <w:spacing w:line="360" w:lineRule="auto"/>
        <w:rPr>
          <w:sz w:val="24"/>
          <w:szCs w:val="24"/>
        </w:rPr>
      </w:pPr>
      <w:r>
        <w:rPr>
          <w:sz w:val="24"/>
          <w:szCs w:val="24"/>
        </w:rPr>
        <w:lastRenderedPageBreak/>
        <w:t>Once the lecture finished I explained the question process and how to use Kahoot and noticed that students became more alert and were happy to use their smartphones to scan the QR code for the platform. Students entered their actual names rather than nicknames and as the teacher I controlled when to start and go to the next question which I thought provided structure and direction which is important for productivity, satisfaction and creating a supportive environment (Cheon, Reeve and Vansteenkiste, 2020). Despite the different levels of maturity and ability every question was answered correctly and within the time limit which showed that students had paid attention throughout the class and found it easy to recall the information. Students positively commented on the practicality of answering questions this way as they shared it was a more fun and interactive way to assess them. This is the first time that I have used this form of DI within a classroom environment and based on Kolbs learning cycle and step one, concrete experience, I found Kahoot an easy and beneficial form of DT to try and encourage participation.  Two of the students commented they felt more confident answering questions this way in comparison to traditional questions where only a select few are happy to engage and answer. I found that utilising this technology involved the whole class and the more confident students did not overpower those less confident in answering, therefore giving everyone a voice which is vital for confidence and sense of belonging which was also reflected in feedback from the participants and step two of Kolbs learning cycle, reflective observation (Conner, Posner and Nsowaa, 2022). One student commented on this by sharing that not having to publicly answer in front of others reduced their social anxiety and made them feel more comfortable about potentially getting the answer wrong. As an observer it was nice to see the students laughing and smiling when trying to beat their classmates to answer the quickest.</w:t>
      </w:r>
    </w:p>
    <w:p w:rsidR="00A753D1" w:rsidRDefault="00A753D1" w:rsidP="00A753D1">
      <w:pPr>
        <w:spacing w:line="360" w:lineRule="auto"/>
        <w:rPr>
          <w:sz w:val="24"/>
          <w:szCs w:val="24"/>
        </w:rPr>
      </w:pPr>
      <w:r>
        <w:rPr>
          <w:sz w:val="24"/>
          <w:szCs w:val="24"/>
        </w:rPr>
        <w:t xml:space="preserve">One of the main limitations I encountered was that one mature student had an older model of smartphone compared to the newer models and this took longer for them to scan the QR code. The student in this position shared they felt nervous and embarrassed as others were waiting for them to start the game. I learned it is important to be mindful that this can be experienced when teaching HFE where a wide variety of student age ranges can be encountered, with varying degrees of technological understanding, ability and attitude towards use (Staddon, 2020). If I do encounter this in future I will make sure to have a backup plan where I can ask people to work in groups or pairs depending on the level of </w:t>
      </w:r>
      <w:r>
        <w:rPr>
          <w:sz w:val="24"/>
          <w:szCs w:val="24"/>
        </w:rPr>
        <w:lastRenderedPageBreak/>
        <w:t>participants which also incorporates step three of Kolbs learning cycle, abstract conceptualisation and learning from the experience (Chiu, 2019). I could also make amendments to the KGP and add more time to the questions if internet connectivity or smartphone devices are slower than anticipated. That being said I did not encounter any other limitations using Kahoot and the overall student consensus was that this DI created a positive learning environment that encouraged engagement, critical thinking and motivation for positive learning outcomes. The platform provided real time feedback which is important for reflection and affirming confidence and generated healthy competition for fostering a sense of achievement and improved academic success via intrinsic motivation (Goegan and Daniels, 2022). The only aspect that I would like to improve on is using this type of technology with more participants to see how students cope with different pressure when they feel they may let their team mates down which also meets step four of Kolbs learning cycle active experimentation and planning (Chiu, 2019). Overall the aims and goals were achieved and I learned how productive incorporating technology into academic learning can be for both student and teacher engagement and it is something I would like to promote further use of in my future teaching career.</w:t>
      </w:r>
    </w:p>
    <w:p w:rsidR="008127C7" w:rsidRDefault="008127C7" w:rsidP="00B733A2">
      <w:pPr>
        <w:rPr>
          <w:b/>
          <w:sz w:val="24"/>
          <w:szCs w:val="24"/>
          <w:u w:val="single"/>
        </w:rPr>
      </w:pPr>
    </w:p>
    <w:p w:rsidR="008127C7" w:rsidRDefault="008127C7" w:rsidP="00B733A2">
      <w:pPr>
        <w:rPr>
          <w:b/>
          <w:sz w:val="24"/>
          <w:szCs w:val="24"/>
          <w:u w:val="single"/>
        </w:rPr>
      </w:pPr>
    </w:p>
    <w:p w:rsidR="008127C7" w:rsidRDefault="008127C7" w:rsidP="00B733A2">
      <w:pPr>
        <w:rPr>
          <w:b/>
          <w:sz w:val="24"/>
          <w:szCs w:val="24"/>
          <w:u w:val="single"/>
        </w:rPr>
      </w:pPr>
    </w:p>
    <w:p w:rsidR="008127C7" w:rsidRDefault="008127C7" w:rsidP="00B733A2">
      <w:pPr>
        <w:rPr>
          <w:b/>
          <w:sz w:val="24"/>
          <w:szCs w:val="24"/>
          <w:u w:val="single"/>
        </w:rPr>
      </w:pPr>
    </w:p>
    <w:p w:rsidR="008127C7" w:rsidRDefault="008127C7" w:rsidP="00B733A2">
      <w:pPr>
        <w:rPr>
          <w:b/>
          <w:sz w:val="24"/>
          <w:szCs w:val="24"/>
          <w:u w:val="single"/>
        </w:rPr>
      </w:pPr>
    </w:p>
    <w:p w:rsidR="008127C7" w:rsidRDefault="008127C7" w:rsidP="00B733A2">
      <w:pPr>
        <w:rPr>
          <w:b/>
          <w:sz w:val="24"/>
          <w:szCs w:val="24"/>
          <w:u w:val="single"/>
        </w:rPr>
      </w:pPr>
    </w:p>
    <w:p w:rsidR="008127C7" w:rsidRDefault="008127C7" w:rsidP="00B733A2">
      <w:pPr>
        <w:rPr>
          <w:b/>
          <w:sz w:val="24"/>
          <w:szCs w:val="24"/>
          <w:u w:val="single"/>
        </w:rPr>
      </w:pPr>
    </w:p>
    <w:p w:rsidR="008127C7" w:rsidRDefault="008127C7" w:rsidP="00B733A2">
      <w:pPr>
        <w:rPr>
          <w:b/>
          <w:sz w:val="24"/>
          <w:szCs w:val="24"/>
          <w:u w:val="single"/>
        </w:rPr>
      </w:pPr>
    </w:p>
    <w:p w:rsidR="008127C7" w:rsidRDefault="008127C7" w:rsidP="00B733A2">
      <w:pPr>
        <w:rPr>
          <w:b/>
          <w:sz w:val="24"/>
          <w:szCs w:val="24"/>
          <w:u w:val="single"/>
        </w:rPr>
      </w:pPr>
    </w:p>
    <w:p w:rsidR="008127C7" w:rsidRDefault="008127C7" w:rsidP="00B733A2">
      <w:pPr>
        <w:rPr>
          <w:b/>
          <w:sz w:val="24"/>
          <w:szCs w:val="24"/>
          <w:u w:val="single"/>
        </w:rPr>
      </w:pPr>
    </w:p>
    <w:p w:rsidR="00CA5964" w:rsidRDefault="00CA5964" w:rsidP="00B733A2">
      <w:pPr>
        <w:rPr>
          <w:b/>
          <w:sz w:val="24"/>
          <w:szCs w:val="24"/>
          <w:u w:val="single"/>
        </w:rPr>
      </w:pPr>
    </w:p>
    <w:p w:rsidR="00A753D1" w:rsidRDefault="00A753D1" w:rsidP="00B733A2">
      <w:pPr>
        <w:rPr>
          <w:b/>
          <w:sz w:val="24"/>
          <w:szCs w:val="24"/>
          <w:u w:val="single"/>
        </w:rPr>
      </w:pPr>
    </w:p>
    <w:p w:rsidR="00467DFE" w:rsidRPr="00735DC1" w:rsidRDefault="00735DC1" w:rsidP="00B733A2">
      <w:pPr>
        <w:rPr>
          <w:b/>
          <w:sz w:val="24"/>
          <w:szCs w:val="24"/>
          <w:u w:val="single"/>
        </w:rPr>
      </w:pPr>
      <w:r w:rsidRPr="00735DC1">
        <w:rPr>
          <w:b/>
          <w:sz w:val="24"/>
          <w:szCs w:val="24"/>
          <w:u w:val="single"/>
        </w:rPr>
        <w:lastRenderedPageBreak/>
        <w:t>Reference List</w:t>
      </w:r>
    </w:p>
    <w:p w:rsidR="00AF7946" w:rsidRPr="00AF7946" w:rsidRDefault="00AF7946" w:rsidP="00AF7946">
      <w:pPr>
        <w:pStyle w:val="Bibliography"/>
        <w:rPr>
          <w:noProof/>
          <w:sz w:val="24"/>
          <w:szCs w:val="24"/>
        </w:rPr>
      </w:pPr>
      <w:r w:rsidRPr="00AF7946">
        <w:rPr>
          <w:sz w:val="24"/>
          <w:szCs w:val="24"/>
        </w:rPr>
        <w:fldChar w:fldCharType="begin"/>
      </w:r>
      <w:r w:rsidRPr="00AF7946">
        <w:rPr>
          <w:sz w:val="24"/>
          <w:szCs w:val="24"/>
        </w:rPr>
        <w:instrText xml:space="preserve"> BIBLIOGRAPHY  \l 2057 </w:instrText>
      </w:r>
      <w:r w:rsidRPr="00AF7946">
        <w:rPr>
          <w:sz w:val="24"/>
          <w:szCs w:val="24"/>
        </w:rPr>
        <w:fldChar w:fldCharType="separate"/>
      </w:r>
      <w:r w:rsidRPr="00AF7946">
        <w:rPr>
          <w:noProof/>
          <w:sz w:val="24"/>
          <w:szCs w:val="24"/>
        </w:rPr>
        <w:t xml:space="preserve">Adel, A., </w:t>
      </w:r>
      <w:r w:rsidR="00E51B06" w:rsidRPr="00E51B06">
        <w:rPr>
          <w:sz w:val="24"/>
          <w:szCs w:val="24"/>
        </w:rPr>
        <w:t>and Dayan, J.,</w:t>
      </w:r>
      <w:r w:rsidR="00E51B06">
        <w:rPr>
          <w:sz w:val="24"/>
          <w:szCs w:val="24"/>
        </w:rPr>
        <w:t xml:space="preserve"> (</w:t>
      </w:r>
      <w:r w:rsidRPr="00AF7946">
        <w:rPr>
          <w:noProof/>
          <w:sz w:val="24"/>
          <w:szCs w:val="24"/>
        </w:rPr>
        <w:t>2021</w:t>
      </w:r>
      <w:r w:rsidR="00E51B06">
        <w:rPr>
          <w:noProof/>
          <w:sz w:val="24"/>
          <w:szCs w:val="24"/>
        </w:rPr>
        <w:t>)</w:t>
      </w:r>
      <w:r w:rsidRPr="00AF7946">
        <w:rPr>
          <w:noProof/>
          <w:sz w:val="24"/>
          <w:szCs w:val="24"/>
        </w:rPr>
        <w:t xml:space="preserve">. Towards an Intelligent Blended System of Learning Activities Model for New Zealand Institutions: An Investigative Approach. </w:t>
      </w:r>
      <w:r w:rsidRPr="00AF7946">
        <w:rPr>
          <w:i/>
          <w:iCs/>
          <w:noProof/>
          <w:sz w:val="24"/>
          <w:szCs w:val="24"/>
        </w:rPr>
        <w:t xml:space="preserve">Humanities and Social Sciences Communications, </w:t>
      </w:r>
      <w:r w:rsidRPr="00AF7946">
        <w:rPr>
          <w:noProof/>
          <w:sz w:val="24"/>
          <w:szCs w:val="24"/>
        </w:rPr>
        <w:t>8(72), pp. 1-14.</w:t>
      </w:r>
    </w:p>
    <w:p w:rsidR="00AF7946" w:rsidRPr="00AF7946" w:rsidRDefault="00AF7946" w:rsidP="00AF7946">
      <w:pPr>
        <w:pStyle w:val="Bibliography"/>
        <w:rPr>
          <w:noProof/>
          <w:sz w:val="24"/>
          <w:szCs w:val="24"/>
        </w:rPr>
      </w:pPr>
      <w:r w:rsidRPr="00AF7946">
        <w:rPr>
          <w:noProof/>
          <w:sz w:val="24"/>
          <w:szCs w:val="24"/>
        </w:rPr>
        <w:t xml:space="preserve">Al-Ansi, A., </w:t>
      </w:r>
      <w:r w:rsidR="00D4154C" w:rsidRPr="00D4154C">
        <w:rPr>
          <w:sz w:val="24"/>
          <w:szCs w:val="24"/>
        </w:rPr>
        <w:t>Jaboob, M., Garad, A., and Al-Ansi, A.,</w:t>
      </w:r>
      <w:r w:rsidR="00D4154C">
        <w:rPr>
          <w:sz w:val="24"/>
          <w:szCs w:val="24"/>
        </w:rPr>
        <w:t xml:space="preserve"> (</w:t>
      </w:r>
      <w:r w:rsidRPr="00AF7946">
        <w:rPr>
          <w:noProof/>
          <w:sz w:val="24"/>
          <w:szCs w:val="24"/>
        </w:rPr>
        <w:t>2023</w:t>
      </w:r>
      <w:r w:rsidR="00D4154C">
        <w:rPr>
          <w:noProof/>
          <w:sz w:val="24"/>
          <w:szCs w:val="24"/>
        </w:rPr>
        <w:t>)</w:t>
      </w:r>
      <w:r w:rsidRPr="00AF7946">
        <w:rPr>
          <w:noProof/>
          <w:sz w:val="24"/>
          <w:szCs w:val="24"/>
        </w:rPr>
        <w:t xml:space="preserve">. Analysing Augmented Reality (AR) and Virtual Reality (VR) Recent Development in Education. </w:t>
      </w:r>
      <w:r w:rsidRPr="00AF7946">
        <w:rPr>
          <w:i/>
          <w:iCs/>
          <w:noProof/>
          <w:sz w:val="24"/>
          <w:szCs w:val="24"/>
        </w:rPr>
        <w:t xml:space="preserve">Social Sciences and Humanities Open, </w:t>
      </w:r>
      <w:r w:rsidRPr="00AF7946">
        <w:rPr>
          <w:noProof/>
          <w:sz w:val="24"/>
          <w:szCs w:val="24"/>
        </w:rPr>
        <w:t>8(1), p. 100532.</w:t>
      </w:r>
    </w:p>
    <w:p w:rsidR="00AF7946" w:rsidRPr="00AF7946" w:rsidRDefault="00AF7946" w:rsidP="00AF7946">
      <w:pPr>
        <w:pStyle w:val="Bibliography"/>
        <w:rPr>
          <w:noProof/>
          <w:sz w:val="24"/>
          <w:szCs w:val="24"/>
        </w:rPr>
      </w:pPr>
      <w:r w:rsidRPr="00AF7946">
        <w:rPr>
          <w:noProof/>
          <w:sz w:val="24"/>
          <w:szCs w:val="24"/>
        </w:rPr>
        <w:t xml:space="preserve">Albrahim, F., </w:t>
      </w:r>
      <w:r w:rsidR="008127C7">
        <w:rPr>
          <w:noProof/>
          <w:sz w:val="24"/>
          <w:szCs w:val="24"/>
        </w:rPr>
        <w:t>(</w:t>
      </w:r>
      <w:r w:rsidRPr="00AF7946">
        <w:rPr>
          <w:noProof/>
          <w:sz w:val="24"/>
          <w:szCs w:val="24"/>
        </w:rPr>
        <w:t>2020</w:t>
      </w:r>
      <w:r w:rsidR="008127C7">
        <w:rPr>
          <w:noProof/>
          <w:sz w:val="24"/>
          <w:szCs w:val="24"/>
        </w:rPr>
        <w:t>)</w:t>
      </w:r>
      <w:r w:rsidRPr="00AF7946">
        <w:rPr>
          <w:noProof/>
          <w:sz w:val="24"/>
          <w:szCs w:val="24"/>
        </w:rPr>
        <w:t xml:space="preserve">. Online Teaching Skills and Competencies. </w:t>
      </w:r>
      <w:r w:rsidRPr="00AF7946">
        <w:rPr>
          <w:i/>
          <w:iCs/>
          <w:noProof/>
          <w:sz w:val="24"/>
          <w:szCs w:val="24"/>
        </w:rPr>
        <w:t xml:space="preserve">The Turkish Online Journal of Educational Technologies, </w:t>
      </w:r>
      <w:r w:rsidRPr="00AF7946">
        <w:rPr>
          <w:noProof/>
          <w:sz w:val="24"/>
          <w:szCs w:val="24"/>
        </w:rPr>
        <w:t>19(1), pp. 9-20.</w:t>
      </w:r>
    </w:p>
    <w:p w:rsidR="00AF7946" w:rsidRPr="00AF7946" w:rsidRDefault="00AF7946" w:rsidP="00AF7946">
      <w:pPr>
        <w:pStyle w:val="Bibliography"/>
        <w:rPr>
          <w:noProof/>
          <w:sz w:val="24"/>
          <w:szCs w:val="24"/>
        </w:rPr>
      </w:pPr>
      <w:r w:rsidRPr="00AF7946">
        <w:rPr>
          <w:noProof/>
          <w:sz w:val="24"/>
          <w:szCs w:val="24"/>
        </w:rPr>
        <w:t xml:space="preserve">Bajracharya, J., </w:t>
      </w:r>
      <w:r w:rsidR="008127C7">
        <w:rPr>
          <w:noProof/>
          <w:sz w:val="24"/>
          <w:szCs w:val="24"/>
        </w:rPr>
        <w:t>(</w:t>
      </w:r>
      <w:r w:rsidRPr="00AF7946">
        <w:rPr>
          <w:noProof/>
          <w:sz w:val="24"/>
          <w:szCs w:val="24"/>
        </w:rPr>
        <w:t>2021</w:t>
      </w:r>
      <w:r w:rsidR="008127C7">
        <w:rPr>
          <w:noProof/>
          <w:sz w:val="24"/>
          <w:szCs w:val="24"/>
        </w:rPr>
        <w:t>)</w:t>
      </w:r>
      <w:r w:rsidRPr="00AF7946">
        <w:rPr>
          <w:noProof/>
          <w:sz w:val="24"/>
          <w:szCs w:val="24"/>
        </w:rPr>
        <w:t xml:space="preserve">. Technology Integration Models and Frameworks in Teaching and Training. </w:t>
      </w:r>
      <w:r w:rsidRPr="00AF7946">
        <w:rPr>
          <w:i/>
          <w:iCs/>
          <w:noProof/>
          <w:sz w:val="24"/>
          <w:szCs w:val="24"/>
        </w:rPr>
        <w:t xml:space="preserve">Journal of Training and Development, </w:t>
      </w:r>
      <w:r w:rsidRPr="00AF7946">
        <w:rPr>
          <w:noProof/>
          <w:sz w:val="24"/>
          <w:szCs w:val="24"/>
        </w:rPr>
        <w:t>6(1), pp. 3-11.</w:t>
      </w:r>
    </w:p>
    <w:p w:rsidR="00AF7946" w:rsidRPr="00AF7946" w:rsidRDefault="00AF7946" w:rsidP="00AF7946">
      <w:pPr>
        <w:pStyle w:val="Bibliography"/>
        <w:rPr>
          <w:noProof/>
          <w:sz w:val="24"/>
          <w:szCs w:val="24"/>
        </w:rPr>
      </w:pPr>
      <w:r w:rsidRPr="00AF7946">
        <w:rPr>
          <w:noProof/>
          <w:sz w:val="24"/>
          <w:szCs w:val="24"/>
        </w:rPr>
        <w:t xml:space="preserve">Blundell, C., </w:t>
      </w:r>
      <w:r w:rsidR="00A50671" w:rsidRPr="00A50671">
        <w:rPr>
          <w:sz w:val="24"/>
          <w:szCs w:val="24"/>
        </w:rPr>
        <w:t>Mukherjee, M., Nykvist, S.,</w:t>
      </w:r>
      <w:r w:rsidR="00A50671">
        <w:rPr>
          <w:sz w:val="24"/>
          <w:szCs w:val="24"/>
        </w:rPr>
        <w:t xml:space="preserve"> (</w:t>
      </w:r>
      <w:r w:rsidRPr="00AF7946">
        <w:rPr>
          <w:noProof/>
          <w:sz w:val="24"/>
          <w:szCs w:val="24"/>
        </w:rPr>
        <w:t>2022</w:t>
      </w:r>
      <w:r w:rsidR="00A50671">
        <w:rPr>
          <w:noProof/>
          <w:sz w:val="24"/>
          <w:szCs w:val="24"/>
        </w:rPr>
        <w:t>)</w:t>
      </w:r>
      <w:r w:rsidRPr="00AF7946">
        <w:rPr>
          <w:noProof/>
          <w:sz w:val="24"/>
          <w:szCs w:val="24"/>
        </w:rPr>
        <w:t xml:space="preserve">. A Scoping Review of the Application of the SAMR Model in Research. </w:t>
      </w:r>
      <w:r w:rsidRPr="00AF7946">
        <w:rPr>
          <w:i/>
          <w:iCs/>
          <w:noProof/>
          <w:sz w:val="24"/>
          <w:szCs w:val="24"/>
        </w:rPr>
        <w:t xml:space="preserve">Computers and Education Open, </w:t>
      </w:r>
      <w:r w:rsidRPr="00AF7946">
        <w:rPr>
          <w:noProof/>
          <w:sz w:val="24"/>
          <w:szCs w:val="24"/>
        </w:rPr>
        <w:t>3(1), p. 100093.</w:t>
      </w:r>
    </w:p>
    <w:p w:rsidR="00AF7946" w:rsidRPr="00AF7946" w:rsidRDefault="00AF7946" w:rsidP="00AF7946">
      <w:pPr>
        <w:pStyle w:val="Bibliography"/>
        <w:rPr>
          <w:noProof/>
          <w:sz w:val="24"/>
          <w:szCs w:val="24"/>
        </w:rPr>
      </w:pPr>
      <w:r w:rsidRPr="00AF7946">
        <w:rPr>
          <w:noProof/>
          <w:sz w:val="24"/>
          <w:szCs w:val="24"/>
        </w:rPr>
        <w:t xml:space="preserve">Bygstad, B., </w:t>
      </w:r>
      <w:r w:rsidR="00A50671" w:rsidRPr="00A50671">
        <w:rPr>
          <w:sz w:val="24"/>
          <w:szCs w:val="24"/>
        </w:rPr>
        <w:t>Ovrelid, E., Ludvigsen, S., and Daehlen, M.,</w:t>
      </w:r>
      <w:r w:rsidR="00A50671">
        <w:rPr>
          <w:sz w:val="24"/>
          <w:szCs w:val="24"/>
        </w:rPr>
        <w:t xml:space="preserve"> (</w:t>
      </w:r>
      <w:r w:rsidRPr="00AF7946">
        <w:rPr>
          <w:noProof/>
          <w:sz w:val="24"/>
          <w:szCs w:val="24"/>
        </w:rPr>
        <w:t>2022</w:t>
      </w:r>
      <w:r w:rsidR="00A50671">
        <w:rPr>
          <w:noProof/>
          <w:sz w:val="24"/>
          <w:szCs w:val="24"/>
        </w:rPr>
        <w:t>)</w:t>
      </w:r>
      <w:r w:rsidRPr="00AF7946">
        <w:rPr>
          <w:noProof/>
          <w:sz w:val="24"/>
          <w:szCs w:val="24"/>
        </w:rPr>
        <w:t xml:space="preserve">. From Dual Digitalisation to Digital Learning Space: Exploring the Digital Transformation of Higher Education. </w:t>
      </w:r>
      <w:r w:rsidRPr="00AF7946">
        <w:rPr>
          <w:i/>
          <w:iCs/>
          <w:noProof/>
          <w:sz w:val="24"/>
          <w:szCs w:val="24"/>
        </w:rPr>
        <w:t xml:space="preserve">Computers and Education, </w:t>
      </w:r>
      <w:r w:rsidRPr="00AF7946">
        <w:rPr>
          <w:noProof/>
          <w:sz w:val="24"/>
          <w:szCs w:val="24"/>
        </w:rPr>
        <w:t>182(11), p. 104463.</w:t>
      </w:r>
    </w:p>
    <w:p w:rsidR="00AF7946" w:rsidRDefault="00AF7946" w:rsidP="00AF7946">
      <w:pPr>
        <w:pStyle w:val="Bibliography"/>
        <w:rPr>
          <w:noProof/>
          <w:sz w:val="24"/>
          <w:szCs w:val="24"/>
        </w:rPr>
      </w:pPr>
      <w:r w:rsidRPr="00AF7946">
        <w:rPr>
          <w:noProof/>
          <w:sz w:val="24"/>
          <w:szCs w:val="24"/>
        </w:rPr>
        <w:t xml:space="preserve">Cheon, S., </w:t>
      </w:r>
      <w:r w:rsidR="008127C7" w:rsidRPr="008127C7">
        <w:rPr>
          <w:sz w:val="24"/>
          <w:szCs w:val="24"/>
        </w:rPr>
        <w:t>Reeve, J., and Vansteenkiste, M.,</w:t>
      </w:r>
      <w:r w:rsidR="008127C7">
        <w:rPr>
          <w:sz w:val="24"/>
          <w:szCs w:val="24"/>
        </w:rPr>
        <w:t xml:space="preserve"> (</w:t>
      </w:r>
      <w:r w:rsidRPr="00AF7946">
        <w:rPr>
          <w:noProof/>
          <w:sz w:val="24"/>
          <w:szCs w:val="24"/>
        </w:rPr>
        <w:t>2020</w:t>
      </w:r>
      <w:r w:rsidR="008127C7">
        <w:rPr>
          <w:noProof/>
          <w:sz w:val="24"/>
          <w:szCs w:val="24"/>
        </w:rPr>
        <w:t>)</w:t>
      </w:r>
      <w:r w:rsidRPr="00AF7946">
        <w:rPr>
          <w:noProof/>
          <w:sz w:val="24"/>
          <w:szCs w:val="24"/>
        </w:rPr>
        <w:t xml:space="preserve">. When Teachers Learn how to Provide Classroom Structure in an Autonomy Supportive Way: Benefits to Teachers and their Students. </w:t>
      </w:r>
      <w:r w:rsidRPr="00AF7946">
        <w:rPr>
          <w:i/>
          <w:iCs/>
          <w:noProof/>
          <w:sz w:val="24"/>
          <w:szCs w:val="24"/>
        </w:rPr>
        <w:t xml:space="preserve">Teaching and Teacher Education, </w:t>
      </w:r>
      <w:r w:rsidRPr="00AF7946">
        <w:rPr>
          <w:noProof/>
          <w:sz w:val="24"/>
          <w:szCs w:val="24"/>
        </w:rPr>
        <w:t>90(3), p. 103004.</w:t>
      </w:r>
    </w:p>
    <w:p w:rsidR="00CA5964" w:rsidRPr="00937898" w:rsidRDefault="00CA5964" w:rsidP="00CA5964">
      <w:pPr>
        <w:pStyle w:val="Bibliography"/>
        <w:rPr>
          <w:noProof/>
          <w:sz w:val="24"/>
        </w:rPr>
      </w:pPr>
      <w:r w:rsidRPr="00937898">
        <w:rPr>
          <w:sz w:val="24"/>
        </w:rPr>
        <w:fldChar w:fldCharType="begin"/>
      </w:r>
      <w:r w:rsidRPr="00937898">
        <w:rPr>
          <w:sz w:val="24"/>
        </w:rPr>
        <w:instrText xml:space="preserve"> BIBLIOGRAPHY  \l 2057 </w:instrText>
      </w:r>
      <w:r w:rsidRPr="00937898">
        <w:rPr>
          <w:sz w:val="24"/>
        </w:rPr>
        <w:fldChar w:fldCharType="separate"/>
      </w:r>
      <w:r w:rsidRPr="00937898">
        <w:rPr>
          <w:noProof/>
          <w:sz w:val="24"/>
        </w:rPr>
        <w:t xml:space="preserve">Chiu, S., </w:t>
      </w:r>
      <w:r>
        <w:rPr>
          <w:noProof/>
          <w:sz w:val="24"/>
        </w:rPr>
        <w:t>(</w:t>
      </w:r>
      <w:r w:rsidRPr="00937898">
        <w:rPr>
          <w:noProof/>
          <w:sz w:val="24"/>
        </w:rPr>
        <w:t>2019</w:t>
      </w:r>
      <w:r>
        <w:rPr>
          <w:noProof/>
          <w:sz w:val="24"/>
        </w:rPr>
        <w:t>)</w:t>
      </w:r>
      <w:r w:rsidRPr="00937898">
        <w:rPr>
          <w:noProof/>
          <w:sz w:val="24"/>
        </w:rPr>
        <w:t xml:space="preserve">. Innovative Experiencial Learning Experience: Pedagogical Adopting Kolbs Learning Cycle at Higher Education in Hong Kong. </w:t>
      </w:r>
      <w:r w:rsidRPr="00937898">
        <w:rPr>
          <w:i/>
          <w:iCs/>
          <w:noProof/>
          <w:sz w:val="24"/>
        </w:rPr>
        <w:t xml:space="preserve">Cogent Education, </w:t>
      </w:r>
      <w:r w:rsidRPr="00937898">
        <w:rPr>
          <w:noProof/>
          <w:sz w:val="24"/>
        </w:rPr>
        <w:t>6(1), pp. 1-16.</w:t>
      </w:r>
    </w:p>
    <w:p w:rsidR="00AF7946" w:rsidRPr="00AF7946" w:rsidRDefault="00CA5964" w:rsidP="00CA5964">
      <w:pPr>
        <w:rPr>
          <w:noProof/>
          <w:sz w:val="24"/>
          <w:szCs w:val="24"/>
        </w:rPr>
      </w:pPr>
      <w:r w:rsidRPr="00937898">
        <w:rPr>
          <w:sz w:val="24"/>
        </w:rPr>
        <w:fldChar w:fldCharType="end"/>
      </w:r>
      <w:r w:rsidR="00AF7946" w:rsidRPr="00AF7946">
        <w:rPr>
          <w:noProof/>
          <w:sz w:val="24"/>
          <w:szCs w:val="24"/>
        </w:rPr>
        <w:t xml:space="preserve">Concannon, F., </w:t>
      </w:r>
      <w:r w:rsidR="00E51B06" w:rsidRPr="00E51B06">
        <w:rPr>
          <w:sz w:val="24"/>
          <w:szCs w:val="24"/>
        </w:rPr>
        <w:t>Flynn, A., and Campbell, M.,</w:t>
      </w:r>
      <w:r w:rsidR="00E51B06">
        <w:rPr>
          <w:sz w:val="24"/>
          <w:szCs w:val="24"/>
        </w:rPr>
        <w:t xml:space="preserve"> (</w:t>
      </w:r>
      <w:r w:rsidR="00AF7946" w:rsidRPr="00AF7946">
        <w:rPr>
          <w:noProof/>
          <w:sz w:val="24"/>
          <w:szCs w:val="24"/>
        </w:rPr>
        <w:t>2005</w:t>
      </w:r>
      <w:r w:rsidR="00E51B06">
        <w:rPr>
          <w:noProof/>
          <w:sz w:val="24"/>
          <w:szCs w:val="24"/>
        </w:rPr>
        <w:t>)</w:t>
      </w:r>
      <w:r w:rsidR="00AF7946" w:rsidRPr="00AF7946">
        <w:rPr>
          <w:noProof/>
          <w:sz w:val="24"/>
          <w:szCs w:val="24"/>
        </w:rPr>
        <w:t xml:space="preserve">. What Campus Based Students think abouot the Quality and Benefits of E-Learning. </w:t>
      </w:r>
      <w:r w:rsidR="00AF7946" w:rsidRPr="00AF7946">
        <w:rPr>
          <w:i/>
          <w:iCs/>
          <w:noProof/>
          <w:sz w:val="24"/>
          <w:szCs w:val="24"/>
        </w:rPr>
        <w:t xml:space="preserve">British Journal of Educational Technology, </w:t>
      </w:r>
      <w:r w:rsidR="00AF7946" w:rsidRPr="00AF7946">
        <w:rPr>
          <w:noProof/>
          <w:sz w:val="24"/>
          <w:szCs w:val="24"/>
        </w:rPr>
        <w:t>36(3), pp. 501-512.</w:t>
      </w:r>
    </w:p>
    <w:p w:rsidR="00AF7946" w:rsidRPr="00AF7946" w:rsidRDefault="00AF7946" w:rsidP="00AF7946">
      <w:pPr>
        <w:pStyle w:val="Bibliography"/>
        <w:rPr>
          <w:noProof/>
          <w:sz w:val="24"/>
          <w:szCs w:val="24"/>
        </w:rPr>
      </w:pPr>
      <w:r w:rsidRPr="00AF7946">
        <w:rPr>
          <w:noProof/>
          <w:sz w:val="24"/>
          <w:szCs w:val="24"/>
        </w:rPr>
        <w:t xml:space="preserve">Conner, J., </w:t>
      </w:r>
      <w:r w:rsidR="008127C7" w:rsidRPr="008127C7">
        <w:rPr>
          <w:sz w:val="24"/>
          <w:szCs w:val="24"/>
        </w:rPr>
        <w:t>Posner, M., and Nsowaa, B.,</w:t>
      </w:r>
      <w:r w:rsidR="008127C7">
        <w:rPr>
          <w:sz w:val="24"/>
          <w:szCs w:val="24"/>
        </w:rPr>
        <w:t xml:space="preserve"> (</w:t>
      </w:r>
      <w:r w:rsidRPr="00AF7946">
        <w:rPr>
          <w:noProof/>
          <w:sz w:val="24"/>
          <w:szCs w:val="24"/>
        </w:rPr>
        <w:t>2022</w:t>
      </w:r>
      <w:r w:rsidR="008127C7">
        <w:rPr>
          <w:noProof/>
          <w:sz w:val="24"/>
          <w:szCs w:val="24"/>
        </w:rPr>
        <w:t>)</w:t>
      </w:r>
      <w:r w:rsidRPr="00AF7946">
        <w:rPr>
          <w:noProof/>
          <w:sz w:val="24"/>
          <w:szCs w:val="24"/>
        </w:rPr>
        <w:t xml:space="preserve">. The Relationship between Student Voice and Student Engagement in Urban High Schools. </w:t>
      </w:r>
      <w:r w:rsidRPr="00AF7946">
        <w:rPr>
          <w:i/>
          <w:iCs/>
          <w:noProof/>
          <w:sz w:val="24"/>
          <w:szCs w:val="24"/>
        </w:rPr>
        <w:t xml:space="preserve">The Urban Review, </w:t>
      </w:r>
      <w:r w:rsidRPr="00AF7946">
        <w:rPr>
          <w:noProof/>
          <w:sz w:val="24"/>
          <w:szCs w:val="24"/>
        </w:rPr>
        <w:t>54(1), pp. 755-774.</w:t>
      </w:r>
    </w:p>
    <w:p w:rsidR="00AF7946" w:rsidRPr="00AF7946" w:rsidRDefault="00AF7946" w:rsidP="00AF7946">
      <w:pPr>
        <w:pStyle w:val="Bibliography"/>
        <w:rPr>
          <w:noProof/>
          <w:sz w:val="24"/>
          <w:szCs w:val="24"/>
        </w:rPr>
      </w:pPr>
      <w:r w:rsidRPr="00AF7946">
        <w:rPr>
          <w:noProof/>
          <w:sz w:val="24"/>
          <w:szCs w:val="24"/>
        </w:rPr>
        <w:t xml:space="preserve">Corbett, F., </w:t>
      </w:r>
      <w:r w:rsidR="00A50671" w:rsidRPr="00A50671">
        <w:rPr>
          <w:sz w:val="24"/>
          <w:szCs w:val="24"/>
        </w:rPr>
        <w:t>and Spinello, E.,</w:t>
      </w:r>
      <w:r w:rsidR="00A50671">
        <w:rPr>
          <w:sz w:val="24"/>
          <w:szCs w:val="24"/>
        </w:rPr>
        <w:t xml:space="preserve"> (</w:t>
      </w:r>
      <w:r w:rsidRPr="00AF7946">
        <w:rPr>
          <w:noProof/>
          <w:sz w:val="24"/>
          <w:szCs w:val="24"/>
        </w:rPr>
        <w:t>2020</w:t>
      </w:r>
      <w:r w:rsidR="00A50671">
        <w:rPr>
          <w:noProof/>
          <w:sz w:val="24"/>
          <w:szCs w:val="24"/>
        </w:rPr>
        <w:t>)</w:t>
      </w:r>
      <w:r w:rsidRPr="00AF7946">
        <w:rPr>
          <w:noProof/>
          <w:sz w:val="24"/>
          <w:szCs w:val="24"/>
        </w:rPr>
        <w:t xml:space="preserve">. Connectivism and Leadership: Harnessing a Learning Theory for the Digital Age to Redefine Leadership in the 21st Century. </w:t>
      </w:r>
      <w:r w:rsidRPr="00AF7946">
        <w:rPr>
          <w:i/>
          <w:iCs/>
          <w:noProof/>
          <w:sz w:val="24"/>
          <w:szCs w:val="24"/>
        </w:rPr>
        <w:t xml:space="preserve">Heliyon, </w:t>
      </w:r>
      <w:r w:rsidRPr="00AF7946">
        <w:rPr>
          <w:noProof/>
          <w:sz w:val="24"/>
          <w:szCs w:val="24"/>
        </w:rPr>
        <w:t>6(1), p. e03250.</w:t>
      </w:r>
    </w:p>
    <w:p w:rsidR="00AF7946" w:rsidRPr="00AF7946" w:rsidRDefault="00AF7946" w:rsidP="00AF7946">
      <w:pPr>
        <w:pStyle w:val="Bibliography"/>
        <w:rPr>
          <w:noProof/>
          <w:sz w:val="24"/>
          <w:szCs w:val="24"/>
        </w:rPr>
      </w:pPr>
      <w:r w:rsidRPr="00AF7946">
        <w:rPr>
          <w:noProof/>
          <w:sz w:val="24"/>
          <w:szCs w:val="24"/>
        </w:rPr>
        <w:t xml:space="preserve">Donnelly, D., </w:t>
      </w:r>
      <w:r w:rsidR="00A50671" w:rsidRPr="00A50671">
        <w:rPr>
          <w:sz w:val="24"/>
          <w:szCs w:val="24"/>
        </w:rPr>
        <w:t>McGarr, O., and O’Reilly, J.,</w:t>
      </w:r>
      <w:r w:rsidR="00A50671">
        <w:rPr>
          <w:sz w:val="24"/>
          <w:szCs w:val="24"/>
        </w:rPr>
        <w:t xml:space="preserve"> (</w:t>
      </w:r>
      <w:r w:rsidRPr="00AF7946">
        <w:rPr>
          <w:noProof/>
          <w:sz w:val="24"/>
          <w:szCs w:val="24"/>
        </w:rPr>
        <w:t>2011</w:t>
      </w:r>
      <w:r w:rsidR="00A50671">
        <w:rPr>
          <w:noProof/>
          <w:sz w:val="24"/>
          <w:szCs w:val="24"/>
        </w:rPr>
        <w:t>)</w:t>
      </w:r>
      <w:r w:rsidRPr="00AF7946">
        <w:rPr>
          <w:noProof/>
          <w:sz w:val="24"/>
          <w:szCs w:val="24"/>
        </w:rPr>
        <w:t xml:space="preserve">. A Framework for Teachers Integration of ICT into their Classroom Practice. </w:t>
      </w:r>
      <w:r w:rsidRPr="00AF7946">
        <w:rPr>
          <w:i/>
          <w:iCs/>
          <w:noProof/>
          <w:sz w:val="24"/>
          <w:szCs w:val="24"/>
        </w:rPr>
        <w:t xml:space="preserve">Computers and Education, </w:t>
      </w:r>
      <w:r w:rsidRPr="00AF7946">
        <w:rPr>
          <w:noProof/>
          <w:sz w:val="24"/>
          <w:szCs w:val="24"/>
        </w:rPr>
        <w:t>57(2), pp. 1469-1483.</w:t>
      </w:r>
    </w:p>
    <w:p w:rsidR="00AF7946" w:rsidRPr="00AF7946" w:rsidRDefault="00AF7946" w:rsidP="00AF7946">
      <w:pPr>
        <w:pStyle w:val="Bibliography"/>
        <w:rPr>
          <w:noProof/>
          <w:sz w:val="24"/>
          <w:szCs w:val="24"/>
        </w:rPr>
      </w:pPr>
      <w:r w:rsidRPr="00AF7946">
        <w:rPr>
          <w:noProof/>
          <w:sz w:val="24"/>
          <w:szCs w:val="24"/>
        </w:rPr>
        <w:lastRenderedPageBreak/>
        <w:t xml:space="preserve">Dziubaniuk, O., </w:t>
      </w:r>
      <w:r w:rsidR="00A50671" w:rsidRPr="00A50671">
        <w:rPr>
          <w:sz w:val="24"/>
          <w:szCs w:val="24"/>
        </w:rPr>
        <w:t>Ivanova-Gongne, M., and Nyholm, M.,</w:t>
      </w:r>
      <w:r w:rsidR="00A50671">
        <w:rPr>
          <w:sz w:val="24"/>
          <w:szCs w:val="24"/>
        </w:rPr>
        <w:t xml:space="preserve"> (</w:t>
      </w:r>
      <w:r w:rsidRPr="00AF7946">
        <w:rPr>
          <w:noProof/>
          <w:sz w:val="24"/>
          <w:szCs w:val="24"/>
        </w:rPr>
        <w:t>2023</w:t>
      </w:r>
      <w:r w:rsidR="00A50671">
        <w:rPr>
          <w:noProof/>
          <w:sz w:val="24"/>
          <w:szCs w:val="24"/>
        </w:rPr>
        <w:t>)</w:t>
      </w:r>
      <w:r w:rsidRPr="00AF7946">
        <w:rPr>
          <w:noProof/>
          <w:sz w:val="24"/>
          <w:szCs w:val="24"/>
        </w:rPr>
        <w:t xml:space="preserve">. Learning and Teaching Sustainable Business in the Digital Era: A Connectivism Theory Approach. </w:t>
      </w:r>
      <w:r w:rsidRPr="00AF7946">
        <w:rPr>
          <w:i/>
          <w:iCs/>
          <w:noProof/>
          <w:sz w:val="24"/>
          <w:szCs w:val="24"/>
        </w:rPr>
        <w:t xml:space="preserve">International Journal of Educational Technology in Higher Education, </w:t>
      </w:r>
      <w:r w:rsidRPr="00AF7946">
        <w:rPr>
          <w:noProof/>
          <w:sz w:val="24"/>
          <w:szCs w:val="24"/>
        </w:rPr>
        <w:t>20(20), pp. 1-23.</w:t>
      </w:r>
    </w:p>
    <w:p w:rsidR="00AF7946" w:rsidRPr="00AF7946" w:rsidRDefault="00AF7946" w:rsidP="00AF7946">
      <w:pPr>
        <w:pStyle w:val="Bibliography"/>
        <w:rPr>
          <w:noProof/>
          <w:sz w:val="24"/>
          <w:szCs w:val="24"/>
        </w:rPr>
      </w:pPr>
      <w:r w:rsidRPr="00AF7946">
        <w:rPr>
          <w:noProof/>
          <w:sz w:val="24"/>
          <w:szCs w:val="24"/>
        </w:rPr>
        <w:t xml:space="preserve">Elmaadaway, M., </w:t>
      </w:r>
      <w:r w:rsidR="00A50671" w:rsidRPr="00A50671">
        <w:rPr>
          <w:sz w:val="24"/>
          <w:szCs w:val="24"/>
        </w:rPr>
        <w:t>and Abouelenein, Y.,</w:t>
      </w:r>
      <w:r w:rsidR="00A50671">
        <w:rPr>
          <w:sz w:val="24"/>
          <w:szCs w:val="24"/>
        </w:rPr>
        <w:t xml:space="preserve"> (</w:t>
      </w:r>
      <w:r w:rsidRPr="00AF7946">
        <w:rPr>
          <w:noProof/>
          <w:sz w:val="24"/>
          <w:szCs w:val="24"/>
        </w:rPr>
        <w:t>2022</w:t>
      </w:r>
      <w:r w:rsidR="00A50671">
        <w:rPr>
          <w:noProof/>
          <w:sz w:val="24"/>
          <w:szCs w:val="24"/>
        </w:rPr>
        <w:t>)</w:t>
      </w:r>
      <w:r w:rsidRPr="00AF7946">
        <w:rPr>
          <w:noProof/>
          <w:sz w:val="24"/>
          <w:szCs w:val="24"/>
        </w:rPr>
        <w:t xml:space="preserve">. In-service Teachers TPACK Development through an Adaptive E-Learning Environment (ALE). </w:t>
      </w:r>
      <w:r w:rsidRPr="00AF7946">
        <w:rPr>
          <w:i/>
          <w:iCs/>
          <w:noProof/>
          <w:sz w:val="24"/>
          <w:szCs w:val="24"/>
        </w:rPr>
        <w:t xml:space="preserve">Education and Information Technologies, </w:t>
      </w:r>
      <w:r w:rsidRPr="00AF7946">
        <w:rPr>
          <w:noProof/>
          <w:sz w:val="24"/>
          <w:szCs w:val="24"/>
        </w:rPr>
        <w:t>28(1), pp. 8273-8298.</w:t>
      </w:r>
    </w:p>
    <w:p w:rsidR="00AF7946" w:rsidRDefault="00AF7946" w:rsidP="00AF7946">
      <w:pPr>
        <w:pStyle w:val="Bibliography"/>
        <w:rPr>
          <w:noProof/>
          <w:sz w:val="24"/>
          <w:szCs w:val="24"/>
        </w:rPr>
      </w:pPr>
      <w:r w:rsidRPr="00AF7946">
        <w:rPr>
          <w:noProof/>
          <w:sz w:val="24"/>
          <w:szCs w:val="24"/>
        </w:rPr>
        <w:t xml:space="preserve">Erbil, D., </w:t>
      </w:r>
      <w:r w:rsidR="008127C7">
        <w:rPr>
          <w:noProof/>
          <w:sz w:val="24"/>
          <w:szCs w:val="24"/>
        </w:rPr>
        <w:t>(</w:t>
      </w:r>
      <w:r w:rsidRPr="00AF7946">
        <w:rPr>
          <w:noProof/>
          <w:sz w:val="24"/>
          <w:szCs w:val="24"/>
        </w:rPr>
        <w:t>2020</w:t>
      </w:r>
      <w:r w:rsidR="008127C7">
        <w:rPr>
          <w:noProof/>
          <w:sz w:val="24"/>
          <w:szCs w:val="24"/>
        </w:rPr>
        <w:t>)</w:t>
      </w:r>
      <w:r w:rsidRPr="00AF7946">
        <w:rPr>
          <w:noProof/>
          <w:sz w:val="24"/>
          <w:szCs w:val="24"/>
        </w:rPr>
        <w:t xml:space="preserve">. A Review of Flipped Classroom and Cooperative Learning Method Within the Context of Vygotsky Theory. </w:t>
      </w:r>
      <w:r w:rsidRPr="00AF7946">
        <w:rPr>
          <w:i/>
          <w:iCs/>
          <w:noProof/>
          <w:sz w:val="24"/>
          <w:szCs w:val="24"/>
        </w:rPr>
        <w:t xml:space="preserve">Frontiers in Psychology, </w:t>
      </w:r>
      <w:r w:rsidRPr="00AF7946">
        <w:rPr>
          <w:noProof/>
          <w:sz w:val="24"/>
          <w:szCs w:val="24"/>
        </w:rPr>
        <w:t>11(1157), pp. 1-9.</w:t>
      </w:r>
    </w:p>
    <w:p w:rsidR="00D4154C" w:rsidRPr="00D4154C" w:rsidRDefault="00D4154C" w:rsidP="00D4154C">
      <w:r w:rsidRPr="00DF1274">
        <w:rPr>
          <w:noProof/>
          <w:sz w:val="24"/>
          <w:szCs w:val="24"/>
        </w:rPr>
        <w:t xml:space="preserve">Farra, S., </w:t>
      </w:r>
      <w:r w:rsidRPr="00DF1274">
        <w:rPr>
          <w:sz w:val="24"/>
          <w:szCs w:val="24"/>
        </w:rPr>
        <w:t>Gneuhs, M., Hodgson, E., Kawosa, B., Miller, E., Simon, A., Timm, N., and Hausfeld, J., (</w:t>
      </w:r>
      <w:r w:rsidRPr="00DF1274">
        <w:rPr>
          <w:noProof/>
          <w:sz w:val="24"/>
          <w:szCs w:val="24"/>
        </w:rPr>
        <w:t xml:space="preserve">2019). Comparative Cost of Virtual Reality Training and Live Exercises for Training Hospital Workers for Evacuation. </w:t>
      </w:r>
      <w:r w:rsidRPr="00DF1274">
        <w:rPr>
          <w:i/>
          <w:iCs/>
          <w:noProof/>
          <w:sz w:val="24"/>
          <w:szCs w:val="24"/>
        </w:rPr>
        <w:t xml:space="preserve">Computers, Informatics, Nursing, </w:t>
      </w:r>
      <w:r w:rsidRPr="00DF1274">
        <w:rPr>
          <w:noProof/>
          <w:sz w:val="24"/>
          <w:szCs w:val="24"/>
        </w:rPr>
        <w:t>37(9), pp. 446-454.</w:t>
      </w:r>
    </w:p>
    <w:p w:rsidR="00AF7946" w:rsidRPr="00AF7946" w:rsidRDefault="00AF7946" w:rsidP="00AF7946">
      <w:pPr>
        <w:pStyle w:val="Bibliography"/>
        <w:rPr>
          <w:noProof/>
          <w:sz w:val="24"/>
          <w:szCs w:val="24"/>
        </w:rPr>
      </w:pPr>
      <w:r w:rsidRPr="00AF7946">
        <w:rPr>
          <w:noProof/>
          <w:sz w:val="24"/>
          <w:szCs w:val="24"/>
        </w:rPr>
        <w:t xml:space="preserve">Ferrari, A., </w:t>
      </w:r>
      <w:r w:rsidR="00E51B06" w:rsidRPr="00E51B06">
        <w:rPr>
          <w:sz w:val="24"/>
          <w:szCs w:val="24"/>
        </w:rPr>
        <w:t>Cachia, R., and Punie, Y.,</w:t>
      </w:r>
      <w:r w:rsidR="00E51B06">
        <w:rPr>
          <w:sz w:val="24"/>
          <w:szCs w:val="24"/>
        </w:rPr>
        <w:t xml:space="preserve"> (</w:t>
      </w:r>
      <w:r w:rsidRPr="00AF7946">
        <w:rPr>
          <w:noProof/>
          <w:sz w:val="24"/>
          <w:szCs w:val="24"/>
        </w:rPr>
        <w:t>2009</w:t>
      </w:r>
      <w:r w:rsidR="00E51B06">
        <w:rPr>
          <w:noProof/>
          <w:sz w:val="24"/>
          <w:szCs w:val="24"/>
        </w:rPr>
        <w:t>)</w:t>
      </w:r>
      <w:r w:rsidRPr="00AF7946">
        <w:rPr>
          <w:noProof/>
          <w:sz w:val="24"/>
          <w:szCs w:val="24"/>
        </w:rPr>
        <w:t xml:space="preserve">. </w:t>
      </w:r>
      <w:r w:rsidRPr="00AF7946">
        <w:rPr>
          <w:i/>
          <w:iCs/>
          <w:noProof/>
          <w:sz w:val="24"/>
          <w:szCs w:val="24"/>
        </w:rPr>
        <w:t xml:space="preserve">Innovation and Creativity in Education and Training in the EU Member States: Fostering Creative Learning and Supporting Innovative Teaching , </w:t>
      </w:r>
      <w:r w:rsidRPr="00AF7946">
        <w:rPr>
          <w:noProof/>
          <w:sz w:val="24"/>
          <w:szCs w:val="24"/>
        </w:rPr>
        <w:t>Luxembourg: European Communities.</w:t>
      </w:r>
    </w:p>
    <w:p w:rsidR="00AF7946" w:rsidRPr="00AF7946" w:rsidRDefault="00AF7946" w:rsidP="00AF7946">
      <w:pPr>
        <w:pStyle w:val="Bibliography"/>
        <w:rPr>
          <w:noProof/>
          <w:sz w:val="24"/>
          <w:szCs w:val="24"/>
        </w:rPr>
      </w:pPr>
      <w:r w:rsidRPr="00AF7946">
        <w:rPr>
          <w:noProof/>
          <w:sz w:val="24"/>
          <w:szCs w:val="24"/>
        </w:rPr>
        <w:t xml:space="preserve">Fichman, R., </w:t>
      </w:r>
      <w:r w:rsidR="00983838" w:rsidRPr="00983838">
        <w:rPr>
          <w:sz w:val="24"/>
          <w:szCs w:val="24"/>
        </w:rPr>
        <w:t>Santos, B., and Zheng, Z.,</w:t>
      </w:r>
      <w:r w:rsidR="00983838">
        <w:rPr>
          <w:sz w:val="24"/>
          <w:szCs w:val="24"/>
        </w:rPr>
        <w:t xml:space="preserve"> (</w:t>
      </w:r>
      <w:r w:rsidRPr="00AF7946">
        <w:rPr>
          <w:noProof/>
          <w:sz w:val="24"/>
          <w:szCs w:val="24"/>
        </w:rPr>
        <w:t>2014</w:t>
      </w:r>
      <w:r w:rsidR="00983838">
        <w:rPr>
          <w:noProof/>
          <w:sz w:val="24"/>
          <w:szCs w:val="24"/>
        </w:rPr>
        <w:t>)</w:t>
      </w:r>
      <w:r w:rsidRPr="00AF7946">
        <w:rPr>
          <w:noProof/>
          <w:sz w:val="24"/>
          <w:szCs w:val="24"/>
        </w:rPr>
        <w:t xml:space="preserve">. Digital Innovation as a Fundamental and Powerful Concept in the Information Systems Curriculum. </w:t>
      </w:r>
      <w:r w:rsidRPr="00AF7946">
        <w:rPr>
          <w:i/>
          <w:iCs/>
          <w:noProof/>
          <w:sz w:val="24"/>
          <w:szCs w:val="24"/>
        </w:rPr>
        <w:t xml:space="preserve">MIS Quarterly, </w:t>
      </w:r>
      <w:r w:rsidRPr="00AF7946">
        <w:rPr>
          <w:noProof/>
          <w:sz w:val="24"/>
          <w:szCs w:val="24"/>
        </w:rPr>
        <w:t>38(2), pp. 329-254.</w:t>
      </w:r>
    </w:p>
    <w:p w:rsidR="00AF7946" w:rsidRPr="00AF7946" w:rsidRDefault="00AF7946" w:rsidP="00AF7946">
      <w:pPr>
        <w:pStyle w:val="Bibliography"/>
        <w:rPr>
          <w:noProof/>
          <w:sz w:val="24"/>
          <w:szCs w:val="24"/>
        </w:rPr>
      </w:pPr>
      <w:r w:rsidRPr="00AF7946">
        <w:rPr>
          <w:noProof/>
          <w:sz w:val="24"/>
          <w:szCs w:val="24"/>
        </w:rPr>
        <w:t xml:space="preserve">Fischer, G., </w:t>
      </w:r>
      <w:r w:rsidR="00E51B06" w:rsidRPr="00E51B06">
        <w:rPr>
          <w:sz w:val="24"/>
          <w:szCs w:val="24"/>
        </w:rPr>
        <w:t>Lundin, J., and Lindberg, O.,</w:t>
      </w:r>
      <w:r w:rsidR="00E51B06">
        <w:rPr>
          <w:sz w:val="24"/>
          <w:szCs w:val="24"/>
        </w:rPr>
        <w:t xml:space="preserve"> (</w:t>
      </w:r>
      <w:r w:rsidRPr="00AF7946">
        <w:rPr>
          <w:noProof/>
          <w:sz w:val="24"/>
          <w:szCs w:val="24"/>
        </w:rPr>
        <w:t>2022</w:t>
      </w:r>
      <w:r w:rsidR="00E51B06">
        <w:rPr>
          <w:noProof/>
          <w:sz w:val="24"/>
          <w:szCs w:val="24"/>
        </w:rPr>
        <w:t>)</w:t>
      </w:r>
      <w:r w:rsidRPr="00AF7946">
        <w:rPr>
          <w:noProof/>
          <w:sz w:val="24"/>
          <w:szCs w:val="24"/>
        </w:rPr>
        <w:t xml:space="preserve">. The Challenge for the Digital Age: Making Learning a Part of Life. </w:t>
      </w:r>
      <w:r w:rsidRPr="00AF7946">
        <w:rPr>
          <w:i/>
          <w:iCs/>
          <w:noProof/>
          <w:sz w:val="24"/>
          <w:szCs w:val="24"/>
        </w:rPr>
        <w:t xml:space="preserve">International Journal of Information and Learning Technology, </w:t>
      </w:r>
      <w:r w:rsidRPr="00AF7946">
        <w:rPr>
          <w:noProof/>
          <w:sz w:val="24"/>
          <w:szCs w:val="24"/>
        </w:rPr>
        <w:t>40(1), pp. 1-16.</w:t>
      </w:r>
    </w:p>
    <w:p w:rsidR="00AF7946" w:rsidRPr="00AF7946" w:rsidRDefault="00AF7946" w:rsidP="00AF7946">
      <w:pPr>
        <w:pStyle w:val="Bibliography"/>
        <w:rPr>
          <w:noProof/>
          <w:sz w:val="24"/>
          <w:szCs w:val="24"/>
        </w:rPr>
      </w:pPr>
      <w:r w:rsidRPr="00AF7946">
        <w:rPr>
          <w:noProof/>
          <w:sz w:val="24"/>
          <w:szCs w:val="24"/>
        </w:rPr>
        <w:t xml:space="preserve">Gherhes, V., </w:t>
      </w:r>
      <w:r w:rsidR="008C0006" w:rsidRPr="008C0006">
        <w:rPr>
          <w:sz w:val="24"/>
          <w:szCs w:val="24"/>
        </w:rPr>
        <w:t>Stoian, C., Farcasiu, M., and Stanici, M.,</w:t>
      </w:r>
      <w:r w:rsidR="008C0006">
        <w:rPr>
          <w:sz w:val="24"/>
          <w:szCs w:val="24"/>
        </w:rPr>
        <w:t xml:space="preserve"> (</w:t>
      </w:r>
      <w:r w:rsidRPr="00AF7946">
        <w:rPr>
          <w:noProof/>
          <w:sz w:val="24"/>
          <w:szCs w:val="24"/>
        </w:rPr>
        <w:t>2021</w:t>
      </w:r>
      <w:r w:rsidR="008C0006">
        <w:rPr>
          <w:noProof/>
          <w:sz w:val="24"/>
          <w:szCs w:val="24"/>
        </w:rPr>
        <w:t>)</w:t>
      </w:r>
      <w:r w:rsidRPr="00AF7946">
        <w:rPr>
          <w:noProof/>
          <w:sz w:val="24"/>
          <w:szCs w:val="24"/>
        </w:rPr>
        <w:t xml:space="preserve">. E-Learning vs. Face-To-Face Learning: Analyzing Students’ Preferences and Behaviors. </w:t>
      </w:r>
      <w:r w:rsidRPr="00AF7946">
        <w:rPr>
          <w:i/>
          <w:iCs/>
          <w:noProof/>
          <w:sz w:val="24"/>
          <w:szCs w:val="24"/>
        </w:rPr>
        <w:t xml:space="preserve">Sustainability, </w:t>
      </w:r>
      <w:r w:rsidRPr="00AF7946">
        <w:rPr>
          <w:noProof/>
          <w:sz w:val="24"/>
          <w:szCs w:val="24"/>
        </w:rPr>
        <w:t>13(8), p. 4381.</w:t>
      </w:r>
    </w:p>
    <w:p w:rsidR="00AF7946" w:rsidRPr="00AF7946" w:rsidRDefault="00AF7946" w:rsidP="00AF7946">
      <w:pPr>
        <w:pStyle w:val="Bibliography"/>
        <w:rPr>
          <w:noProof/>
          <w:sz w:val="24"/>
          <w:szCs w:val="24"/>
        </w:rPr>
      </w:pPr>
      <w:r w:rsidRPr="00AF7946">
        <w:rPr>
          <w:noProof/>
          <w:sz w:val="24"/>
          <w:szCs w:val="24"/>
        </w:rPr>
        <w:t xml:space="preserve">Gkrimpizi, T., </w:t>
      </w:r>
      <w:r w:rsidR="00983838" w:rsidRPr="00983838">
        <w:rPr>
          <w:sz w:val="24"/>
          <w:szCs w:val="24"/>
        </w:rPr>
        <w:t>Peristeras, V., and Magnisalis, I.,</w:t>
      </w:r>
      <w:r w:rsidR="00983838">
        <w:rPr>
          <w:sz w:val="24"/>
          <w:szCs w:val="24"/>
        </w:rPr>
        <w:t xml:space="preserve"> (</w:t>
      </w:r>
      <w:r w:rsidRPr="00AF7946">
        <w:rPr>
          <w:noProof/>
          <w:sz w:val="24"/>
          <w:szCs w:val="24"/>
        </w:rPr>
        <w:t>2023</w:t>
      </w:r>
      <w:r w:rsidR="00983838">
        <w:rPr>
          <w:noProof/>
          <w:sz w:val="24"/>
          <w:szCs w:val="24"/>
        </w:rPr>
        <w:t>)</w:t>
      </w:r>
      <w:r w:rsidRPr="00AF7946">
        <w:rPr>
          <w:noProof/>
          <w:sz w:val="24"/>
          <w:szCs w:val="24"/>
        </w:rPr>
        <w:t xml:space="preserve">. Classification of Barriers to Digital Transformation in Higher Education Institutions: Systematic Literature Review. </w:t>
      </w:r>
      <w:r w:rsidRPr="00AF7946">
        <w:rPr>
          <w:i/>
          <w:iCs/>
          <w:noProof/>
          <w:sz w:val="24"/>
          <w:szCs w:val="24"/>
        </w:rPr>
        <w:t xml:space="preserve">Education Sciences, </w:t>
      </w:r>
      <w:r w:rsidRPr="00AF7946">
        <w:rPr>
          <w:noProof/>
          <w:sz w:val="24"/>
          <w:szCs w:val="24"/>
        </w:rPr>
        <w:t>13(7), p. 746.</w:t>
      </w:r>
    </w:p>
    <w:p w:rsidR="00AF7946" w:rsidRPr="00AF7946" w:rsidRDefault="00AF7946" w:rsidP="00AF7946">
      <w:pPr>
        <w:pStyle w:val="Bibliography"/>
        <w:rPr>
          <w:noProof/>
          <w:sz w:val="24"/>
          <w:szCs w:val="24"/>
        </w:rPr>
      </w:pPr>
      <w:r w:rsidRPr="00AF7946">
        <w:rPr>
          <w:noProof/>
          <w:sz w:val="24"/>
          <w:szCs w:val="24"/>
        </w:rPr>
        <w:t xml:space="preserve">Goegan, L., </w:t>
      </w:r>
      <w:r w:rsidR="008127C7" w:rsidRPr="008127C7">
        <w:rPr>
          <w:sz w:val="24"/>
          <w:szCs w:val="24"/>
        </w:rPr>
        <w:t>and Daniels, L.,</w:t>
      </w:r>
      <w:r w:rsidR="008127C7">
        <w:rPr>
          <w:sz w:val="24"/>
          <w:szCs w:val="24"/>
        </w:rPr>
        <w:t xml:space="preserve"> (</w:t>
      </w:r>
      <w:r w:rsidRPr="00AF7946">
        <w:rPr>
          <w:noProof/>
          <w:sz w:val="24"/>
          <w:szCs w:val="24"/>
        </w:rPr>
        <w:t>2022</w:t>
      </w:r>
      <w:r w:rsidR="008127C7">
        <w:rPr>
          <w:noProof/>
          <w:sz w:val="24"/>
          <w:szCs w:val="24"/>
        </w:rPr>
        <w:t>)</w:t>
      </w:r>
      <w:r w:rsidRPr="00AF7946">
        <w:rPr>
          <w:noProof/>
          <w:sz w:val="24"/>
          <w:szCs w:val="24"/>
        </w:rPr>
        <w:t xml:space="preserve">. Just a Little Healthy Competition: Teacher Perceptions of Competition and Social Comparison in the Classroom. </w:t>
      </w:r>
      <w:r w:rsidRPr="00AF7946">
        <w:rPr>
          <w:i/>
          <w:iCs/>
          <w:noProof/>
          <w:sz w:val="24"/>
          <w:szCs w:val="24"/>
        </w:rPr>
        <w:t xml:space="preserve">Canadian Journal of School Psychology, </w:t>
      </w:r>
      <w:r w:rsidRPr="00AF7946">
        <w:rPr>
          <w:noProof/>
          <w:sz w:val="24"/>
          <w:szCs w:val="24"/>
        </w:rPr>
        <w:t>37(4), pp. 394-405.</w:t>
      </w:r>
    </w:p>
    <w:p w:rsidR="00AF7946" w:rsidRPr="00AF7946" w:rsidRDefault="00AF7946" w:rsidP="00AF7946">
      <w:pPr>
        <w:pStyle w:val="Bibliography"/>
        <w:rPr>
          <w:noProof/>
          <w:sz w:val="24"/>
          <w:szCs w:val="24"/>
        </w:rPr>
      </w:pPr>
      <w:r w:rsidRPr="00AF7946">
        <w:rPr>
          <w:noProof/>
          <w:sz w:val="24"/>
          <w:szCs w:val="24"/>
        </w:rPr>
        <w:t xml:space="preserve">Gonzalez, C., </w:t>
      </w:r>
      <w:r w:rsidR="008127C7" w:rsidRPr="008127C7">
        <w:rPr>
          <w:sz w:val="24"/>
          <w:szCs w:val="24"/>
        </w:rPr>
        <w:t>and Navarro-Adelantado, V.,</w:t>
      </w:r>
      <w:r w:rsidR="008127C7">
        <w:rPr>
          <w:sz w:val="24"/>
          <w:szCs w:val="24"/>
        </w:rPr>
        <w:t xml:space="preserve"> (</w:t>
      </w:r>
      <w:r w:rsidRPr="00AF7946">
        <w:rPr>
          <w:noProof/>
          <w:sz w:val="24"/>
          <w:szCs w:val="24"/>
        </w:rPr>
        <w:t>2020</w:t>
      </w:r>
      <w:r w:rsidR="008127C7">
        <w:rPr>
          <w:noProof/>
          <w:sz w:val="24"/>
          <w:szCs w:val="24"/>
        </w:rPr>
        <w:t>)</w:t>
      </w:r>
      <w:r w:rsidRPr="00AF7946">
        <w:rPr>
          <w:noProof/>
          <w:sz w:val="24"/>
          <w:szCs w:val="24"/>
        </w:rPr>
        <w:t xml:space="preserve">. The Limits of Gamification. </w:t>
      </w:r>
      <w:r w:rsidRPr="00AF7946">
        <w:rPr>
          <w:i/>
          <w:iCs/>
          <w:noProof/>
          <w:sz w:val="24"/>
          <w:szCs w:val="24"/>
        </w:rPr>
        <w:t xml:space="preserve">International Journal of Research into New Media Technologies, </w:t>
      </w:r>
      <w:r w:rsidRPr="00AF7946">
        <w:rPr>
          <w:noProof/>
          <w:sz w:val="24"/>
          <w:szCs w:val="24"/>
        </w:rPr>
        <w:t>27(3), pp. 1-18.</w:t>
      </w:r>
    </w:p>
    <w:p w:rsidR="00AF7946" w:rsidRPr="00AF7946" w:rsidRDefault="00AF7946" w:rsidP="00AF7946">
      <w:pPr>
        <w:pStyle w:val="Bibliography"/>
        <w:rPr>
          <w:noProof/>
          <w:sz w:val="24"/>
          <w:szCs w:val="24"/>
        </w:rPr>
      </w:pPr>
      <w:r w:rsidRPr="00AF7946">
        <w:rPr>
          <w:noProof/>
          <w:sz w:val="24"/>
          <w:szCs w:val="24"/>
        </w:rPr>
        <w:t xml:space="preserve">Goshevski, D., </w:t>
      </w:r>
      <w:r w:rsidR="00A50671" w:rsidRPr="00A50671">
        <w:rPr>
          <w:sz w:val="24"/>
          <w:szCs w:val="24"/>
        </w:rPr>
        <w:t>Veljanoska, J., and Hatziapostolou, T.,</w:t>
      </w:r>
      <w:r w:rsidR="00A50671">
        <w:rPr>
          <w:sz w:val="24"/>
          <w:szCs w:val="24"/>
        </w:rPr>
        <w:t xml:space="preserve"> (</w:t>
      </w:r>
      <w:r w:rsidRPr="00AF7946">
        <w:rPr>
          <w:noProof/>
          <w:sz w:val="24"/>
          <w:szCs w:val="24"/>
        </w:rPr>
        <w:t>2017</w:t>
      </w:r>
      <w:r w:rsidR="00A50671">
        <w:rPr>
          <w:noProof/>
          <w:sz w:val="24"/>
          <w:szCs w:val="24"/>
        </w:rPr>
        <w:t>)</w:t>
      </w:r>
      <w:r w:rsidRPr="00AF7946">
        <w:rPr>
          <w:noProof/>
          <w:sz w:val="24"/>
          <w:szCs w:val="24"/>
        </w:rPr>
        <w:t xml:space="preserve">. A Review of Gamification Platforms for Higher Education. </w:t>
      </w:r>
      <w:r w:rsidRPr="00AF7946">
        <w:rPr>
          <w:i/>
          <w:iCs/>
          <w:noProof/>
          <w:sz w:val="24"/>
          <w:szCs w:val="24"/>
        </w:rPr>
        <w:t xml:space="preserve">Proceedings of the 8th Balkan Conference in Informatics, </w:t>
      </w:r>
      <w:r w:rsidRPr="00AF7946">
        <w:rPr>
          <w:noProof/>
          <w:sz w:val="24"/>
          <w:szCs w:val="24"/>
        </w:rPr>
        <w:t>28(1), pp. 1-6.</w:t>
      </w:r>
    </w:p>
    <w:p w:rsidR="00AF7946" w:rsidRPr="00AF7946" w:rsidRDefault="00AF7946" w:rsidP="00AF7946">
      <w:pPr>
        <w:pStyle w:val="Bibliography"/>
        <w:rPr>
          <w:noProof/>
          <w:sz w:val="24"/>
          <w:szCs w:val="24"/>
        </w:rPr>
      </w:pPr>
      <w:r w:rsidRPr="00AF7946">
        <w:rPr>
          <w:noProof/>
          <w:sz w:val="24"/>
          <w:szCs w:val="24"/>
        </w:rPr>
        <w:lastRenderedPageBreak/>
        <w:t>Grabner-Hagen,</w:t>
      </w:r>
      <w:r w:rsidR="008127C7">
        <w:rPr>
          <w:noProof/>
          <w:sz w:val="24"/>
          <w:szCs w:val="24"/>
        </w:rPr>
        <w:t xml:space="preserve"> M.,</w:t>
      </w:r>
      <w:r w:rsidR="008127C7" w:rsidRPr="008127C7">
        <w:rPr>
          <w:sz w:val="24"/>
          <w:szCs w:val="24"/>
        </w:rPr>
        <w:t xml:space="preserve"> and Kingsley, T.,</w:t>
      </w:r>
      <w:r w:rsidR="008127C7">
        <w:rPr>
          <w:sz w:val="24"/>
          <w:szCs w:val="24"/>
        </w:rPr>
        <w:t xml:space="preserve"> (2</w:t>
      </w:r>
      <w:r w:rsidRPr="00AF7946">
        <w:rPr>
          <w:noProof/>
          <w:sz w:val="24"/>
          <w:szCs w:val="24"/>
        </w:rPr>
        <w:t>023</w:t>
      </w:r>
      <w:r w:rsidR="008127C7">
        <w:rPr>
          <w:noProof/>
          <w:sz w:val="24"/>
          <w:szCs w:val="24"/>
        </w:rPr>
        <w:t>)</w:t>
      </w:r>
      <w:r w:rsidRPr="00AF7946">
        <w:rPr>
          <w:noProof/>
          <w:sz w:val="24"/>
          <w:szCs w:val="24"/>
        </w:rPr>
        <w:t xml:space="preserve">. From Badges to Boss Challenges: Gamification through need Supporting Scaffolded Design to Instruct and Motivate Elementary Learners. </w:t>
      </w:r>
      <w:r w:rsidRPr="00AF7946">
        <w:rPr>
          <w:i/>
          <w:iCs/>
          <w:noProof/>
          <w:sz w:val="24"/>
          <w:szCs w:val="24"/>
        </w:rPr>
        <w:t xml:space="preserve">Computers and Education Open, </w:t>
      </w:r>
      <w:r w:rsidRPr="00AF7946">
        <w:rPr>
          <w:noProof/>
          <w:sz w:val="24"/>
          <w:szCs w:val="24"/>
        </w:rPr>
        <w:t>4(1), p. 100131.</w:t>
      </w:r>
    </w:p>
    <w:p w:rsidR="00AF7946" w:rsidRPr="00AF7946" w:rsidRDefault="00AF7946" w:rsidP="00AF7946">
      <w:pPr>
        <w:pStyle w:val="Bibliography"/>
        <w:rPr>
          <w:noProof/>
          <w:sz w:val="24"/>
          <w:szCs w:val="24"/>
        </w:rPr>
      </w:pPr>
      <w:r w:rsidRPr="00AF7946">
        <w:rPr>
          <w:noProof/>
          <w:sz w:val="24"/>
          <w:szCs w:val="24"/>
        </w:rPr>
        <w:t xml:space="preserve">Gurbuz, E., </w:t>
      </w:r>
      <w:r w:rsidR="00DC36B2" w:rsidRPr="00DC36B2">
        <w:rPr>
          <w:sz w:val="24"/>
          <w:szCs w:val="24"/>
        </w:rPr>
        <w:t>Hanley, M., and Riby, D.,</w:t>
      </w:r>
      <w:r w:rsidR="00DC36B2">
        <w:rPr>
          <w:sz w:val="24"/>
          <w:szCs w:val="24"/>
        </w:rPr>
        <w:t xml:space="preserve"> (</w:t>
      </w:r>
      <w:r w:rsidRPr="00AF7946">
        <w:rPr>
          <w:noProof/>
          <w:sz w:val="24"/>
          <w:szCs w:val="24"/>
        </w:rPr>
        <w:t>2019</w:t>
      </w:r>
      <w:r w:rsidR="00DC36B2">
        <w:rPr>
          <w:noProof/>
          <w:sz w:val="24"/>
          <w:szCs w:val="24"/>
        </w:rPr>
        <w:t>)</w:t>
      </w:r>
      <w:r w:rsidRPr="00AF7946">
        <w:rPr>
          <w:noProof/>
          <w:sz w:val="24"/>
          <w:szCs w:val="24"/>
        </w:rPr>
        <w:t xml:space="preserve">. University Students with Autism: The Social and Academic Experiences of University in the UK. </w:t>
      </w:r>
      <w:r w:rsidRPr="00AF7946">
        <w:rPr>
          <w:i/>
          <w:iCs/>
          <w:noProof/>
          <w:sz w:val="24"/>
          <w:szCs w:val="24"/>
        </w:rPr>
        <w:t xml:space="preserve">Journal of Autism and Developmental Disorder, </w:t>
      </w:r>
      <w:r w:rsidRPr="00AF7946">
        <w:rPr>
          <w:noProof/>
          <w:sz w:val="24"/>
          <w:szCs w:val="24"/>
        </w:rPr>
        <w:t>49(2), pp. 617-631.</w:t>
      </w:r>
    </w:p>
    <w:p w:rsidR="00AF7946" w:rsidRPr="00AF7946" w:rsidRDefault="00AF7946" w:rsidP="00AF7946">
      <w:pPr>
        <w:pStyle w:val="Bibliography"/>
        <w:rPr>
          <w:noProof/>
          <w:sz w:val="24"/>
          <w:szCs w:val="24"/>
        </w:rPr>
      </w:pPr>
      <w:r w:rsidRPr="00AF7946">
        <w:rPr>
          <w:noProof/>
          <w:sz w:val="24"/>
          <w:szCs w:val="24"/>
        </w:rPr>
        <w:t xml:space="preserve">Haleem, A., </w:t>
      </w:r>
      <w:r w:rsidR="00983838" w:rsidRPr="00983838">
        <w:rPr>
          <w:sz w:val="24"/>
          <w:szCs w:val="24"/>
        </w:rPr>
        <w:t>Javaid, M., Qadri, M., and Suman, R.,</w:t>
      </w:r>
      <w:r w:rsidR="00983838">
        <w:rPr>
          <w:sz w:val="24"/>
          <w:szCs w:val="24"/>
        </w:rPr>
        <w:t xml:space="preserve"> (</w:t>
      </w:r>
      <w:r w:rsidRPr="00AF7946">
        <w:rPr>
          <w:noProof/>
          <w:sz w:val="24"/>
          <w:szCs w:val="24"/>
        </w:rPr>
        <w:t>2022</w:t>
      </w:r>
      <w:r w:rsidR="00983838">
        <w:rPr>
          <w:noProof/>
          <w:sz w:val="24"/>
          <w:szCs w:val="24"/>
        </w:rPr>
        <w:t>)</w:t>
      </w:r>
      <w:r w:rsidRPr="00AF7946">
        <w:rPr>
          <w:noProof/>
          <w:sz w:val="24"/>
          <w:szCs w:val="24"/>
        </w:rPr>
        <w:t xml:space="preserve">. Understanding the Role of Digital Technologies in Education: A Review. </w:t>
      </w:r>
      <w:r w:rsidRPr="00AF7946">
        <w:rPr>
          <w:i/>
          <w:iCs/>
          <w:noProof/>
          <w:sz w:val="24"/>
          <w:szCs w:val="24"/>
        </w:rPr>
        <w:t xml:space="preserve">Sustainable Operations and Computers, </w:t>
      </w:r>
      <w:r w:rsidRPr="00AF7946">
        <w:rPr>
          <w:noProof/>
          <w:sz w:val="24"/>
          <w:szCs w:val="24"/>
        </w:rPr>
        <w:t>3(1), pp. 275-285.</w:t>
      </w:r>
    </w:p>
    <w:p w:rsidR="00AF7946" w:rsidRPr="00AF7946" w:rsidRDefault="00AF7946" w:rsidP="00AF7946">
      <w:pPr>
        <w:pStyle w:val="Bibliography"/>
        <w:rPr>
          <w:noProof/>
          <w:sz w:val="24"/>
          <w:szCs w:val="24"/>
        </w:rPr>
      </w:pPr>
      <w:r w:rsidRPr="00AF7946">
        <w:rPr>
          <w:noProof/>
          <w:sz w:val="24"/>
          <w:szCs w:val="24"/>
        </w:rPr>
        <w:t xml:space="preserve">Hamilton, E., </w:t>
      </w:r>
      <w:r w:rsidR="00A50671" w:rsidRPr="00A50671">
        <w:rPr>
          <w:sz w:val="24"/>
          <w:szCs w:val="24"/>
        </w:rPr>
        <w:t>Rosenberg, J., and Akcaoglu, M.,</w:t>
      </w:r>
      <w:r w:rsidR="00A50671">
        <w:rPr>
          <w:sz w:val="24"/>
          <w:szCs w:val="24"/>
        </w:rPr>
        <w:t xml:space="preserve"> (</w:t>
      </w:r>
      <w:r w:rsidRPr="00AF7946">
        <w:rPr>
          <w:noProof/>
          <w:sz w:val="24"/>
          <w:szCs w:val="24"/>
        </w:rPr>
        <w:t>2016</w:t>
      </w:r>
      <w:r w:rsidR="00A50671">
        <w:rPr>
          <w:noProof/>
          <w:sz w:val="24"/>
          <w:szCs w:val="24"/>
        </w:rPr>
        <w:t>)</w:t>
      </w:r>
      <w:r w:rsidRPr="00AF7946">
        <w:rPr>
          <w:noProof/>
          <w:sz w:val="24"/>
          <w:szCs w:val="24"/>
        </w:rPr>
        <w:t xml:space="preserve">. The Substitution Augmentation Modification Redefinition (SAMR) Model: A Critical Review and Suggestions for its use. </w:t>
      </w:r>
      <w:r w:rsidRPr="00AF7946">
        <w:rPr>
          <w:i/>
          <w:iCs/>
          <w:noProof/>
          <w:sz w:val="24"/>
          <w:szCs w:val="24"/>
        </w:rPr>
        <w:t xml:space="preserve">Tech Trends, </w:t>
      </w:r>
      <w:r w:rsidRPr="00AF7946">
        <w:rPr>
          <w:noProof/>
          <w:sz w:val="24"/>
          <w:szCs w:val="24"/>
        </w:rPr>
        <w:t>60(1), pp. 433-441.</w:t>
      </w:r>
    </w:p>
    <w:p w:rsidR="00AF7946" w:rsidRPr="00AF7946" w:rsidRDefault="00AF7946" w:rsidP="00AF7946">
      <w:pPr>
        <w:pStyle w:val="Bibliography"/>
        <w:rPr>
          <w:noProof/>
          <w:sz w:val="24"/>
          <w:szCs w:val="24"/>
        </w:rPr>
      </w:pPr>
      <w:r w:rsidRPr="00AF7946">
        <w:rPr>
          <w:noProof/>
          <w:sz w:val="24"/>
          <w:szCs w:val="24"/>
        </w:rPr>
        <w:t xml:space="preserve">Hamilton, L., </w:t>
      </w:r>
      <w:r w:rsidR="008C0006" w:rsidRPr="008C0006">
        <w:rPr>
          <w:sz w:val="24"/>
          <w:szCs w:val="24"/>
        </w:rPr>
        <w:t>and Petty, S.,</w:t>
      </w:r>
      <w:r w:rsidR="008C0006">
        <w:rPr>
          <w:sz w:val="24"/>
          <w:szCs w:val="24"/>
        </w:rPr>
        <w:t xml:space="preserve"> (</w:t>
      </w:r>
      <w:r w:rsidRPr="00AF7946">
        <w:rPr>
          <w:noProof/>
          <w:sz w:val="24"/>
          <w:szCs w:val="24"/>
        </w:rPr>
        <w:t>2023</w:t>
      </w:r>
      <w:r w:rsidR="008C0006">
        <w:rPr>
          <w:noProof/>
          <w:sz w:val="24"/>
          <w:szCs w:val="24"/>
        </w:rPr>
        <w:t>)</w:t>
      </w:r>
      <w:r w:rsidRPr="00AF7946">
        <w:rPr>
          <w:noProof/>
          <w:sz w:val="24"/>
          <w:szCs w:val="24"/>
        </w:rPr>
        <w:t xml:space="preserve">. Compassionate Pedagogy for Neurodiversity in Higher Education: A Conceptual Analysis. </w:t>
      </w:r>
      <w:r w:rsidRPr="00AF7946">
        <w:rPr>
          <w:i/>
          <w:iCs/>
          <w:noProof/>
          <w:sz w:val="24"/>
          <w:szCs w:val="24"/>
        </w:rPr>
        <w:t xml:space="preserve">Frontiers in Psychology, </w:t>
      </w:r>
      <w:r w:rsidRPr="00AF7946">
        <w:rPr>
          <w:noProof/>
          <w:sz w:val="24"/>
          <w:szCs w:val="24"/>
        </w:rPr>
        <w:t>14(1), pp. 1-9.</w:t>
      </w:r>
    </w:p>
    <w:p w:rsidR="00AF7946" w:rsidRPr="00AF7946" w:rsidRDefault="00AF7946" w:rsidP="00AF7946">
      <w:pPr>
        <w:pStyle w:val="Bibliography"/>
        <w:rPr>
          <w:noProof/>
          <w:sz w:val="24"/>
          <w:szCs w:val="24"/>
        </w:rPr>
      </w:pPr>
      <w:r w:rsidRPr="00AF7946">
        <w:rPr>
          <w:noProof/>
          <w:sz w:val="24"/>
          <w:szCs w:val="24"/>
        </w:rPr>
        <w:t xml:space="preserve">Hashim, M., </w:t>
      </w:r>
      <w:r w:rsidR="00983838" w:rsidRPr="00983838">
        <w:rPr>
          <w:sz w:val="24"/>
          <w:szCs w:val="24"/>
        </w:rPr>
        <w:t>Tlemsani, I., and Matthews, R.,</w:t>
      </w:r>
      <w:r w:rsidR="00983838">
        <w:rPr>
          <w:sz w:val="24"/>
          <w:szCs w:val="24"/>
        </w:rPr>
        <w:t xml:space="preserve"> (</w:t>
      </w:r>
      <w:r w:rsidRPr="00AF7946">
        <w:rPr>
          <w:noProof/>
          <w:sz w:val="24"/>
          <w:szCs w:val="24"/>
        </w:rPr>
        <w:t>2022</w:t>
      </w:r>
      <w:r w:rsidR="00983838">
        <w:rPr>
          <w:noProof/>
          <w:sz w:val="24"/>
          <w:szCs w:val="24"/>
        </w:rPr>
        <w:t>)</w:t>
      </w:r>
      <w:r w:rsidRPr="00AF7946">
        <w:rPr>
          <w:noProof/>
          <w:sz w:val="24"/>
          <w:szCs w:val="24"/>
        </w:rPr>
        <w:t xml:space="preserve">. Higher Education Strategy in Digital Transformation. </w:t>
      </w:r>
      <w:r w:rsidRPr="00AF7946">
        <w:rPr>
          <w:i/>
          <w:iCs/>
          <w:noProof/>
          <w:sz w:val="24"/>
          <w:szCs w:val="24"/>
        </w:rPr>
        <w:t xml:space="preserve">Education and Information Technologies, </w:t>
      </w:r>
      <w:r w:rsidRPr="00AF7946">
        <w:rPr>
          <w:noProof/>
          <w:sz w:val="24"/>
          <w:szCs w:val="24"/>
        </w:rPr>
        <w:t>27(2), pp. 3171-3195.</w:t>
      </w:r>
    </w:p>
    <w:p w:rsidR="00AF7946" w:rsidRPr="00AF7946" w:rsidRDefault="00AF7946" w:rsidP="00AF7946">
      <w:pPr>
        <w:pStyle w:val="Bibliography"/>
        <w:rPr>
          <w:noProof/>
          <w:sz w:val="24"/>
          <w:szCs w:val="24"/>
        </w:rPr>
      </w:pPr>
      <w:r w:rsidRPr="00AF7946">
        <w:rPr>
          <w:noProof/>
          <w:sz w:val="24"/>
          <w:szCs w:val="24"/>
        </w:rPr>
        <w:t xml:space="preserve">Hayat, A., </w:t>
      </w:r>
      <w:r w:rsidR="00DC36B2" w:rsidRPr="00DC36B2">
        <w:rPr>
          <w:sz w:val="24"/>
          <w:szCs w:val="24"/>
        </w:rPr>
        <w:t>Shateri, K., Amini, M., and Shokrpour, N.,</w:t>
      </w:r>
      <w:r w:rsidR="00DC36B2">
        <w:rPr>
          <w:sz w:val="24"/>
          <w:szCs w:val="24"/>
        </w:rPr>
        <w:t xml:space="preserve"> (</w:t>
      </w:r>
      <w:r w:rsidRPr="00AF7946">
        <w:rPr>
          <w:noProof/>
          <w:sz w:val="24"/>
          <w:szCs w:val="24"/>
        </w:rPr>
        <w:t>2020</w:t>
      </w:r>
      <w:r w:rsidR="00DC36B2">
        <w:rPr>
          <w:noProof/>
          <w:sz w:val="24"/>
          <w:szCs w:val="24"/>
        </w:rPr>
        <w:t>)</w:t>
      </w:r>
      <w:r w:rsidRPr="00AF7946">
        <w:rPr>
          <w:noProof/>
          <w:sz w:val="24"/>
          <w:szCs w:val="24"/>
        </w:rPr>
        <w:t xml:space="preserve">. Relationships between Academic Self Efficacy, Learning Related Emotions and Metacognitive Learning Strategies with Academic Performance in Medical Students: A Structural Equation Model. </w:t>
      </w:r>
      <w:r w:rsidRPr="00AF7946">
        <w:rPr>
          <w:i/>
          <w:iCs/>
          <w:noProof/>
          <w:sz w:val="24"/>
          <w:szCs w:val="24"/>
        </w:rPr>
        <w:t xml:space="preserve">BMC Medical Education, </w:t>
      </w:r>
      <w:r w:rsidRPr="00AF7946">
        <w:rPr>
          <w:noProof/>
          <w:sz w:val="24"/>
          <w:szCs w:val="24"/>
        </w:rPr>
        <w:t>20(76), pp. 1-11.</w:t>
      </w:r>
    </w:p>
    <w:p w:rsidR="00AF7946" w:rsidRPr="00AF7946" w:rsidRDefault="00AF7946" w:rsidP="00AF7946">
      <w:pPr>
        <w:pStyle w:val="Bibliography"/>
        <w:rPr>
          <w:noProof/>
          <w:sz w:val="24"/>
          <w:szCs w:val="24"/>
        </w:rPr>
      </w:pPr>
      <w:r w:rsidRPr="00AF7946">
        <w:rPr>
          <w:noProof/>
          <w:sz w:val="24"/>
          <w:szCs w:val="24"/>
        </w:rPr>
        <w:t xml:space="preserve">Hendricks, G., </w:t>
      </w:r>
      <w:r w:rsidR="008127C7">
        <w:rPr>
          <w:noProof/>
          <w:sz w:val="24"/>
          <w:szCs w:val="24"/>
        </w:rPr>
        <w:t>(</w:t>
      </w:r>
      <w:r w:rsidRPr="00AF7946">
        <w:rPr>
          <w:noProof/>
          <w:sz w:val="24"/>
          <w:szCs w:val="24"/>
        </w:rPr>
        <w:t>2019</w:t>
      </w:r>
      <w:r w:rsidR="008127C7">
        <w:rPr>
          <w:noProof/>
          <w:sz w:val="24"/>
          <w:szCs w:val="24"/>
        </w:rPr>
        <w:t>)</w:t>
      </w:r>
      <w:r w:rsidRPr="00AF7946">
        <w:rPr>
          <w:noProof/>
          <w:sz w:val="24"/>
          <w:szCs w:val="24"/>
        </w:rPr>
        <w:t xml:space="preserve">. Connectivism as a Learning Theory and its Reltaion to Open Distance Education. </w:t>
      </w:r>
      <w:r w:rsidRPr="00AF7946">
        <w:rPr>
          <w:i/>
          <w:iCs/>
          <w:noProof/>
          <w:sz w:val="24"/>
          <w:szCs w:val="24"/>
        </w:rPr>
        <w:t xml:space="preserve">Sabinet African Journals, </w:t>
      </w:r>
      <w:r w:rsidRPr="00AF7946">
        <w:rPr>
          <w:noProof/>
          <w:sz w:val="24"/>
          <w:szCs w:val="24"/>
        </w:rPr>
        <w:t>41(1), pp. 1-5.</w:t>
      </w:r>
    </w:p>
    <w:p w:rsidR="00AF7946" w:rsidRPr="00AF7946" w:rsidRDefault="00AF7946" w:rsidP="00AF7946">
      <w:pPr>
        <w:pStyle w:val="Bibliography"/>
        <w:rPr>
          <w:noProof/>
          <w:sz w:val="24"/>
          <w:szCs w:val="24"/>
        </w:rPr>
      </w:pPr>
      <w:r w:rsidRPr="00AF7946">
        <w:rPr>
          <w:noProof/>
          <w:sz w:val="24"/>
          <w:szCs w:val="24"/>
        </w:rPr>
        <w:t xml:space="preserve">Jackson, N., </w:t>
      </w:r>
      <w:r w:rsidR="008127C7">
        <w:rPr>
          <w:noProof/>
          <w:sz w:val="24"/>
          <w:szCs w:val="24"/>
        </w:rPr>
        <w:t>(</w:t>
      </w:r>
      <w:r w:rsidRPr="00AF7946">
        <w:rPr>
          <w:noProof/>
          <w:sz w:val="24"/>
          <w:szCs w:val="24"/>
        </w:rPr>
        <w:t>2019</w:t>
      </w:r>
      <w:r w:rsidR="008127C7">
        <w:rPr>
          <w:noProof/>
          <w:sz w:val="24"/>
          <w:szCs w:val="24"/>
        </w:rPr>
        <w:t>)</w:t>
      </w:r>
      <w:r w:rsidRPr="00AF7946">
        <w:rPr>
          <w:noProof/>
          <w:sz w:val="24"/>
          <w:szCs w:val="24"/>
        </w:rPr>
        <w:t xml:space="preserve">. Managing for Competency with Innovation Change in Higher Education: Examining the Pitfalls and Pivots of Digital Transformation. </w:t>
      </w:r>
      <w:r w:rsidRPr="00AF7946">
        <w:rPr>
          <w:i/>
          <w:iCs/>
          <w:noProof/>
          <w:sz w:val="24"/>
          <w:szCs w:val="24"/>
        </w:rPr>
        <w:t xml:space="preserve">Business Horizons, </w:t>
      </w:r>
      <w:r w:rsidRPr="00AF7946">
        <w:rPr>
          <w:noProof/>
          <w:sz w:val="24"/>
          <w:szCs w:val="24"/>
        </w:rPr>
        <w:t>62(6), pp. 716-772.</w:t>
      </w:r>
    </w:p>
    <w:p w:rsidR="00AF7946" w:rsidRPr="00AF7946" w:rsidRDefault="00AF7946" w:rsidP="00AF7946">
      <w:pPr>
        <w:pStyle w:val="Bibliography"/>
        <w:rPr>
          <w:noProof/>
          <w:sz w:val="24"/>
          <w:szCs w:val="24"/>
        </w:rPr>
      </w:pPr>
      <w:r w:rsidRPr="00AF7946">
        <w:rPr>
          <w:noProof/>
          <w:sz w:val="24"/>
          <w:szCs w:val="24"/>
        </w:rPr>
        <w:t xml:space="preserve">Khan, Z., </w:t>
      </w:r>
      <w:r w:rsidR="00A50671" w:rsidRPr="00A50671">
        <w:rPr>
          <w:sz w:val="24"/>
          <w:szCs w:val="24"/>
        </w:rPr>
        <w:t>Adnan, J., and Raza, S.,</w:t>
      </w:r>
      <w:r w:rsidR="00A50671">
        <w:rPr>
          <w:sz w:val="24"/>
          <w:szCs w:val="24"/>
        </w:rPr>
        <w:t xml:space="preserve"> (</w:t>
      </w:r>
      <w:r w:rsidRPr="00AF7946">
        <w:rPr>
          <w:noProof/>
          <w:sz w:val="24"/>
          <w:szCs w:val="24"/>
        </w:rPr>
        <w:t>2023</w:t>
      </w:r>
      <w:r w:rsidR="00A50671">
        <w:rPr>
          <w:noProof/>
          <w:sz w:val="24"/>
          <w:szCs w:val="24"/>
        </w:rPr>
        <w:t>)</w:t>
      </w:r>
      <w:r w:rsidRPr="00AF7946">
        <w:rPr>
          <w:noProof/>
          <w:sz w:val="24"/>
          <w:szCs w:val="24"/>
        </w:rPr>
        <w:t xml:space="preserve">. Cognitive Learning Theory and Development: Higher Education Case Study. </w:t>
      </w:r>
      <w:r w:rsidRPr="00AF7946">
        <w:rPr>
          <w:i/>
          <w:iCs/>
          <w:noProof/>
          <w:sz w:val="24"/>
          <w:szCs w:val="24"/>
        </w:rPr>
        <w:t xml:space="preserve">Education, </w:t>
      </w:r>
      <w:r w:rsidRPr="00AF7946">
        <w:rPr>
          <w:noProof/>
          <w:sz w:val="24"/>
          <w:szCs w:val="24"/>
        </w:rPr>
        <w:t>1(1), pp. 7-10.</w:t>
      </w:r>
    </w:p>
    <w:p w:rsidR="00AF7946" w:rsidRPr="00AF7946" w:rsidRDefault="00AF7946" w:rsidP="00AF7946">
      <w:pPr>
        <w:pStyle w:val="Bibliography"/>
        <w:rPr>
          <w:noProof/>
          <w:sz w:val="24"/>
          <w:szCs w:val="24"/>
        </w:rPr>
      </w:pPr>
      <w:r w:rsidRPr="00AF7946">
        <w:rPr>
          <w:noProof/>
          <w:sz w:val="24"/>
          <w:szCs w:val="24"/>
        </w:rPr>
        <w:t xml:space="preserve">Lai, W., </w:t>
      </w:r>
      <w:r w:rsidR="008127C7">
        <w:rPr>
          <w:noProof/>
          <w:sz w:val="24"/>
          <w:szCs w:val="24"/>
        </w:rPr>
        <w:t>(</w:t>
      </w:r>
      <w:r w:rsidRPr="00AF7946">
        <w:rPr>
          <w:noProof/>
          <w:sz w:val="24"/>
          <w:szCs w:val="24"/>
        </w:rPr>
        <w:t>2023</w:t>
      </w:r>
      <w:r w:rsidR="008127C7">
        <w:rPr>
          <w:noProof/>
          <w:sz w:val="24"/>
          <w:szCs w:val="24"/>
        </w:rPr>
        <w:t>)</w:t>
      </w:r>
      <w:r w:rsidRPr="00AF7946">
        <w:rPr>
          <w:noProof/>
          <w:sz w:val="24"/>
          <w:szCs w:val="24"/>
        </w:rPr>
        <w:t xml:space="preserve">. Integrating Socialcultural Perspectives into a University Classroom: A Case Study of Students' Experience. </w:t>
      </w:r>
      <w:r w:rsidRPr="00AF7946">
        <w:rPr>
          <w:i/>
          <w:iCs/>
          <w:noProof/>
          <w:sz w:val="24"/>
          <w:szCs w:val="24"/>
        </w:rPr>
        <w:t xml:space="preserve">Heliyon, </w:t>
      </w:r>
      <w:r w:rsidRPr="00AF7946">
        <w:rPr>
          <w:noProof/>
          <w:sz w:val="24"/>
          <w:szCs w:val="24"/>
        </w:rPr>
        <w:t>9(6), p. e17228.</w:t>
      </w:r>
    </w:p>
    <w:p w:rsidR="00AF7946" w:rsidRPr="00AF7946" w:rsidRDefault="00AF7946" w:rsidP="00AF7946">
      <w:pPr>
        <w:pStyle w:val="Bibliography"/>
        <w:rPr>
          <w:noProof/>
          <w:sz w:val="24"/>
          <w:szCs w:val="24"/>
        </w:rPr>
      </w:pPr>
      <w:r w:rsidRPr="00AF7946">
        <w:rPr>
          <w:noProof/>
          <w:sz w:val="24"/>
          <w:szCs w:val="24"/>
        </w:rPr>
        <w:t xml:space="preserve">Licorish, S., </w:t>
      </w:r>
      <w:r w:rsidR="00A50671" w:rsidRPr="00A50671">
        <w:rPr>
          <w:sz w:val="24"/>
          <w:szCs w:val="24"/>
        </w:rPr>
        <w:t>Owen, H., Daniel, B., and George, J.,</w:t>
      </w:r>
      <w:r w:rsidR="00A50671">
        <w:rPr>
          <w:sz w:val="24"/>
          <w:szCs w:val="24"/>
        </w:rPr>
        <w:t xml:space="preserve"> (</w:t>
      </w:r>
      <w:r w:rsidRPr="00AF7946">
        <w:rPr>
          <w:noProof/>
          <w:sz w:val="24"/>
          <w:szCs w:val="24"/>
        </w:rPr>
        <w:t>2018</w:t>
      </w:r>
      <w:r w:rsidR="00A50671">
        <w:rPr>
          <w:noProof/>
          <w:sz w:val="24"/>
          <w:szCs w:val="24"/>
        </w:rPr>
        <w:t>)</w:t>
      </w:r>
      <w:r w:rsidRPr="00AF7946">
        <w:rPr>
          <w:noProof/>
          <w:sz w:val="24"/>
          <w:szCs w:val="24"/>
        </w:rPr>
        <w:t xml:space="preserve">. Students Perception of Kahoot's Influence on Teaching and Learning. </w:t>
      </w:r>
      <w:r w:rsidRPr="00AF7946">
        <w:rPr>
          <w:i/>
          <w:iCs/>
          <w:noProof/>
          <w:sz w:val="24"/>
          <w:szCs w:val="24"/>
        </w:rPr>
        <w:t xml:space="preserve">Research and Practice in Technology Enhanced Learning, </w:t>
      </w:r>
      <w:r w:rsidRPr="00AF7946">
        <w:rPr>
          <w:noProof/>
          <w:sz w:val="24"/>
          <w:szCs w:val="24"/>
        </w:rPr>
        <w:t>13(9), pp. 1-23.</w:t>
      </w:r>
    </w:p>
    <w:p w:rsidR="00CA5964" w:rsidRDefault="00CA5964" w:rsidP="00AF7946">
      <w:pPr>
        <w:pStyle w:val="Bibliography"/>
        <w:rPr>
          <w:noProof/>
          <w:sz w:val="24"/>
          <w:szCs w:val="24"/>
        </w:rPr>
      </w:pPr>
    </w:p>
    <w:p w:rsidR="00AF7946" w:rsidRPr="00AF7946" w:rsidRDefault="00AF7946" w:rsidP="00AF7946">
      <w:pPr>
        <w:pStyle w:val="Bibliography"/>
        <w:rPr>
          <w:noProof/>
          <w:sz w:val="24"/>
          <w:szCs w:val="24"/>
        </w:rPr>
      </w:pPr>
      <w:r w:rsidRPr="00AF7946">
        <w:rPr>
          <w:noProof/>
          <w:sz w:val="24"/>
          <w:szCs w:val="24"/>
        </w:rPr>
        <w:lastRenderedPageBreak/>
        <w:t xml:space="preserve">Liu, Y., </w:t>
      </w:r>
      <w:r w:rsidR="00E51B06" w:rsidRPr="00E51B06">
        <w:rPr>
          <w:sz w:val="24"/>
          <w:szCs w:val="24"/>
        </w:rPr>
        <w:t>Zhao, L., and Su, Y.,</w:t>
      </w:r>
      <w:r w:rsidR="00E51B06">
        <w:rPr>
          <w:sz w:val="24"/>
          <w:szCs w:val="24"/>
        </w:rPr>
        <w:t xml:space="preserve"> (</w:t>
      </w:r>
      <w:r w:rsidRPr="00AF7946">
        <w:rPr>
          <w:noProof/>
          <w:sz w:val="24"/>
          <w:szCs w:val="24"/>
        </w:rPr>
        <w:t>2022</w:t>
      </w:r>
      <w:r w:rsidR="00E51B06">
        <w:rPr>
          <w:noProof/>
          <w:sz w:val="24"/>
          <w:szCs w:val="24"/>
        </w:rPr>
        <w:t>)</w:t>
      </w:r>
      <w:r w:rsidRPr="00AF7946">
        <w:rPr>
          <w:noProof/>
          <w:sz w:val="24"/>
          <w:szCs w:val="24"/>
        </w:rPr>
        <w:t xml:space="preserve">. The Impact of Teacher Competence in Online Teaching on Perceived Online Learning Outcomes during the COVID-19 Outbreak: A Moderated-Mediation Model of Teacher Resilience and Age. </w:t>
      </w:r>
      <w:r w:rsidRPr="00AF7946">
        <w:rPr>
          <w:i/>
          <w:iCs/>
          <w:noProof/>
          <w:sz w:val="24"/>
          <w:szCs w:val="24"/>
        </w:rPr>
        <w:t xml:space="preserve">International Journal of Environmental Researchand Public Health, </w:t>
      </w:r>
      <w:r w:rsidRPr="00AF7946">
        <w:rPr>
          <w:noProof/>
          <w:sz w:val="24"/>
          <w:szCs w:val="24"/>
        </w:rPr>
        <w:t>19(10), p. 6282.</w:t>
      </w:r>
    </w:p>
    <w:p w:rsidR="00AF7946" w:rsidRDefault="00AF7946" w:rsidP="00AF7946">
      <w:pPr>
        <w:pStyle w:val="Bibliography"/>
        <w:rPr>
          <w:noProof/>
          <w:sz w:val="24"/>
          <w:szCs w:val="24"/>
        </w:rPr>
      </w:pPr>
      <w:r w:rsidRPr="00AF7946">
        <w:rPr>
          <w:noProof/>
          <w:sz w:val="24"/>
          <w:szCs w:val="24"/>
        </w:rPr>
        <w:t xml:space="preserve">Li, Y., </w:t>
      </w:r>
      <w:r w:rsidR="00E51B06" w:rsidRPr="00E51B06">
        <w:rPr>
          <w:sz w:val="24"/>
          <w:szCs w:val="24"/>
        </w:rPr>
        <w:t>Kim, M., and Palkar, J.,</w:t>
      </w:r>
      <w:r w:rsidR="00E51B06">
        <w:rPr>
          <w:sz w:val="24"/>
          <w:szCs w:val="24"/>
        </w:rPr>
        <w:t xml:space="preserve"> (</w:t>
      </w:r>
      <w:r w:rsidRPr="00AF7946">
        <w:rPr>
          <w:noProof/>
          <w:sz w:val="24"/>
          <w:szCs w:val="24"/>
        </w:rPr>
        <w:t>2022</w:t>
      </w:r>
      <w:r w:rsidR="00E51B06">
        <w:rPr>
          <w:noProof/>
          <w:sz w:val="24"/>
          <w:szCs w:val="24"/>
        </w:rPr>
        <w:t>)</w:t>
      </w:r>
      <w:r w:rsidRPr="00AF7946">
        <w:rPr>
          <w:noProof/>
          <w:sz w:val="24"/>
          <w:szCs w:val="24"/>
        </w:rPr>
        <w:t xml:space="preserve">. Using Emerging Technologies to Promote Creativity in Education: A Systematic Review. </w:t>
      </w:r>
      <w:r w:rsidRPr="00AF7946">
        <w:rPr>
          <w:i/>
          <w:iCs/>
          <w:noProof/>
          <w:sz w:val="24"/>
          <w:szCs w:val="24"/>
        </w:rPr>
        <w:t xml:space="preserve">International Journal of Educational Research Open, </w:t>
      </w:r>
      <w:r w:rsidRPr="00AF7946">
        <w:rPr>
          <w:noProof/>
          <w:sz w:val="24"/>
          <w:szCs w:val="24"/>
        </w:rPr>
        <w:t>3(1), p. 100177.</w:t>
      </w:r>
    </w:p>
    <w:p w:rsidR="004E7D36" w:rsidRPr="00520851" w:rsidRDefault="004E7D36" w:rsidP="004E7D36">
      <w:pPr>
        <w:pStyle w:val="Bibliography"/>
        <w:rPr>
          <w:noProof/>
          <w:sz w:val="24"/>
        </w:rPr>
      </w:pPr>
      <w:r w:rsidRPr="00520851">
        <w:rPr>
          <w:sz w:val="24"/>
        </w:rPr>
        <w:fldChar w:fldCharType="begin"/>
      </w:r>
      <w:r w:rsidRPr="00520851">
        <w:rPr>
          <w:sz w:val="24"/>
        </w:rPr>
        <w:instrText xml:space="preserve"> BIBLIOGRAPHY  \l 2057 </w:instrText>
      </w:r>
      <w:r w:rsidRPr="00520851">
        <w:rPr>
          <w:sz w:val="24"/>
        </w:rPr>
        <w:fldChar w:fldCharType="separate"/>
      </w:r>
      <w:r w:rsidRPr="00520851">
        <w:rPr>
          <w:noProof/>
          <w:sz w:val="24"/>
        </w:rPr>
        <w:t xml:space="preserve">Long, H., French, D., and Brooks, J., (2020). Optimising the Value of the Critical Appraisal Skills Programme (CASP) Tool for Quality Appraisal in Qualitative Evidence Synthesis. </w:t>
      </w:r>
      <w:r w:rsidRPr="00520851">
        <w:rPr>
          <w:i/>
          <w:iCs/>
          <w:noProof/>
          <w:sz w:val="24"/>
        </w:rPr>
        <w:t xml:space="preserve">Research Methods in Medicine and Health Sciences, </w:t>
      </w:r>
      <w:r w:rsidRPr="00520851">
        <w:rPr>
          <w:noProof/>
          <w:sz w:val="24"/>
        </w:rPr>
        <w:t>1(1), pp. 31-42.</w:t>
      </w:r>
    </w:p>
    <w:p w:rsidR="00AF7946" w:rsidRPr="00AF7946" w:rsidRDefault="004E7D36" w:rsidP="004E7D36">
      <w:pPr>
        <w:rPr>
          <w:noProof/>
          <w:sz w:val="24"/>
          <w:szCs w:val="24"/>
        </w:rPr>
      </w:pPr>
      <w:r w:rsidRPr="00520851">
        <w:rPr>
          <w:sz w:val="24"/>
        </w:rPr>
        <w:fldChar w:fldCharType="end"/>
      </w:r>
      <w:r w:rsidR="00AF7946" w:rsidRPr="00AF7946">
        <w:rPr>
          <w:noProof/>
          <w:sz w:val="24"/>
          <w:szCs w:val="24"/>
        </w:rPr>
        <w:t xml:space="preserve">Maatuk, A., </w:t>
      </w:r>
      <w:r w:rsidR="008C0006" w:rsidRPr="008C0006">
        <w:rPr>
          <w:sz w:val="24"/>
          <w:szCs w:val="24"/>
        </w:rPr>
        <w:t>Elberkawi, E., Aljawarneh, S., Rashaideh, H., and Alharbi, H.,</w:t>
      </w:r>
      <w:r w:rsidR="008C0006">
        <w:rPr>
          <w:sz w:val="24"/>
          <w:szCs w:val="24"/>
        </w:rPr>
        <w:t xml:space="preserve"> (</w:t>
      </w:r>
      <w:r w:rsidR="00AF7946" w:rsidRPr="00AF7946">
        <w:rPr>
          <w:noProof/>
          <w:sz w:val="24"/>
          <w:szCs w:val="24"/>
        </w:rPr>
        <w:t>2022</w:t>
      </w:r>
      <w:r w:rsidR="008C0006">
        <w:rPr>
          <w:noProof/>
          <w:sz w:val="24"/>
          <w:szCs w:val="24"/>
        </w:rPr>
        <w:t>)</w:t>
      </w:r>
      <w:r w:rsidR="00AF7946" w:rsidRPr="00AF7946">
        <w:rPr>
          <w:noProof/>
          <w:sz w:val="24"/>
          <w:szCs w:val="24"/>
        </w:rPr>
        <w:t xml:space="preserve">. The COVID-19 Pandemic and E-Learning: Chalenges and Opportunities from the Perspective of Students and Instructors. </w:t>
      </w:r>
      <w:r w:rsidR="00AF7946" w:rsidRPr="00AF7946">
        <w:rPr>
          <w:i/>
          <w:iCs/>
          <w:noProof/>
          <w:sz w:val="24"/>
          <w:szCs w:val="24"/>
        </w:rPr>
        <w:t xml:space="preserve">Journal of Computing in Higher Education, </w:t>
      </w:r>
      <w:r w:rsidR="00AF7946" w:rsidRPr="00AF7946">
        <w:rPr>
          <w:noProof/>
          <w:sz w:val="24"/>
          <w:szCs w:val="24"/>
        </w:rPr>
        <w:t>34(1), pp. 21-38.</w:t>
      </w:r>
    </w:p>
    <w:p w:rsidR="00AF7946" w:rsidRPr="00AF7946" w:rsidRDefault="00AF7946" w:rsidP="00AF7946">
      <w:pPr>
        <w:pStyle w:val="Bibliography"/>
        <w:rPr>
          <w:noProof/>
          <w:sz w:val="24"/>
          <w:szCs w:val="24"/>
        </w:rPr>
      </w:pPr>
      <w:r w:rsidRPr="00AF7946">
        <w:rPr>
          <w:noProof/>
          <w:sz w:val="24"/>
          <w:szCs w:val="24"/>
        </w:rPr>
        <w:t xml:space="preserve">Marks, B., </w:t>
      </w:r>
      <w:r w:rsidR="006602FA" w:rsidRPr="006602FA">
        <w:rPr>
          <w:sz w:val="24"/>
          <w:szCs w:val="24"/>
        </w:rPr>
        <w:t>and Thomas, J.,</w:t>
      </w:r>
      <w:r w:rsidR="006602FA">
        <w:rPr>
          <w:sz w:val="24"/>
          <w:szCs w:val="24"/>
        </w:rPr>
        <w:t xml:space="preserve"> (</w:t>
      </w:r>
      <w:r w:rsidRPr="00AF7946">
        <w:rPr>
          <w:noProof/>
          <w:sz w:val="24"/>
          <w:szCs w:val="24"/>
        </w:rPr>
        <w:t>2022</w:t>
      </w:r>
      <w:r w:rsidR="006602FA">
        <w:rPr>
          <w:noProof/>
          <w:sz w:val="24"/>
          <w:szCs w:val="24"/>
        </w:rPr>
        <w:t>)</w:t>
      </w:r>
      <w:r w:rsidRPr="00AF7946">
        <w:rPr>
          <w:noProof/>
          <w:sz w:val="24"/>
          <w:szCs w:val="24"/>
        </w:rPr>
        <w:t xml:space="preserve">. Adoption of Virtual Reality Technology in Higher Education: An Evaluation of Five Teaching Semesters in a Purpose-Designed Laboratory. </w:t>
      </w:r>
      <w:r w:rsidRPr="00AF7946">
        <w:rPr>
          <w:i/>
          <w:iCs/>
          <w:noProof/>
          <w:sz w:val="24"/>
          <w:szCs w:val="24"/>
        </w:rPr>
        <w:t xml:space="preserve">Education and Information Technologies, </w:t>
      </w:r>
      <w:r w:rsidRPr="00AF7946">
        <w:rPr>
          <w:noProof/>
          <w:sz w:val="24"/>
          <w:szCs w:val="24"/>
        </w:rPr>
        <w:t>27(1), pp. 1287-1305.</w:t>
      </w:r>
    </w:p>
    <w:p w:rsidR="00AF7946" w:rsidRPr="00AF7946" w:rsidRDefault="00AF7946" w:rsidP="00AF7946">
      <w:pPr>
        <w:pStyle w:val="Bibliography"/>
        <w:rPr>
          <w:noProof/>
          <w:sz w:val="24"/>
          <w:szCs w:val="24"/>
        </w:rPr>
      </w:pPr>
      <w:r w:rsidRPr="00AF7946">
        <w:rPr>
          <w:noProof/>
          <w:sz w:val="24"/>
          <w:szCs w:val="24"/>
        </w:rPr>
        <w:t xml:space="preserve">Mayes, T., </w:t>
      </w:r>
      <w:r w:rsidR="00E51B06">
        <w:rPr>
          <w:sz w:val="24"/>
          <w:szCs w:val="24"/>
        </w:rPr>
        <w:t>and Freitas, S., (</w:t>
      </w:r>
      <w:r w:rsidRPr="00AF7946">
        <w:rPr>
          <w:noProof/>
          <w:sz w:val="24"/>
          <w:szCs w:val="24"/>
        </w:rPr>
        <w:t>2004</w:t>
      </w:r>
      <w:r w:rsidR="00E51B06">
        <w:rPr>
          <w:noProof/>
          <w:sz w:val="24"/>
          <w:szCs w:val="24"/>
        </w:rPr>
        <w:t>)</w:t>
      </w:r>
      <w:r w:rsidRPr="00AF7946">
        <w:rPr>
          <w:noProof/>
          <w:sz w:val="24"/>
          <w:szCs w:val="24"/>
        </w:rPr>
        <w:t xml:space="preserve">. </w:t>
      </w:r>
      <w:r w:rsidRPr="00AF7946">
        <w:rPr>
          <w:i/>
          <w:iCs/>
          <w:noProof/>
          <w:sz w:val="24"/>
          <w:szCs w:val="24"/>
        </w:rPr>
        <w:t xml:space="preserve">Review of E-Learning Theories, Frameworks and Models. JISC Models Report, </w:t>
      </w:r>
      <w:r w:rsidRPr="00AF7946">
        <w:rPr>
          <w:noProof/>
          <w:sz w:val="24"/>
          <w:szCs w:val="24"/>
        </w:rPr>
        <w:t>Perth: Murdoch University.</w:t>
      </w:r>
    </w:p>
    <w:p w:rsidR="00AF7946" w:rsidRPr="00AF7946" w:rsidRDefault="00AF7946" w:rsidP="00AF7946">
      <w:pPr>
        <w:pStyle w:val="Bibliography"/>
        <w:rPr>
          <w:noProof/>
          <w:sz w:val="24"/>
          <w:szCs w:val="24"/>
        </w:rPr>
      </w:pPr>
      <w:r w:rsidRPr="00AF7946">
        <w:rPr>
          <w:noProof/>
          <w:sz w:val="24"/>
          <w:szCs w:val="24"/>
        </w:rPr>
        <w:t xml:space="preserve">Mayes, T., </w:t>
      </w:r>
      <w:r w:rsidR="00E51B06">
        <w:rPr>
          <w:noProof/>
          <w:sz w:val="24"/>
          <w:szCs w:val="24"/>
        </w:rPr>
        <w:t>(</w:t>
      </w:r>
      <w:r w:rsidRPr="00AF7946">
        <w:rPr>
          <w:noProof/>
          <w:sz w:val="24"/>
          <w:szCs w:val="24"/>
        </w:rPr>
        <w:t>2019</w:t>
      </w:r>
      <w:r w:rsidR="00E51B06">
        <w:rPr>
          <w:noProof/>
          <w:sz w:val="24"/>
          <w:szCs w:val="24"/>
        </w:rPr>
        <w:t>)</w:t>
      </w:r>
      <w:r w:rsidRPr="00AF7946">
        <w:rPr>
          <w:noProof/>
          <w:sz w:val="24"/>
          <w:szCs w:val="24"/>
        </w:rPr>
        <w:t xml:space="preserve">. Learning Theory and the New Science of Learning. In: H. Beetham, </w:t>
      </w:r>
      <w:r w:rsidR="00E51B06" w:rsidRPr="00E51B06">
        <w:rPr>
          <w:sz w:val="24"/>
          <w:szCs w:val="24"/>
        </w:rPr>
        <w:t>and R. Sharpe,</w:t>
      </w:r>
      <w:r w:rsidR="00E51B06">
        <w:rPr>
          <w:sz w:val="24"/>
          <w:szCs w:val="24"/>
        </w:rPr>
        <w:t xml:space="preserve"> </w:t>
      </w:r>
      <w:r w:rsidRPr="00AF7946">
        <w:rPr>
          <w:noProof/>
          <w:sz w:val="24"/>
          <w:szCs w:val="24"/>
        </w:rPr>
        <w:t xml:space="preserve">ed. </w:t>
      </w:r>
      <w:r w:rsidRPr="00AF7946">
        <w:rPr>
          <w:i/>
          <w:iCs/>
          <w:noProof/>
          <w:sz w:val="24"/>
          <w:szCs w:val="24"/>
        </w:rPr>
        <w:t xml:space="preserve">Re-Thinking Pedagogy for a Digital Age: Principles and Practices of Design. </w:t>
      </w:r>
      <w:r w:rsidRPr="00AF7946">
        <w:rPr>
          <w:noProof/>
          <w:sz w:val="24"/>
          <w:szCs w:val="24"/>
        </w:rPr>
        <w:t>London: Routledge, p. 17.</w:t>
      </w:r>
    </w:p>
    <w:p w:rsidR="00AF7946" w:rsidRPr="00AF7946" w:rsidRDefault="00AF7946" w:rsidP="00AF7946">
      <w:pPr>
        <w:pStyle w:val="Bibliography"/>
        <w:rPr>
          <w:noProof/>
          <w:sz w:val="24"/>
          <w:szCs w:val="24"/>
        </w:rPr>
      </w:pPr>
      <w:r w:rsidRPr="00AF7946">
        <w:rPr>
          <w:noProof/>
          <w:sz w:val="24"/>
          <w:szCs w:val="24"/>
        </w:rPr>
        <w:t xml:space="preserve">McCarthy, A., </w:t>
      </w:r>
      <w:r w:rsidR="00983838" w:rsidRPr="00983838">
        <w:rPr>
          <w:sz w:val="24"/>
          <w:szCs w:val="24"/>
        </w:rPr>
        <w:t>Maor, D., McConney, A., and Cavanaugh, C.,</w:t>
      </w:r>
      <w:r w:rsidR="00983838">
        <w:rPr>
          <w:sz w:val="24"/>
          <w:szCs w:val="24"/>
        </w:rPr>
        <w:t xml:space="preserve"> (</w:t>
      </w:r>
      <w:r w:rsidRPr="00AF7946">
        <w:rPr>
          <w:noProof/>
          <w:sz w:val="24"/>
          <w:szCs w:val="24"/>
        </w:rPr>
        <w:t>2023</w:t>
      </w:r>
      <w:r w:rsidR="00983838">
        <w:rPr>
          <w:noProof/>
          <w:sz w:val="24"/>
          <w:szCs w:val="24"/>
        </w:rPr>
        <w:t>)</w:t>
      </w:r>
      <w:r w:rsidRPr="00AF7946">
        <w:rPr>
          <w:noProof/>
          <w:sz w:val="24"/>
          <w:szCs w:val="24"/>
        </w:rPr>
        <w:t xml:space="preserve">. Digital Transformation in Education: Critical Components for Leaders of System Change. </w:t>
      </w:r>
      <w:r w:rsidRPr="00AF7946">
        <w:rPr>
          <w:i/>
          <w:iCs/>
          <w:noProof/>
          <w:sz w:val="24"/>
          <w:szCs w:val="24"/>
        </w:rPr>
        <w:t xml:space="preserve">Social Sciences and Humanities Open, </w:t>
      </w:r>
      <w:r w:rsidRPr="00AF7946">
        <w:rPr>
          <w:noProof/>
          <w:sz w:val="24"/>
          <w:szCs w:val="24"/>
        </w:rPr>
        <w:t>8(1), p. 100479.</w:t>
      </w:r>
    </w:p>
    <w:p w:rsidR="00AF7946" w:rsidRPr="00AF7946" w:rsidRDefault="00AF7946" w:rsidP="00AF7946">
      <w:pPr>
        <w:pStyle w:val="Bibliography"/>
        <w:rPr>
          <w:noProof/>
          <w:sz w:val="24"/>
          <w:szCs w:val="24"/>
        </w:rPr>
      </w:pPr>
      <w:r w:rsidRPr="00AF7946">
        <w:rPr>
          <w:noProof/>
          <w:sz w:val="24"/>
          <w:szCs w:val="24"/>
        </w:rPr>
        <w:t xml:space="preserve">Menon, D., </w:t>
      </w:r>
      <w:r w:rsidR="008127C7">
        <w:rPr>
          <w:noProof/>
          <w:sz w:val="24"/>
          <w:szCs w:val="24"/>
        </w:rPr>
        <w:t>(</w:t>
      </w:r>
      <w:r w:rsidRPr="00AF7946">
        <w:rPr>
          <w:noProof/>
          <w:sz w:val="24"/>
          <w:szCs w:val="24"/>
        </w:rPr>
        <w:t>2022</w:t>
      </w:r>
      <w:r w:rsidR="008127C7">
        <w:rPr>
          <w:noProof/>
          <w:sz w:val="24"/>
          <w:szCs w:val="24"/>
        </w:rPr>
        <w:t>)</w:t>
      </w:r>
      <w:r w:rsidRPr="00AF7946">
        <w:rPr>
          <w:noProof/>
          <w:sz w:val="24"/>
          <w:szCs w:val="24"/>
        </w:rPr>
        <w:t xml:space="preserve">. Uses and Gratifications of educational Apps: A Study during COVID-19 Pandemic. </w:t>
      </w:r>
      <w:r w:rsidRPr="00AF7946">
        <w:rPr>
          <w:i/>
          <w:iCs/>
          <w:noProof/>
          <w:sz w:val="24"/>
          <w:szCs w:val="24"/>
        </w:rPr>
        <w:t xml:space="preserve">Computers and Education Open, </w:t>
      </w:r>
      <w:r w:rsidRPr="00AF7946">
        <w:rPr>
          <w:noProof/>
          <w:sz w:val="24"/>
          <w:szCs w:val="24"/>
        </w:rPr>
        <w:t>3(1), p. 100076.</w:t>
      </w:r>
    </w:p>
    <w:p w:rsidR="00AF7946" w:rsidRPr="00AF7946" w:rsidRDefault="00AF7946" w:rsidP="00AF7946">
      <w:pPr>
        <w:pStyle w:val="Bibliography"/>
        <w:rPr>
          <w:noProof/>
          <w:sz w:val="24"/>
          <w:szCs w:val="24"/>
        </w:rPr>
      </w:pPr>
      <w:r w:rsidRPr="00AF7946">
        <w:rPr>
          <w:noProof/>
          <w:sz w:val="24"/>
          <w:szCs w:val="24"/>
        </w:rPr>
        <w:t xml:space="preserve">Mohammadi, M., </w:t>
      </w:r>
      <w:r w:rsidR="00D4154C" w:rsidRPr="00D4154C">
        <w:rPr>
          <w:sz w:val="24"/>
          <w:szCs w:val="24"/>
        </w:rPr>
        <w:t>Sarvestani, M., and Nouroozi, S.,</w:t>
      </w:r>
      <w:r w:rsidR="00D4154C">
        <w:rPr>
          <w:sz w:val="24"/>
          <w:szCs w:val="24"/>
        </w:rPr>
        <w:t xml:space="preserve"> (</w:t>
      </w:r>
      <w:r w:rsidRPr="00AF7946">
        <w:rPr>
          <w:noProof/>
          <w:sz w:val="24"/>
          <w:szCs w:val="24"/>
        </w:rPr>
        <w:t>2020</w:t>
      </w:r>
      <w:r w:rsidR="00D4154C">
        <w:rPr>
          <w:noProof/>
          <w:sz w:val="24"/>
          <w:szCs w:val="24"/>
        </w:rPr>
        <w:t>)</w:t>
      </w:r>
      <w:r w:rsidRPr="00AF7946">
        <w:rPr>
          <w:noProof/>
          <w:sz w:val="24"/>
          <w:szCs w:val="24"/>
        </w:rPr>
        <w:t xml:space="preserve">. Mobile Phone Use in Education and Learning by Faculty Members of Technical-Engineering Groups: Concurrent Mixed Methods Design. </w:t>
      </w:r>
      <w:r w:rsidRPr="00AF7946">
        <w:rPr>
          <w:i/>
          <w:iCs/>
          <w:noProof/>
          <w:sz w:val="24"/>
          <w:szCs w:val="24"/>
        </w:rPr>
        <w:t xml:space="preserve">Frontiers in Education, </w:t>
      </w:r>
      <w:r w:rsidRPr="00AF7946">
        <w:rPr>
          <w:noProof/>
          <w:sz w:val="24"/>
          <w:szCs w:val="24"/>
        </w:rPr>
        <w:t>5(16), pp. 1-9.</w:t>
      </w:r>
    </w:p>
    <w:p w:rsidR="00AF7946" w:rsidRPr="00AF7946" w:rsidRDefault="00AF7946" w:rsidP="00AF7946">
      <w:pPr>
        <w:pStyle w:val="Bibliography"/>
        <w:rPr>
          <w:noProof/>
          <w:sz w:val="24"/>
          <w:szCs w:val="24"/>
        </w:rPr>
      </w:pPr>
      <w:r w:rsidRPr="00AF7946">
        <w:rPr>
          <w:noProof/>
          <w:sz w:val="24"/>
          <w:szCs w:val="24"/>
        </w:rPr>
        <w:t xml:space="preserve">Neureiter, D., </w:t>
      </w:r>
      <w:r w:rsidR="00D4154C" w:rsidRPr="00D4154C">
        <w:rPr>
          <w:sz w:val="24"/>
          <w:szCs w:val="24"/>
        </w:rPr>
        <w:t>Klieser, E., Neumayer, B., Winkelmann, P., Urbas, R., and Kiesslich, T.,</w:t>
      </w:r>
      <w:r w:rsidR="00D4154C">
        <w:rPr>
          <w:sz w:val="24"/>
          <w:szCs w:val="24"/>
        </w:rPr>
        <w:t xml:space="preserve"> (</w:t>
      </w:r>
      <w:r w:rsidRPr="00AF7946">
        <w:rPr>
          <w:noProof/>
          <w:sz w:val="24"/>
          <w:szCs w:val="24"/>
        </w:rPr>
        <w:t>2020</w:t>
      </w:r>
      <w:r w:rsidR="00D4154C">
        <w:rPr>
          <w:noProof/>
          <w:sz w:val="24"/>
          <w:szCs w:val="24"/>
        </w:rPr>
        <w:t>)</w:t>
      </w:r>
      <w:r w:rsidRPr="00AF7946">
        <w:rPr>
          <w:noProof/>
          <w:sz w:val="24"/>
          <w:szCs w:val="24"/>
        </w:rPr>
        <w:t xml:space="preserve">. Feasibility of Kahoot! as a Real-Time Assessment Tool in (Histo-)pathology Classroom Teaching. </w:t>
      </w:r>
      <w:r w:rsidRPr="00AF7946">
        <w:rPr>
          <w:i/>
          <w:iCs/>
          <w:noProof/>
          <w:sz w:val="24"/>
          <w:szCs w:val="24"/>
        </w:rPr>
        <w:t xml:space="preserve">Advances in Medical Education and Practice, </w:t>
      </w:r>
      <w:r w:rsidRPr="00AF7946">
        <w:rPr>
          <w:noProof/>
          <w:sz w:val="24"/>
          <w:szCs w:val="24"/>
        </w:rPr>
        <w:t>11(2), pp. 696-705.</w:t>
      </w:r>
    </w:p>
    <w:p w:rsidR="00AF7946" w:rsidRPr="00AF7946" w:rsidRDefault="00AF7946" w:rsidP="00AF7946">
      <w:pPr>
        <w:pStyle w:val="Bibliography"/>
        <w:rPr>
          <w:noProof/>
          <w:sz w:val="24"/>
          <w:szCs w:val="24"/>
        </w:rPr>
      </w:pPr>
      <w:r w:rsidRPr="00AF7946">
        <w:rPr>
          <w:noProof/>
          <w:sz w:val="24"/>
          <w:szCs w:val="24"/>
        </w:rPr>
        <w:t xml:space="preserve">Ng, W., </w:t>
      </w:r>
      <w:r w:rsidR="008127C7">
        <w:rPr>
          <w:noProof/>
          <w:sz w:val="24"/>
          <w:szCs w:val="24"/>
        </w:rPr>
        <w:t>(</w:t>
      </w:r>
      <w:r w:rsidRPr="00AF7946">
        <w:rPr>
          <w:noProof/>
          <w:sz w:val="24"/>
          <w:szCs w:val="24"/>
        </w:rPr>
        <w:t>2015</w:t>
      </w:r>
      <w:r w:rsidR="008127C7">
        <w:rPr>
          <w:noProof/>
          <w:sz w:val="24"/>
          <w:szCs w:val="24"/>
        </w:rPr>
        <w:t>)</w:t>
      </w:r>
      <w:r w:rsidRPr="00AF7946">
        <w:rPr>
          <w:noProof/>
          <w:sz w:val="24"/>
          <w:szCs w:val="24"/>
        </w:rPr>
        <w:t xml:space="preserve">. Adopting New Digital Technologies in Education. </w:t>
      </w:r>
      <w:r w:rsidRPr="00AF7946">
        <w:rPr>
          <w:i/>
          <w:iCs/>
          <w:noProof/>
          <w:sz w:val="24"/>
          <w:szCs w:val="24"/>
        </w:rPr>
        <w:t xml:space="preserve">New Digital Technology in Education, </w:t>
      </w:r>
      <w:r w:rsidRPr="00AF7946">
        <w:rPr>
          <w:noProof/>
          <w:sz w:val="24"/>
          <w:szCs w:val="24"/>
        </w:rPr>
        <w:t>2(1), pp. 25-48.</w:t>
      </w:r>
    </w:p>
    <w:p w:rsidR="00AF7946" w:rsidRPr="00AF7946" w:rsidRDefault="00AF7946" w:rsidP="00AF7946">
      <w:pPr>
        <w:pStyle w:val="Bibliography"/>
        <w:rPr>
          <w:noProof/>
          <w:sz w:val="24"/>
          <w:szCs w:val="24"/>
        </w:rPr>
      </w:pPr>
      <w:r w:rsidRPr="00AF7946">
        <w:rPr>
          <w:noProof/>
          <w:sz w:val="24"/>
          <w:szCs w:val="24"/>
        </w:rPr>
        <w:lastRenderedPageBreak/>
        <w:t xml:space="preserve">Nilsson, P., </w:t>
      </w:r>
      <w:r w:rsidR="008C0006" w:rsidRPr="00E51B06">
        <w:rPr>
          <w:sz w:val="24"/>
          <w:szCs w:val="24"/>
        </w:rPr>
        <w:t>and Lund, J.,</w:t>
      </w:r>
      <w:r w:rsidR="008C0006">
        <w:rPr>
          <w:sz w:val="24"/>
          <w:szCs w:val="24"/>
        </w:rPr>
        <w:t xml:space="preserve"> (</w:t>
      </w:r>
      <w:r w:rsidRPr="00AF7946">
        <w:rPr>
          <w:noProof/>
          <w:sz w:val="24"/>
          <w:szCs w:val="24"/>
        </w:rPr>
        <w:t>2018</w:t>
      </w:r>
      <w:r w:rsidR="008C0006">
        <w:rPr>
          <w:noProof/>
          <w:sz w:val="24"/>
          <w:szCs w:val="24"/>
        </w:rPr>
        <w:t>)</w:t>
      </w:r>
      <w:r w:rsidRPr="00AF7946">
        <w:rPr>
          <w:noProof/>
          <w:sz w:val="24"/>
          <w:szCs w:val="24"/>
        </w:rPr>
        <w:t xml:space="preserve">. Design for Learning - Involving Teachers in Digital Didactic Design. </w:t>
      </w:r>
      <w:r w:rsidRPr="00AF7946">
        <w:rPr>
          <w:i/>
          <w:iCs/>
          <w:noProof/>
          <w:sz w:val="24"/>
          <w:szCs w:val="24"/>
        </w:rPr>
        <w:t xml:space="preserve">Interactive Technology and Smart Education, </w:t>
      </w:r>
      <w:r w:rsidRPr="00AF7946">
        <w:rPr>
          <w:noProof/>
          <w:sz w:val="24"/>
          <w:szCs w:val="24"/>
        </w:rPr>
        <w:t>20(1), pp. 142-159.</w:t>
      </w:r>
    </w:p>
    <w:p w:rsidR="00AF7946" w:rsidRPr="00AF7946" w:rsidRDefault="00AF7946" w:rsidP="00AF7946">
      <w:pPr>
        <w:pStyle w:val="Bibliography"/>
        <w:rPr>
          <w:noProof/>
          <w:sz w:val="24"/>
          <w:szCs w:val="24"/>
        </w:rPr>
      </w:pPr>
      <w:r w:rsidRPr="00AF7946">
        <w:rPr>
          <w:noProof/>
          <w:sz w:val="24"/>
          <w:szCs w:val="24"/>
        </w:rPr>
        <w:t xml:space="preserve">Pechenkina, E., </w:t>
      </w:r>
      <w:r w:rsidR="00D4154C" w:rsidRPr="00D4154C">
        <w:rPr>
          <w:sz w:val="24"/>
          <w:szCs w:val="24"/>
        </w:rPr>
        <w:t>Laurence, D., Oates, G., Eldridge, D., and Hunter, D.,</w:t>
      </w:r>
      <w:r w:rsidR="00D4154C">
        <w:rPr>
          <w:sz w:val="24"/>
          <w:szCs w:val="24"/>
        </w:rPr>
        <w:t xml:space="preserve"> (</w:t>
      </w:r>
      <w:r w:rsidRPr="00AF7946">
        <w:rPr>
          <w:noProof/>
          <w:sz w:val="24"/>
          <w:szCs w:val="24"/>
        </w:rPr>
        <w:t>2017</w:t>
      </w:r>
      <w:r w:rsidR="00D4154C">
        <w:rPr>
          <w:noProof/>
          <w:sz w:val="24"/>
          <w:szCs w:val="24"/>
        </w:rPr>
        <w:t>)</w:t>
      </w:r>
      <w:r w:rsidRPr="00AF7946">
        <w:rPr>
          <w:noProof/>
          <w:sz w:val="24"/>
          <w:szCs w:val="24"/>
        </w:rPr>
        <w:t xml:space="preserve">. Using a Gamified Mobile Phone App to Increase Student Engagement, Retention and Academic Achievement. </w:t>
      </w:r>
      <w:r w:rsidRPr="00AF7946">
        <w:rPr>
          <w:i/>
          <w:iCs/>
          <w:noProof/>
          <w:sz w:val="24"/>
          <w:szCs w:val="24"/>
        </w:rPr>
        <w:t xml:space="preserve">International Journal of Educational Technology in Higher Education, </w:t>
      </w:r>
      <w:r w:rsidRPr="00AF7946">
        <w:rPr>
          <w:noProof/>
          <w:sz w:val="24"/>
          <w:szCs w:val="24"/>
        </w:rPr>
        <w:t>14(31), pp. 1-12.</w:t>
      </w:r>
    </w:p>
    <w:p w:rsidR="00AF7946" w:rsidRPr="00AF7946" w:rsidRDefault="00AF7946" w:rsidP="00AF7946">
      <w:pPr>
        <w:pStyle w:val="Bibliography"/>
        <w:rPr>
          <w:noProof/>
          <w:sz w:val="24"/>
          <w:szCs w:val="24"/>
        </w:rPr>
      </w:pPr>
      <w:r w:rsidRPr="00AF7946">
        <w:rPr>
          <w:noProof/>
          <w:sz w:val="24"/>
          <w:szCs w:val="24"/>
        </w:rPr>
        <w:t xml:space="preserve">Peiris, C., </w:t>
      </w:r>
      <w:r w:rsidR="00A50671" w:rsidRPr="00A50671">
        <w:rPr>
          <w:sz w:val="24"/>
          <w:szCs w:val="24"/>
        </w:rPr>
        <w:t>O’Donoghue, G., Rippon, L., Meyers, D., Hahne, A., Noronha, N., Lynch, J., and Hanson, L.,</w:t>
      </w:r>
      <w:r w:rsidR="00A50671">
        <w:rPr>
          <w:sz w:val="24"/>
          <w:szCs w:val="24"/>
        </w:rPr>
        <w:t xml:space="preserve"> (</w:t>
      </w:r>
      <w:r w:rsidRPr="00AF7946">
        <w:rPr>
          <w:noProof/>
          <w:sz w:val="24"/>
          <w:szCs w:val="24"/>
        </w:rPr>
        <w:t>2021</w:t>
      </w:r>
      <w:r w:rsidR="00A50671">
        <w:rPr>
          <w:noProof/>
          <w:sz w:val="24"/>
          <w:szCs w:val="24"/>
        </w:rPr>
        <w:t>)</w:t>
      </w:r>
      <w:r w:rsidRPr="00AF7946">
        <w:rPr>
          <w:noProof/>
          <w:sz w:val="24"/>
          <w:szCs w:val="24"/>
        </w:rPr>
        <w:t xml:space="preserve">. Classroom Movement Breaks Reduce Sedentary Behavior and Increase Concentration, Alertness and Enjoyment during University Classes: A Mixed-Methods Feasibility Study. </w:t>
      </w:r>
      <w:r w:rsidRPr="00AF7946">
        <w:rPr>
          <w:i/>
          <w:iCs/>
          <w:noProof/>
          <w:sz w:val="24"/>
          <w:szCs w:val="24"/>
        </w:rPr>
        <w:t xml:space="preserve">International Journal of Environmental Research and Public Health , </w:t>
      </w:r>
      <w:r w:rsidRPr="00AF7946">
        <w:rPr>
          <w:noProof/>
          <w:sz w:val="24"/>
          <w:szCs w:val="24"/>
        </w:rPr>
        <w:t>18(11), p. 5589.</w:t>
      </w:r>
    </w:p>
    <w:p w:rsidR="00AF7946" w:rsidRPr="00AF7946" w:rsidRDefault="00AF7946" w:rsidP="00AF7946">
      <w:pPr>
        <w:pStyle w:val="Bibliography"/>
        <w:rPr>
          <w:noProof/>
          <w:sz w:val="24"/>
          <w:szCs w:val="24"/>
        </w:rPr>
      </w:pPr>
      <w:r w:rsidRPr="00AF7946">
        <w:rPr>
          <w:noProof/>
          <w:sz w:val="24"/>
          <w:szCs w:val="24"/>
        </w:rPr>
        <w:t xml:space="preserve">Pozo, J., </w:t>
      </w:r>
      <w:r w:rsidR="00983838" w:rsidRPr="00983838">
        <w:rPr>
          <w:sz w:val="24"/>
          <w:szCs w:val="24"/>
        </w:rPr>
        <w:t>Echeverria, M., Cabellos, B., and Sanchez, D.,</w:t>
      </w:r>
      <w:r w:rsidR="00983838">
        <w:rPr>
          <w:sz w:val="24"/>
          <w:szCs w:val="24"/>
        </w:rPr>
        <w:t xml:space="preserve"> (</w:t>
      </w:r>
      <w:r w:rsidRPr="00AF7946">
        <w:rPr>
          <w:noProof/>
          <w:sz w:val="24"/>
          <w:szCs w:val="24"/>
        </w:rPr>
        <w:t>2021</w:t>
      </w:r>
      <w:r w:rsidR="00983838">
        <w:rPr>
          <w:noProof/>
          <w:sz w:val="24"/>
          <w:szCs w:val="24"/>
        </w:rPr>
        <w:t>)</w:t>
      </w:r>
      <w:r w:rsidRPr="00AF7946">
        <w:rPr>
          <w:noProof/>
          <w:sz w:val="24"/>
          <w:szCs w:val="24"/>
        </w:rPr>
        <w:t xml:space="preserve">. Teaching and Learning in Times of COVID-19: Uses of Digital Technologies During School Lockdowns. </w:t>
      </w:r>
      <w:r w:rsidRPr="00AF7946">
        <w:rPr>
          <w:i/>
          <w:iCs/>
          <w:noProof/>
          <w:sz w:val="24"/>
          <w:szCs w:val="24"/>
        </w:rPr>
        <w:t xml:space="preserve">Frontiers in Psychology, </w:t>
      </w:r>
      <w:r w:rsidRPr="00AF7946">
        <w:rPr>
          <w:noProof/>
          <w:sz w:val="24"/>
          <w:szCs w:val="24"/>
        </w:rPr>
        <w:t>12(656776), pp. 1-13.</w:t>
      </w:r>
    </w:p>
    <w:p w:rsidR="00AF7946" w:rsidRPr="00AF7946" w:rsidRDefault="00AF7946" w:rsidP="00AF7946">
      <w:pPr>
        <w:pStyle w:val="Bibliography"/>
        <w:rPr>
          <w:noProof/>
          <w:sz w:val="24"/>
          <w:szCs w:val="24"/>
        </w:rPr>
      </w:pPr>
      <w:r w:rsidRPr="00AF7946">
        <w:rPr>
          <w:noProof/>
          <w:sz w:val="24"/>
          <w:szCs w:val="24"/>
        </w:rPr>
        <w:t xml:space="preserve">Putz, L., </w:t>
      </w:r>
      <w:r w:rsidR="008127C7" w:rsidRPr="008127C7">
        <w:rPr>
          <w:sz w:val="24"/>
          <w:szCs w:val="24"/>
        </w:rPr>
        <w:t>and Treiblmaier, H.,</w:t>
      </w:r>
      <w:r w:rsidR="008127C7">
        <w:rPr>
          <w:sz w:val="24"/>
          <w:szCs w:val="24"/>
        </w:rPr>
        <w:t xml:space="preserve"> (</w:t>
      </w:r>
      <w:r w:rsidRPr="00AF7946">
        <w:rPr>
          <w:noProof/>
          <w:sz w:val="24"/>
          <w:szCs w:val="24"/>
        </w:rPr>
        <w:t>2019</w:t>
      </w:r>
      <w:r w:rsidR="008127C7">
        <w:rPr>
          <w:noProof/>
          <w:sz w:val="24"/>
          <w:szCs w:val="24"/>
        </w:rPr>
        <w:t>)</w:t>
      </w:r>
      <w:r w:rsidRPr="00AF7946">
        <w:rPr>
          <w:noProof/>
          <w:sz w:val="24"/>
          <w:szCs w:val="24"/>
        </w:rPr>
        <w:t xml:space="preserve">. Increasing Knowledge Retention through Gamification Workshops: Findings from a Longitudinal Study and Identification of Moderating Variables. </w:t>
      </w:r>
      <w:r w:rsidRPr="00AF7946">
        <w:rPr>
          <w:i/>
          <w:iCs/>
          <w:noProof/>
          <w:sz w:val="24"/>
          <w:szCs w:val="24"/>
        </w:rPr>
        <w:t xml:space="preserve">Proceedings of the 52nd Hawaii International Conference on System Sciences, </w:t>
      </w:r>
      <w:r w:rsidRPr="00AF7946">
        <w:rPr>
          <w:noProof/>
          <w:sz w:val="24"/>
          <w:szCs w:val="24"/>
        </w:rPr>
        <w:t>2(6), pp. 1456-1465.</w:t>
      </w:r>
    </w:p>
    <w:p w:rsidR="00AF7946" w:rsidRPr="00AF7946" w:rsidRDefault="00AF7946" w:rsidP="00AF7946">
      <w:pPr>
        <w:pStyle w:val="Bibliography"/>
        <w:rPr>
          <w:noProof/>
          <w:sz w:val="24"/>
          <w:szCs w:val="24"/>
        </w:rPr>
      </w:pPr>
      <w:r w:rsidRPr="00AF7946">
        <w:rPr>
          <w:noProof/>
          <w:sz w:val="24"/>
          <w:szCs w:val="24"/>
        </w:rPr>
        <w:t xml:space="preserve">Race, P., </w:t>
      </w:r>
      <w:r w:rsidR="00E51B06" w:rsidRPr="00E51B06">
        <w:rPr>
          <w:sz w:val="24"/>
          <w:szCs w:val="24"/>
        </w:rPr>
        <w:t>and Pickford, R.,</w:t>
      </w:r>
      <w:r w:rsidR="00E51B06">
        <w:rPr>
          <w:sz w:val="24"/>
          <w:szCs w:val="24"/>
        </w:rPr>
        <w:t xml:space="preserve"> (</w:t>
      </w:r>
      <w:r w:rsidRPr="00AF7946">
        <w:rPr>
          <w:noProof/>
          <w:sz w:val="24"/>
          <w:szCs w:val="24"/>
        </w:rPr>
        <w:t>2007</w:t>
      </w:r>
      <w:r w:rsidR="00E51B06">
        <w:rPr>
          <w:noProof/>
          <w:sz w:val="24"/>
          <w:szCs w:val="24"/>
        </w:rPr>
        <w:t>)</w:t>
      </w:r>
      <w:r w:rsidRPr="00AF7946">
        <w:rPr>
          <w:noProof/>
          <w:sz w:val="24"/>
          <w:szCs w:val="24"/>
        </w:rPr>
        <w:t xml:space="preserve">. Why Teach Smarter. In: P. Race, ed. </w:t>
      </w:r>
      <w:r w:rsidRPr="00AF7946">
        <w:rPr>
          <w:i/>
          <w:iCs/>
          <w:noProof/>
          <w:sz w:val="24"/>
          <w:szCs w:val="24"/>
        </w:rPr>
        <w:t xml:space="preserve">Making Teaching Work. </w:t>
      </w:r>
      <w:r w:rsidRPr="00AF7946">
        <w:rPr>
          <w:noProof/>
          <w:sz w:val="24"/>
          <w:szCs w:val="24"/>
        </w:rPr>
        <w:t>London: Sage Publications, p. 11.</w:t>
      </w:r>
    </w:p>
    <w:p w:rsidR="00AF7946" w:rsidRPr="00AF7946" w:rsidRDefault="00AF7946" w:rsidP="00AF7946">
      <w:pPr>
        <w:pStyle w:val="Bibliography"/>
        <w:rPr>
          <w:noProof/>
          <w:sz w:val="24"/>
          <w:szCs w:val="24"/>
        </w:rPr>
      </w:pPr>
      <w:r w:rsidRPr="00AF7946">
        <w:rPr>
          <w:noProof/>
          <w:sz w:val="24"/>
          <w:szCs w:val="24"/>
        </w:rPr>
        <w:t xml:space="preserve">Rapanta, C., </w:t>
      </w:r>
      <w:r w:rsidR="00E51B06" w:rsidRPr="00E51B06">
        <w:rPr>
          <w:sz w:val="24"/>
          <w:szCs w:val="24"/>
        </w:rPr>
        <w:t>Botturi, L., Goodyear, P., Guardia, L., and Koole, M.,</w:t>
      </w:r>
      <w:r w:rsidR="00E51B06">
        <w:rPr>
          <w:sz w:val="24"/>
          <w:szCs w:val="24"/>
        </w:rPr>
        <w:t xml:space="preserve"> (</w:t>
      </w:r>
      <w:r w:rsidRPr="00AF7946">
        <w:rPr>
          <w:noProof/>
          <w:sz w:val="24"/>
          <w:szCs w:val="24"/>
        </w:rPr>
        <w:t>2021</w:t>
      </w:r>
      <w:r w:rsidR="00E51B06">
        <w:rPr>
          <w:noProof/>
          <w:sz w:val="24"/>
          <w:szCs w:val="24"/>
        </w:rPr>
        <w:t>)</w:t>
      </w:r>
      <w:r w:rsidRPr="00AF7946">
        <w:rPr>
          <w:noProof/>
          <w:sz w:val="24"/>
          <w:szCs w:val="24"/>
        </w:rPr>
        <w:t xml:space="preserve">. Balancing Technology, Pedagogy and the New Normal: Post-pandemic Challenges for Higher Education. </w:t>
      </w:r>
      <w:r w:rsidRPr="00AF7946">
        <w:rPr>
          <w:i/>
          <w:iCs/>
          <w:noProof/>
          <w:sz w:val="24"/>
          <w:szCs w:val="24"/>
        </w:rPr>
        <w:t xml:space="preserve">Postdigital Science and Education , </w:t>
      </w:r>
      <w:r w:rsidRPr="00AF7946">
        <w:rPr>
          <w:noProof/>
          <w:sz w:val="24"/>
          <w:szCs w:val="24"/>
        </w:rPr>
        <w:t>3(1), pp. 715-742.</w:t>
      </w:r>
    </w:p>
    <w:p w:rsidR="00AF7946" w:rsidRPr="00AF7946" w:rsidRDefault="00AF7946" w:rsidP="00AF7946">
      <w:pPr>
        <w:pStyle w:val="Bibliography"/>
        <w:rPr>
          <w:noProof/>
          <w:sz w:val="24"/>
          <w:szCs w:val="24"/>
        </w:rPr>
      </w:pPr>
      <w:r w:rsidRPr="00AF7946">
        <w:rPr>
          <w:noProof/>
          <w:sz w:val="24"/>
          <w:szCs w:val="24"/>
        </w:rPr>
        <w:t xml:space="preserve">Rehman, Z., </w:t>
      </w:r>
      <w:r w:rsidR="00A50671" w:rsidRPr="00A50671">
        <w:rPr>
          <w:sz w:val="24"/>
          <w:szCs w:val="24"/>
        </w:rPr>
        <w:t>and Aurangzeb, W.,</w:t>
      </w:r>
      <w:r w:rsidR="00A50671">
        <w:rPr>
          <w:sz w:val="24"/>
          <w:szCs w:val="24"/>
        </w:rPr>
        <w:t xml:space="preserve"> (</w:t>
      </w:r>
      <w:r w:rsidRPr="00AF7946">
        <w:rPr>
          <w:noProof/>
          <w:sz w:val="24"/>
          <w:szCs w:val="24"/>
        </w:rPr>
        <w:t>2021</w:t>
      </w:r>
      <w:r w:rsidR="00A50671">
        <w:rPr>
          <w:noProof/>
          <w:sz w:val="24"/>
          <w:szCs w:val="24"/>
        </w:rPr>
        <w:t>)</w:t>
      </w:r>
      <w:r w:rsidRPr="00AF7946">
        <w:rPr>
          <w:noProof/>
          <w:sz w:val="24"/>
          <w:szCs w:val="24"/>
        </w:rPr>
        <w:t xml:space="preserve">. The SAMR Model and Bloom's Taxonomy as a Framework for Evaluating Technology Integration at University Level. </w:t>
      </w:r>
      <w:r w:rsidRPr="00AF7946">
        <w:rPr>
          <w:i/>
          <w:iCs/>
          <w:noProof/>
          <w:sz w:val="24"/>
          <w:szCs w:val="24"/>
        </w:rPr>
        <w:t xml:space="preserve">Global Educational Studies, </w:t>
      </w:r>
      <w:r w:rsidRPr="00AF7946">
        <w:rPr>
          <w:noProof/>
          <w:sz w:val="24"/>
          <w:szCs w:val="24"/>
        </w:rPr>
        <w:t>6(4), pp. 1-11.</w:t>
      </w:r>
    </w:p>
    <w:p w:rsidR="00AF7946" w:rsidRPr="00AF7946" w:rsidRDefault="00AF7946" w:rsidP="00AF7946">
      <w:pPr>
        <w:pStyle w:val="Bibliography"/>
        <w:rPr>
          <w:noProof/>
          <w:sz w:val="24"/>
          <w:szCs w:val="24"/>
        </w:rPr>
      </w:pPr>
      <w:r w:rsidRPr="00AF7946">
        <w:rPr>
          <w:noProof/>
          <w:sz w:val="24"/>
          <w:szCs w:val="24"/>
        </w:rPr>
        <w:t xml:space="preserve">Reich, A., </w:t>
      </w:r>
      <w:r w:rsidR="00A50671" w:rsidRPr="00A50671">
        <w:rPr>
          <w:sz w:val="24"/>
          <w:szCs w:val="24"/>
        </w:rPr>
        <w:t>Rooney, D., and Lizier, A.,</w:t>
      </w:r>
      <w:r w:rsidR="00A50671">
        <w:rPr>
          <w:sz w:val="24"/>
          <w:szCs w:val="24"/>
        </w:rPr>
        <w:t xml:space="preserve"> (</w:t>
      </w:r>
      <w:r w:rsidRPr="00AF7946">
        <w:rPr>
          <w:noProof/>
          <w:sz w:val="24"/>
          <w:szCs w:val="24"/>
        </w:rPr>
        <w:t>2021</w:t>
      </w:r>
      <w:r w:rsidR="00A50671">
        <w:rPr>
          <w:noProof/>
          <w:sz w:val="24"/>
          <w:szCs w:val="24"/>
        </w:rPr>
        <w:t>)</w:t>
      </w:r>
      <w:r w:rsidRPr="00AF7946">
        <w:rPr>
          <w:noProof/>
          <w:sz w:val="24"/>
          <w:szCs w:val="24"/>
        </w:rPr>
        <w:t xml:space="preserve">. Using Technology Integration Frameworks in Vocational Education and Training. </w:t>
      </w:r>
      <w:r w:rsidRPr="00AF7946">
        <w:rPr>
          <w:i/>
          <w:iCs/>
          <w:noProof/>
          <w:sz w:val="24"/>
          <w:szCs w:val="24"/>
        </w:rPr>
        <w:t xml:space="preserve">International Journal of Training Research, </w:t>
      </w:r>
      <w:r w:rsidRPr="00AF7946">
        <w:rPr>
          <w:noProof/>
          <w:sz w:val="24"/>
          <w:szCs w:val="24"/>
        </w:rPr>
        <w:t>19(2), pp. 93-106.</w:t>
      </w:r>
    </w:p>
    <w:p w:rsidR="00AF7946" w:rsidRPr="00AF7946" w:rsidRDefault="00AF7946" w:rsidP="00AF7946">
      <w:pPr>
        <w:pStyle w:val="Bibliography"/>
        <w:rPr>
          <w:noProof/>
          <w:sz w:val="24"/>
          <w:szCs w:val="24"/>
        </w:rPr>
      </w:pPr>
      <w:r w:rsidRPr="00AF7946">
        <w:rPr>
          <w:noProof/>
          <w:sz w:val="24"/>
          <w:szCs w:val="24"/>
        </w:rPr>
        <w:t xml:space="preserve">Riar, M., </w:t>
      </w:r>
      <w:r w:rsidR="008127C7" w:rsidRPr="008127C7">
        <w:rPr>
          <w:sz w:val="24"/>
          <w:szCs w:val="24"/>
        </w:rPr>
        <w:t>Morschheuser, B., Zarnekow, R., and Hamari, J.,</w:t>
      </w:r>
      <w:r w:rsidR="008127C7">
        <w:rPr>
          <w:sz w:val="24"/>
          <w:szCs w:val="24"/>
        </w:rPr>
        <w:t xml:space="preserve"> (</w:t>
      </w:r>
      <w:r w:rsidRPr="00AF7946">
        <w:rPr>
          <w:noProof/>
          <w:sz w:val="24"/>
          <w:szCs w:val="24"/>
        </w:rPr>
        <w:t>2022</w:t>
      </w:r>
      <w:r w:rsidR="008127C7">
        <w:rPr>
          <w:noProof/>
          <w:sz w:val="24"/>
          <w:szCs w:val="24"/>
        </w:rPr>
        <w:t>)</w:t>
      </w:r>
      <w:r w:rsidRPr="00AF7946">
        <w:rPr>
          <w:noProof/>
          <w:sz w:val="24"/>
          <w:szCs w:val="24"/>
        </w:rPr>
        <w:t xml:space="preserve">. Gamification of Cooperation: A Framework, Literature Review and Future Research Agenda. </w:t>
      </w:r>
      <w:r w:rsidRPr="00AF7946">
        <w:rPr>
          <w:i/>
          <w:iCs/>
          <w:noProof/>
          <w:sz w:val="24"/>
          <w:szCs w:val="24"/>
        </w:rPr>
        <w:t xml:space="preserve">International Journal of Information Management, </w:t>
      </w:r>
      <w:r w:rsidRPr="00AF7946">
        <w:rPr>
          <w:noProof/>
          <w:sz w:val="24"/>
          <w:szCs w:val="24"/>
        </w:rPr>
        <w:t>67(2), p. 102549.</w:t>
      </w:r>
    </w:p>
    <w:p w:rsidR="00AF7946" w:rsidRPr="00AF7946" w:rsidRDefault="00AF7946" w:rsidP="00AF7946">
      <w:pPr>
        <w:pStyle w:val="Bibliography"/>
        <w:rPr>
          <w:noProof/>
          <w:sz w:val="24"/>
          <w:szCs w:val="24"/>
        </w:rPr>
      </w:pPr>
      <w:r w:rsidRPr="00AF7946">
        <w:rPr>
          <w:noProof/>
          <w:sz w:val="24"/>
          <w:szCs w:val="24"/>
        </w:rPr>
        <w:t xml:space="preserve">Salhab, R., </w:t>
      </w:r>
      <w:r w:rsidR="00D4154C" w:rsidRPr="00D4154C">
        <w:rPr>
          <w:sz w:val="24"/>
          <w:szCs w:val="24"/>
        </w:rPr>
        <w:t>and Daher, W.,</w:t>
      </w:r>
      <w:r w:rsidR="00D4154C">
        <w:rPr>
          <w:sz w:val="24"/>
          <w:szCs w:val="24"/>
        </w:rPr>
        <w:t xml:space="preserve"> (</w:t>
      </w:r>
      <w:r w:rsidRPr="00AF7946">
        <w:rPr>
          <w:noProof/>
          <w:sz w:val="24"/>
          <w:szCs w:val="24"/>
        </w:rPr>
        <w:t>2023</w:t>
      </w:r>
      <w:r w:rsidR="00D4154C">
        <w:rPr>
          <w:noProof/>
          <w:sz w:val="24"/>
          <w:szCs w:val="24"/>
        </w:rPr>
        <w:t>)</w:t>
      </w:r>
      <w:r w:rsidRPr="00AF7946">
        <w:rPr>
          <w:noProof/>
          <w:sz w:val="24"/>
          <w:szCs w:val="24"/>
        </w:rPr>
        <w:t xml:space="preserve">. University Students Engagement in Mobile Learning. </w:t>
      </w:r>
      <w:r w:rsidRPr="00AF7946">
        <w:rPr>
          <w:i/>
          <w:iCs/>
          <w:noProof/>
          <w:sz w:val="24"/>
          <w:szCs w:val="24"/>
        </w:rPr>
        <w:t xml:space="preserve">European Journal of Investigation in Health, Psychology and Education, </w:t>
      </w:r>
      <w:r w:rsidRPr="00AF7946">
        <w:rPr>
          <w:noProof/>
          <w:sz w:val="24"/>
          <w:szCs w:val="24"/>
        </w:rPr>
        <w:t>13(1), pp. 202-216.</w:t>
      </w:r>
    </w:p>
    <w:p w:rsidR="00AF7946" w:rsidRPr="00AF7946" w:rsidRDefault="00AF7946" w:rsidP="00AF7946">
      <w:pPr>
        <w:pStyle w:val="Bibliography"/>
        <w:rPr>
          <w:noProof/>
          <w:sz w:val="24"/>
          <w:szCs w:val="24"/>
        </w:rPr>
      </w:pPr>
      <w:r w:rsidRPr="00AF7946">
        <w:rPr>
          <w:noProof/>
          <w:sz w:val="24"/>
          <w:szCs w:val="24"/>
        </w:rPr>
        <w:lastRenderedPageBreak/>
        <w:t xml:space="preserve">Schiuma, G., </w:t>
      </w:r>
      <w:r w:rsidR="008C0006" w:rsidRPr="008C0006">
        <w:rPr>
          <w:sz w:val="24"/>
          <w:szCs w:val="24"/>
        </w:rPr>
        <w:t>Schettini, E., and Santarsiero, F.,</w:t>
      </w:r>
      <w:r w:rsidR="008C0006">
        <w:rPr>
          <w:sz w:val="24"/>
          <w:szCs w:val="24"/>
        </w:rPr>
        <w:t xml:space="preserve"> (</w:t>
      </w:r>
      <w:r w:rsidRPr="00AF7946">
        <w:rPr>
          <w:noProof/>
          <w:sz w:val="24"/>
          <w:szCs w:val="24"/>
        </w:rPr>
        <w:t>2021</w:t>
      </w:r>
      <w:r w:rsidR="008C0006">
        <w:rPr>
          <w:noProof/>
          <w:sz w:val="24"/>
          <w:szCs w:val="24"/>
        </w:rPr>
        <w:t>)</w:t>
      </w:r>
      <w:r w:rsidRPr="00AF7946">
        <w:rPr>
          <w:noProof/>
          <w:sz w:val="24"/>
          <w:szCs w:val="24"/>
        </w:rPr>
        <w:t xml:space="preserve">. How Wise Companies Drive Digital Transformation. </w:t>
      </w:r>
      <w:r w:rsidRPr="00AF7946">
        <w:rPr>
          <w:i/>
          <w:iCs/>
          <w:noProof/>
          <w:sz w:val="24"/>
          <w:szCs w:val="24"/>
        </w:rPr>
        <w:t xml:space="preserve">Journal of Open Innovation: Technology, Market and Complexity, </w:t>
      </w:r>
      <w:r w:rsidRPr="00AF7946">
        <w:rPr>
          <w:noProof/>
          <w:sz w:val="24"/>
          <w:szCs w:val="24"/>
        </w:rPr>
        <w:t>7(2), p. 122.</w:t>
      </w:r>
    </w:p>
    <w:p w:rsidR="00AF7946" w:rsidRPr="00AF7946" w:rsidRDefault="00AF7946" w:rsidP="00AF7946">
      <w:pPr>
        <w:pStyle w:val="Bibliography"/>
        <w:rPr>
          <w:noProof/>
          <w:sz w:val="24"/>
          <w:szCs w:val="24"/>
        </w:rPr>
      </w:pPr>
      <w:r w:rsidRPr="00AF7946">
        <w:rPr>
          <w:noProof/>
          <w:sz w:val="24"/>
          <w:szCs w:val="24"/>
        </w:rPr>
        <w:t xml:space="preserve">Schmidt, M., </w:t>
      </w:r>
      <w:r w:rsidR="00DC36B2" w:rsidRPr="00DC36B2">
        <w:rPr>
          <w:sz w:val="24"/>
          <w:szCs w:val="24"/>
        </w:rPr>
        <w:t>Newbutt, M., Lee, M., Lu, J., Francois, M., Antoneko, P., and Glaser, N.,</w:t>
      </w:r>
      <w:r w:rsidR="00DC36B2">
        <w:rPr>
          <w:sz w:val="24"/>
          <w:szCs w:val="24"/>
        </w:rPr>
        <w:t xml:space="preserve"> (</w:t>
      </w:r>
      <w:r w:rsidRPr="00AF7946">
        <w:rPr>
          <w:noProof/>
          <w:sz w:val="24"/>
          <w:szCs w:val="24"/>
        </w:rPr>
        <w:t>2023</w:t>
      </w:r>
      <w:r w:rsidR="00DC36B2">
        <w:rPr>
          <w:noProof/>
          <w:sz w:val="24"/>
          <w:szCs w:val="24"/>
        </w:rPr>
        <w:t>)</w:t>
      </w:r>
      <w:r w:rsidRPr="00AF7946">
        <w:rPr>
          <w:noProof/>
          <w:sz w:val="24"/>
          <w:szCs w:val="24"/>
        </w:rPr>
        <w:t xml:space="preserve">. Towards a Strengths Based Model for Designing Virtual Reality Experiences for Autistic Learners. </w:t>
      </w:r>
      <w:r w:rsidRPr="00AF7946">
        <w:rPr>
          <w:i/>
          <w:iCs/>
          <w:noProof/>
          <w:sz w:val="24"/>
          <w:szCs w:val="24"/>
        </w:rPr>
        <w:t xml:space="preserve">Autism, </w:t>
      </w:r>
      <w:r w:rsidRPr="00AF7946">
        <w:rPr>
          <w:noProof/>
          <w:sz w:val="24"/>
          <w:szCs w:val="24"/>
        </w:rPr>
        <w:t>1(1), pp. 1-5.</w:t>
      </w:r>
    </w:p>
    <w:p w:rsidR="00AF7946" w:rsidRPr="00AF7946" w:rsidRDefault="00AF7946" w:rsidP="00AF7946">
      <w:pPr>
        <w:pStyle w:val="Bibliography"/>
        <w:rPr>
          <w:noProof/>
          <w:sz w:val="24"/>
          <w:szCs w:val="24"/>
        </w:rPr>
      </w:pPr>
      <w:r w:rsidRPr="00AF7946">
        <w:rPr>
          <w:noProof/>
          <w:sz w:val="24"/>
          <w:szCs w:val="24"/>
        </w:rPr>
        <w:t xml:space="preserve">Schwerdt, G., </w:t>
      </w:r>
      <w:r w:rsidR="00A50671" w:rsidRPr="00D4154C">
        <w:rPr>
          <w:sz w:val="24"/>
          <w:szCs w:val="24"/>
        </w:rPr>
        <w:t>and Wuppermann, A.,</w:t>
      </w:r>
      <w:r w:rsidR="00A50671">
        <w:rPr>
          <w:sz w:val="24"/>
          <w:szCs w:val="24"/>
        </w:rPr>
        <w:t xml:space="preserve"> (</w:t>
      </w:r>
      <w:r w:rsidRPr="00AF7946">
        <w:rPr>
          <w:noProof/>
          <w:sz w:val="24"/>
          <w:szCs w:val="24"/>
        </w:rPr>
        <w:t>2011</w:t>
      </w:r>
      <w:r w:rsidR="00A50671">
        <w:rPr>
          <w:noProof/>
          <w:sz w:val="24"/>
          <w:szCs w:val="24"/>
        </w:rPr>
        <w:t>)</w:t>
      </w:r>
      <w:r w:rsidRPr="00AF7946">
        <w:rPr>
          <w:noProof/>
          <w:sz w:val="24"/>
          <w:szCs w:val="24"/>
        </w:rPr>
        <w:t xml:space="preserve">. Is Traditional Teaching really all that bad? A Within-student Between-subject Approach. </w:t>
      </w:r>
      <w:r w:rsidRPr="00AF7946">
        <w:rPr>
          <w:i/>
          <w:iCs/>
          <w:noProof/>
          <w:sz w:val="24"/>
          <w:szCs w:val="24"/>
        </w:rPr>
        <w:t xml:space="preserve">Economics of Education Review, </w:t>
      </w:r>
      <w:r w:rsidRPr="00AF7946">
        <w:rPr>
          <w:noProof/>
          <w:sz w:val="24"/>
          <w:szCs w:val="24"/>
        </w:rPr>
        <w:t>30(2), pp. 365-379.</w:t>
      </w:r>
    </w:p>
    <w:p w:rsidR="00AF7946" w:rsidRPr="00AF7946" w:rsidRDefault="00AF7946" w:rsidP="00AF7946">
      <w:pPr>
        <w:pStyle w:val="Bibliography"/>
        <w:rPr>
          <w:noProof/>
          <w:sz w:val="24"/>
          <w:szCs w:val="24"/>
        </w:rPr>
      </w:pPr>
      <w:r w:rsidRPr="00AF7946">
        <w:rPr>
          <w:noProof/>
          <w:sz w:val="24"/>
          <w:szCs w:val="24"/>
        </w:rPr>
        <w:t xml:space="preserve">Sharon, F., </w:t>
      </w:r>
      <w:r w:rsidR="008127C7">
        <w:rPr>
          <w:noProof/>
          <w:sz w:val="24"/>
          <w:szCs w:val="24"/>
        </w:rPr>
        <w:t>(</w:t>
      </w:r>
      <w:r w:rsidRPr="00AF7946">
        <w:rPr>
          <w:noProof/>
          <w:sz w:val="24"/>
          <w:szCs w:val="24"/>
        </w:rPr>
        <w:t>2020</w:t>
      </w:r>
      <w:r w:rsidR="008127C7">
        <w:rPr>
          <w:noProof/>
          <w:sz w:val="24"/>
          <w:szCs w:val="24"/>
        </w:rPr>
        <w:t>)</w:t>
      </w:r>
      <w:r w:rsidRPr="00AF7946">
        <w:rPr>
          <w:noProof/>
          <w:sz w:val="24"/>
          <w:szCs w:val="24"/>
        </w:rPr>
        <w:t xml:space="preserve">. Comparative Cost of Virtual Reality Training and Live Exercises for Training Hospital Workers for Evacuation. </w:t>
      </w:r>
      <w:r w:rsidRPr="00AF7946">
        <w:rPr>
          <w:i/>
          <w:iCs/>
          <w:noProof/>
          <w:sz w:val="24"/>
          <w:szCs w:val="24"/>
        </w:rPr>
        <w:t xml:space="preserve">Computers, Informatics, Nursing, </w:t>
      </w:r>
      <w:r w:rsidRPr="00AF7946">
        <w:rPr>
          <w:noProof/>
          <w:sz w:val="24"/>
          <w:szCs w:val="24"/>
        </w:rPr>
        <w:t>37(9), pp. 446-454.</w:t>
      </w:r>
    </w:p>
    <w:p w:rsidR="00AF7946" w:rsidRPr="00AF7946" w:rsidRDefault="00AF7946" w:rsidP="00AF7946">
      <w:pPr>
        <w:pStyle w:val="Bibliography"/>
        <w:rPr>
          <w:noProof/>
          <w:sz w:val="24"/>
          <w:szCs w:val="24"/>
        </w:rPr>
      </w:pPr>
      <w:r w:rsidRPr="00AF7946">
        <w:rPr>
          <w:noProof/>
          <w:sz w:val="24"/>
          <w:szCs w:val="24"/>
        </w:rPr>
        <w:t xml:space="preserve">Skulmowski, A., </w:t>
      </w:r>
      <w:r w:rsidR="008127C7">
        <w:rPr>
          <w:noProof/>
          <w:sz w:val="24"/>
          <w:szCs w:val="24"/>
        </w:rPr>
        <w:t>(</w:t>
      </w:r>
      <w:r w:rsidRPr="00AF7946">
        <w:rPr>
          <w:noProof/>
          <w:sz w:val="24"/>
          <w:szCs w:val="24"/>
        </w:rPr>
        <w:t>2023</w:t>
      </w:r>
      <w:r w:rsidR="008127C7">
        <w:rPr>
          <w:noProof/>
          <w:sz w:val="24"/>
          <w:szCs w:val="24"/>
        </w:rPr>
        <w:t>)</w:t>
      </w:r>
      <w:r w:rsidRPr="00AF7946">
        <w:rPr>
          <w:noProof/>
          <w:sz w:val="24"/>
          <w:szCs w:val="24"/>
        </w:rPr>
        <w:t xml:space="preserve">. Ethical Issues of Educational Virtual Reality. </w:t>
      </w:r>
      <w:r w:rsidRPr="00AF7946">
        <w:rPr>
          <w:i/>
          <w:iCs/>
          <w:noProof/>
          <w:sz w:val="24"/>
          <w:szCs w:val="24"/>
        </w:rPr>
        <w:t xml:space="preserve">Computers and Education: X Reality, </w:t>
      </w:r>
      <w:r w:rsidRPr="00AF7946">
        <w:rPr>
          <w:noProof/>
          <w:sz w:val="24"/>
          <w:szCs w:val="24"/>
        </w:rPr>
        <w:t>2(1), p. 100023.</w:t>
      </w:r>
    </w:p>
    <w:p w:rsidR="00AF7946" w:rsidRPr="00AF7946" w:rsidRDefault="00AF7946" w:rsidP="00AF7946">
      <w:pPr>
        <w:pStyle w:val="Bibliography"/>
        <w:rPr>
          <w:noProof/>
          <w:sz w:val="24"/>
          <w:szCs w:val="24"/>
        </w:rPr>
      </w:pPr>
      <w:r w:rsidRPr="00AF7946">
        <w:rPr>
          <w:noProof/>
          <w:sz w:val="24"/>
          <w:szCs w:val="24"/>
        </w:rPr>
        <w:t xml:space="preserve">Smiderle, R., </w:t>
      </w:r>
      <w:r w:rsidR="00D4154C" w:rsidRPr="00D4154C">
        <w:rPr>
          <w:sz w:val="24"/>
          <w:szCs w:val="24"/>
        </w:rPr>
        <w:t>Rigo, S., Marques, L., Coelho, J., and Jaques, P.,</w:t>
      </w:r>
      <w:r w:rsidR="00D4154C">
        <w:rPr>
          <w:sz w:val="24"/>
          <w:szCs w:val="24"/>
        </w:rPr>
        <w:t xml:space="preserve"> (</w:t>
      </w:r>
      <w:r w:rsidRPr="00AF7946">
        <w:rPr>
          <w:noProof/>
          <w:sz w:val="24"/>
          <w:szCs w:val="24"/>
        </w:rPr>
        <w:t>2020</w:t>
      </w:r>
      <w:r w:rsidR="00D4154C">
        <w:rPr>
          <w:noProof/>
          <w:sz w:val="24"/>
          <w:szCs w:val="24"/>
        </w:rPr>
        <w:t>)</w:t>
      </w:r>
      <w:r w:rsidRPr="00AF7946">
        <w:rPr>
          <w:noProof/>
          <w:sz w:val="24"/>
          <w:szCs w:val="24"/>
        </w:rPr>
        <w:t xml:space="preserve">. The Impact of Gamification on Students Learning, Engagement and Behaviour Based on their Personality Traits. </w:t>
      </w:r>
      <w:r w:rsidRPr="00AF7946">
        <w:rPr>
          <w:i/>
          <w:iCs/>
          <w:noProof/>
          <w:sz w:val="24"/>
          <w:szCs w:val="24"/>
        </w:rPr>
        <w:t xml:space="preserve">Smart Learning Environments, </w:t>
      </w:r>
      <w:r w:rsidRPr="00AF7946">
        <w:rPr>
          <w:noProof/>
          <w:sz w:val="24"/>
          <w:szCs w:val="24"/>
        </w:rPr>
        <w:t>7(3), pp. 1-11.</w:t>
      </w:r>
    </w:p>
    <w:p w:rsidR="00AF7946" w:rsidRPr="00AF7946" w:rsidRDefault="00AF7946" w:rsidP="00AF7946">
      <w:pPr>
        <w:pStyle w:val="Bibliography"/>
        <w:rPr>
          <w:noProof/>
          <w:sz w:val="24"/>
          <w:szCs w:val="24"/>
        </w:rPr>
      </w:pPr>
      <w:r w:rsidRPr="00AF7946">
        <w:rPr>
          <w:noProof/>
          <w:sz w:val="24"/>
          <w:szCs w:val="24"/>
        </w:rPr>
        <w:t xml:space="preserve">Smith, K., </w:t>
      </w:r>
      <w:r w:rsidR="008127C7">
        <w:rPr>
          <w:noProof/>
          <w:sz w:val="24"/>
          <w:szCs w:val="24"/>
        </w:rPr>
        <w:t>(</w:t>
      </w:r>
      <w:r w:rsidRPr="00AF7946">
        <w:rPr>
          <w:noProof/>
          <w:sz w:val="24"/>
          <w:szCs w:val="24"/>
        </w:rPr>
        <w:t>2019</w:t>
      </w:r>
      <w:r w:rsidR="008127C7">
        <w:rPr>
          <w:noProof/>
          <w:sz w:val="24"/>
          <w:szCs w:val="24"/>
        </w:rPr>
        <w:t>)</w:t>
      </w:r>
      <w:r w:rsidRPr="00AF7946">
        <w:rPr>
          <w:noProof/>
          <w:sz w:val="24"/>
          <w:szCs w:val="24"/>
        </w:rPr>
        <w:t xml:space="preserve">. </w:t>
      </w:r>
      <w:r w:rsidRPr="00AF7946">
        <w:rPr>
          <w:i/>
          <w:iCs/>
          <w:noProof/>
          <w:sz w:val="24"/>
          <w:szCs w:val="24"/>
        </w:rPr>
        <w:t xml:space="preserve">The Scholarly Teacher. </w:t>
      </w:r>
      <w:r w:rsidRPr="00AF7946">
        <w:rPr>
          <w:noProof/>
          <w:sz w:val="24"/>
          <w:szCs w:val="24"/>
        </w:rPr>
        <w:t xml:space="preserve">[Online] </w:t>
      </w:r>
      <w:r w:rsidRPr="00AF7946">
        <w:rPr>
          <w:noProof/>
          <w:sz w:val="24"/>
          <w:szCs w:val="24"/>
        </w:rPr>
        <w:br/>
        <w:t xml:space="preserve">Available at: </w:t>
      </w:r>
      <w:r w:rsidRPr="00AF7946">
        <w:rPr>
          <w:noProof/>
          <w:sz w:val="24"/>
          <w:szCs w:val="24"/>
          <w:u w:val="single"/>
        </w:rPr>
        <w:t>https://www.scholarlyteacher.com/post/purposefully-incorporating-technology-into-the-classroom-using-the-samr-model</w:t>
      </w:r>
      <w:r w:rsidRPr="00AF7946">
        <w:rPr>
          <w:noProof/>
          <w:sz w:val="24"/>
          <w:szCs w:val="24"/>
        </w:rPr>
        <w:br/>
        <w:t>[Accessed 27 November 2023].</w:t>
      </w:r>
    </w:p>
    <w:p w:rsidR="00AF7946" w:rsidRPr="00AF7946" w:rsidRDefault="00AF7946" w:rsidP="00AF7946">
      <w:pPr>
        <w:pStyle w:val="Bibliography"/>
        <w:rPr>
          <w:noProof/>
          <w:sz w:val="24"/>
          <w:szCs w:val="24"/>
        </w:rPr>
      </w:pPr>
      <w:r w:rsidRPr="00AF7946">
        <w:rPr>
          <w:noProof/>
          <w:sz w:val="24"/>
          <w:szCs w:val="24"/>
        </w:rPr>
        <w:t xml:space="preserve">Staddon, R., </w:t>
      </w:r>
      <w:r w:rsidR="008127C7">
        <w:rPr>
          <w:noProof/>
          <w:sz w:val="24"/>
          <w:szCs w:val="24"/>
        </w:rPr>
        <w:t>(</w:t>
      </w:r>
      <w:r w:rsidRPr="00AF7946">
        <w:rPr>
          <w:noProof/>
          <w:sz w:val="24"/>
          <w:szCs w:val="24"/>
        </w:rPr>
        <w:t>2020</w:t>
      </w:r>
      <w:r w:rsidR="008127C7">
        <w:rPr>
          <w:noProof/>
          <w:sz w:val="24"/>
          <w:szCs w:val="24"/>
        </w:rPr>
        <w:t>)</w:t>
      </w:r>
      <w:r w:rsidRPr="00AF7946">
        <w:rPr>
          <w:noProof/>
          <w:sz w:val="24"/>
          <w:szCs w:val="24"/>
        </w:rPr>
        <w:t xml:space="preserve">. Bringing Technology to the Mature Classroom: Age Differences in use and Attitudes. </w:t>
      </w:r>
      <w:r w:rsidRPr="00AF7946">
        <w:rPr>
          <w:i/>
          <w:iCs/>
          <w:noProof/>
          <w:sz w:val="24"/>
          <w:szCs w:val="24"/>
        </w:rPr>
        <w:t xml:space="preserve">International Journal of Education Technology in Higher Education, </w:t>
      </w:r>
      <w:r w:rsidRPr="00AF7946">
        <w:rPr>
          <w:noProof/>
          <w:sz w:val="24"/>
          <w:szCs w:val="24"/>
        </w:rPr>
        <w:t>17(11), pp. 1-20.</w:t>
      </w:r>
    </w:p>
    <w:p w:rsidR="00AF7946" w:rsidRPr="00AF7946" w:rsidRDefault="00AF7946" w:rsidP="00AF7946">
      <w:pPr>
        <w:pStyle w:val="Bibliography"/>
        <w:rPr>
          <w:noProof/>
          <w:sz w:val="24"/>
          <w:szCs w:val="24"/>
        </w:rPr>
      </w:pPr>
      <w:r w:rsidRPr="00AF7946">
        <w:rPr>
          <w:noProof/>
          <w:sz w:val="24"/>
          <w:szCs w:val="24"/>
        </w:rPr>
        <w:t xml:space="preserve">Stecula, K., </w:t>
      </w:r>
      <w:r w:rsidR="00E51B06" w:rsidRPr="00E51B06">
        <w:rPr>
          <w:sz w:val="24"/>
          <w:szCs w:val="24"/>
        </w:rPr>
        <w:t>and Wolniak, R.,</w:t>
      </w:r>
      <w:r w:rsidR="00E51B06">
        <w:rPr>
          <w:sz w:val="24"/>
          <w:szCs w:val="24"/>
        </w:rPr>
        <w:t xml:space="preserve"> (</w:t>
      </w:r>
      <w:r w:rsidRPr="00AF7946">
        <w:rPr>
          <w:noProof/>
          <w:sz w:val="24"/>
          <w:szCs w:val="24"/>
        </w:rPr>
        <w:t>2022</w:t>
      </w:r>
      <w:r w:rsidR="00E51B06">
        <w:rPr>
          <w:noProof/>
          <w:sz w:val="24"/>
          <w:szCs w:val="24"/>
        </w:rPr>
        <w:t>)</w:t>
      </w:r>
      <w:r w:rsidRPr="00AF7946">
        <w:rPr>
          <w:noProof/>
          <w:sz w:val="24"/>
          <w:szCs w:val="24"/>
        </w:rPr>
        <w:t xml:space="preserve">. Advantages and Disadvantages of E-Learning Innovations during COVID-19 Pandemic in Higher Education in Poland. </w:t>
      </w:r>
      <w:r w:rsidRPr="00AF7946">
        <w:rPr>
          <w:i/>
          <w:iCs/>
          <w:noProof/>
          <w:sz w:val="24"/>
          <w:szCs w:val="24"/>
        </w:rPr>
        <w:t xml:space="preserve">Journal of Open Innovation: Technology, Market and Complexity, </w:t>
      </w:r>
      <w:r w:rsidRPr="00AF7946">
        <w:rPr>
          <w:noProof/>
          <w:sz w:val="24"/>
          <w:szCs w:val="24"/>
        </w:rPr>
        <w:t>8(3), p. 158.</w:t>
      </w:r>
    </w:p>
    <w:p w:rsidR="00AF7946" w:rsidRPr="00AF7946" w:rsidRDefault="00AF7946" w:rsidP="00AF7946">
      <w:pPr>
        <w:pStyle w:val="Bibliography"/>
        <w:rPr>
          <w:noProof/>
          <w:sz w:val="24"/>
          <w:szCs w:val="24"/>
        </w:rPr>
      </w:pPr>
      <w:r w:rsidRPr="00AF7946">
        <w:rPr>
          <w:noProof/>
          <w:sz w:val="24"/>
          <w:szCs w:val="24"/>
        </w:rPr>
        <w:t xml:space="preserve">Stefan, L., </w:t>
      </w:r>
      <w:r w:rsidR="008127C7">
        <w:rPr>
          <w:noProof/>
          <w:sz w:val="24"/>
          <w:szCs w:val="24"/>
        </w:rPr>
        <w:t>(</w:t>
      </w:r>
      <w:r w:rsidRPr="00AF7946">
        <w:rPr>
          <w:noProof/>
          <w:sz w:val="24"/>
          <w:szCs w:val="24"/>
        </w:rPr>
        <w:t>2012</w:t>
      </w:r>
      <w:r w:rsidR="008127C7">
        <w:rPr>
          <w:noProof/>
          <w:sz w:val="24"/>
          <w:szCs w:val="24"/>
        </w:rPr>
        <w:t>)</w:t>
      </w:r>
      <w:r w:rsidRPr="00AF7946">
        <w:rPr>
          <w:noProof/>
          <w:sz w:val="24"/>
          <w:szCs w:val="24"/>
        </w:rPr>
        <w:t xml:space="preserve">. Immersive Collaborative Environments for Teaching and Learning Traditional Design. </w:t>
      </w:r>
      <w:r w:rsidRPr="00AF7946">
        <w:rPr>
          <w:i/>
          <w:iCs/>
          <w:noProof/>
          <w:sz w:val="24"/>
          <w:szCs w:val="24"/>
        </w:rPr>
        <w:t xml:space="preserve">Procedia - Social and Behavioural Sciences, </w:t>
      </w:r>
      <w:r w:rsidRPr="00AF7946">
        <w:rPr>
          <w:noProof/>
          <w:sz w:val="24"/>
          <w:szCs w:val="24"/>
        </w:rPr>
        <w:t>51(1), pp. 1056-1060.</w:t>
      </w:r>
    </w:p>
    <w:p w:rsidR="00AF7946" w:rsidRPr="00AF7946" w:rsidRDefault="00AF7946" w:rsidP="00AF7946">
      <w:pPr>
        <w:pStyle w:val="Bibliography"/>
        <w:rPr>
          <w:noProof/>
          <w:sz w:val="24"/>
          <w:szCs w:val="24"/>
        </w:rPr>
      </w:pPr>
      <w:r w:rsidRPr="00AF7946">
        <w:rPr>
          <w:noProof/>
          <w:sz w:val="24"/>
          <w:szCs w:val="24"/>
        </w:rPr>
        <w:t xml:space="preserve">Sung, Y., </w:t>
      </w:r>
      <w:r w:rsidR="008127C7" w:rsidRPr="008127C7">
        <w:rPr>
          <w:sz w:val="24"/>
          <w:szCs w:val="24"/>
        </w:rPr>
        <w:t>Chang, K., and Liu, T.,</w:t>
      </w:r>
      <w:r w:rsidR="008127C7">
        <w:rPr>
          <w:sz w:val="24"/>
          <w:szCs w:val="24"/>
        </w:rPr>
        <w:t xml:space="preserve"> (</w:t>
      </w:r>
      <w:r w:rsidRPr="00AF7946">
        <w:rPr>
          <w:noProof/>
          <w:sz w:val="24"/>
          <w:szCs w:val="24"/>
        </w:rPr>
        <w:t>2016</w:t>
      </w:r>
      <w:r w:rsidR="008127C7">
        <w:rPr>
          <w:noProof/>
          <w:sz w:val="24"/>
          <w:szCs w:val="24"/>
        </w:rPr>
        <w:t>)</w:t>
      </w:r>
      <w:r w:rsidRPr="00AF7946">
        <w:rPr>
          <w:noProof/>
          <w:sz w:val="24"/>
          <w:szCs w:val="24"/>
        </w:rPr>
        <w:t xml:space="preserve">. The Effects of Integrating Mobile Devices with Teaching and Learning on Students Learning Performance: A Meta-analysis and Research Synthesis. </w:t>
      </w:r>
      <w:r w:rsidRPr="00AF7946">
        <w:rPr>
          <w:i/>
          <w:iCs/>
          <w:noProof/>
          <w:sz w:val="24"/>
          <w:szCs w:val="24"/>
        </w:rPr>
        <w:t xml:space="preserve">Computers and Education, </w:t>
      </w:r>
      <w:r w:rsidRPr="00AF7946">
        <w:rPr>
          <w:noProof/>
          <w:sz w:val="24"/>
          <w:szCs w:val="24"/>
        </w:rPr>
        <w:t>94(1), pp. 252-275.</w:t>
      </w:r>
    </w:p>
    <w:p w:rsidR="00AF7946" w:rsidRPr="00AF7946" w:rsidRDefault="00AF7946" w:rsidP="00AF7946">
      <w:pPr>
        <w:pStyle w:val="Bibliography"/>
        <w:rPr>
          <w:noProof/>
          <w:sz w:val="24"/>
          <w:szCs w:val="24"/>
        </w:rPr>
      </w:pPr>
      <w:r w:rsidRPr="00AF7946">
        <w:rPr>
          <w:noProof/>
          <w:sz w:val="24"/>
          <w:szCs w:val="24"/>
        </w:rPr>
        <w:t xml:space="preserve">Suryani, N., </w:t>
      </w:r>
      <w:r w:rsidR="00A50671" w:rsidRPr="00A50671">
        <w:rPr>
          <w:sz w:val="24"/>
          <w:szCs w:val="24"/>
        </w:rPr>
        <w:t>Heru, S., and Masagus, S.,</w:t>
      </w:r>
      <w:r w:rsidR="00A50671">
        <w:rPr>
          <w:sz w:val="24"/>
          <w:szCs w:val="24"/>
        </w:rPr>
        <w:t xml:space="preserve"> (</w:t>
      </w:r>
      <w:r w:rsidRPr="00AF7946">
        <w:rPr>
          <w:noProof/>
          <w:sz w:val="24"/>
          <w:szCs w:val="24"/>
        </w:rPr>
        <w:t>2019</w:t>
      </w:r>
      <w:r w:rsidR="00A50671">
        <w:rPr>
          <w:noProof/>
          <w:sz w:val="24"/>
          <w:szCs w:val="24"/>
        </w:rPr>
        <w:t>)</w:t>
      </w:r>
      <w:r w:rsidRPr="00AF7946">
        <w:rPr>
          <w:noProof/>
          <w:sz w:val="24"/>
          <w:szCs w:val="24"/>
        </w:rPr>
        <w:t xml:space="preserve">. The use of Technology Integration SAMR Model in Teaching English. </w:t>
      </w:r>
      <w:r w:rsidRPr="00AF7946">
        <w:rPr>
          <w:i/>
          <w:iCs/>
          <w:noProof/>
          <w:sz w:val="24"/>
          <w:szCs w:val="24"/>
        </w:rPr>
        <w:t xml:space="preserve">IDEAS Journal on English Language. Teaching and Learning Linguistics and Literature, </w:t>
      </w:r>
      <w:r w:rsidRPr="00AF7946">
        <w:rPr>
          <w:noProof/>
          <w:sz w:val="24"/>
          <w:szCs w:val="24"/>
        </w:rPr>
        <w:t>7(1), pp. 43-47.</w:t>
      </w:r>
    </w:p>
    <w:p w:rsidR="00AF7946" w:rsidRPr="00AF7946" w:rsidRDefault="00AF7946" w:rsidP="00AF7946">
      <w:pPr>
        <w:pStyle w:val="Bibliography"/>
        <w:rPr>
          <w:noProof/>
          <w:sz w:val="24"/>
          <w:szCs w:val="24"/>
        </w:rPr>
      </w:pPr>
      <w:r w:rsidRPr="00AF7946">
        <w:rPr>
          <w:noProof/>
          <w:sz w:val="24"/>
          <w:szCs w:val="24"/>
        </w:rPr>
        <w:lastRenderedPageBreak/>
        <w:t xml:space="preserve">Sviridova, E., </w:t>
      </w:r>
      <w:r w:rsidR="00DC36B2" w:rsidRPr="00DC36B2">
        <w:rPr>
          <w:sz w:val="24"/>
          <w:szCs w:val="24"/>
        </w:rPr>
        <w:t>Yastrebova, E., Bakirova, G., and Rebrina, F.,</w:t>
      </w:r>
      <w:r w:rsidR="00DC36B2">
        <w:rPr>
          <w:sz w:val="24"/>
          <w:szCs w:val="24"/>
        </w:rPr>
        <w:t xml:space="preserve"> (</w:t>
      </w:r>
      <w:r w:rsidRPr="00AF7946">
        <w:rPr>
          <w:noProof/>
          <w:sz w:val="24"/>
          <w:szCs w:val="24"/>
        </w:rPr>
        <w:t>2023</w:t>
      </w:r>
      <w:r w:rsidR="00DC36B2">
        <w:rPr>
          <w:noProof/>
          <w:sz w:val="24"/>
          <w:szCs w:val="24"/>
        </w:rPr>
        <w:t>)</w:t>
      </w:r>
      <w:r w:rsidRPr="00AF7946">
        <w:rPr>
          <w:noProof/>
          <w:sz w:val="24"/>
          <w:szCs w:val="24"/>
        </w:rPr>
        <w:t xml:space="preserve">. Immersive Technologies as an Innovative Tool to Increase Academic Success and Motivation in Higher Education. </w:t>
      </w:r>
      <w:r w:rsidRPr="00AF7946">
        <w:rPr>
          <w:i/>
          <w:iCs/>
          <w:noProof/>
          <w:sz w:val="24"/>
          <w:szCs w:val="24"/>
        </w:rPr>
        <w:t xml:space="preserve">Frontiers in Education, </w:t>
      </w:r>
      <w:r w:rsidRPr="00AF7946">
        <w:rPr>
          <w:noProof/>
          <w:sz w:val="24"/>
          <w:szCs w:val="24"/>
        </w:rPr>
        <w:t>8(11), pp. 1-10.</w:t>
      </w:r>
    </w:p>
    <w:p w:rsidR="00AF7946" w:rsidRPr="00AF7946" w:rsidRDefault="00AF7946" w:rsidP="00AF7946">
      <w:pPr>
        <w:pStyle w:val="Bibliography"/>
        <w:rPr>
          <w:noProof/>
          <w:sz w:val="24"/>
          <w:szCs w:val="24"/>
        </w:rPr>
      </w:pPr>
      <w:r w:rsidRPr="00AF7946">
        <w:rPr>
          <w:noProof/>
          <w:sz w:val="24"/>
          <w:szCs w:val="24"/>
        </w:rPr>
        <w:t xml:space="preserve">Syharat, C., </w:t>
      </w:r>
      <w:r w:rsidR="00DC36B2" w:rsidRPr="00DC36B2">
        <w:rPr>
          <w:sz w:val="24"/>
          <w:szCs w:val="24"/>
        </w:rPr>
        <w:t>Hain, A., Zaghi, A., Gabriel, R., and Berdanier, C.,</w:t>
      </w:r>
      <w:r w:rsidR="00DC36B2">
        <w:rPr>
          <w:sz w:val="24"/>
          <w:szCs w:val="24"/>
        </w:rPr>
        <w:t xml:space="preserve"> (</w:t>
      </w:r>
      <w:r w:rsidRPr="00AF7946">
        <w:rPr>
          <w:noProof/>
          <w:sz w:val="24"/>
          <w:szCs w:val="24"/>
        </w:rPr>
        <w:t>2023</w:t>
      </w:r>
      <w:r w:rsidR="00DC36B2">
        <w:rPr>
          <w:noProof/>
          <w:sz w:val="24"/>
          <w:szCs w:val="24"/>
        </w:rPr>
        <w:t>)</w:t>
      </w:r>
      <w:r w:rsidRPr="00AF7946">
        <w:rPr>
          <w:noProof/>
          <w:sz w:val="24"/>
          <w:szCs w:val="24"/>
        </w:rPr>
        <w:t xml:space="preserve">. Experiences of Neurodivergent Students in Graduate STEM Programs. </w:t>
      </w:r>
      <w:r w:rsidRPr="00AF7946">
        <w:rPr>
          <w:i/>
          <w:iCs/>
          <w:noProof/>
          <w:sz w:val="24"/>
          <w:szCs w:val="24"/>
        </w:rPr>
        <w:t xml:space="preserve">Frontiers in Psychology, </w:t>
      </w:r>
      <w:r w:rsidRPr="00AF7946">
        <w:rPr>
          <w:noProof/>
          <w:sz w:val="24"/>
          <w:szCs w:val="24"/>
        </w:rPr>
        <w:t>15(14), pp. 1-16.</w:t>
      </w:r>
    </w:p>
    <w:p w:rsidR="00AF7946" w:rsidRPr="00AF7946" w:rsidRDefault="00AF7946" w:rsidP="00AF7946">
      <w:pPr>
        <w:pStyle w:val="Bibliography"/>
        <w:rPr>
          <w:noProof/>
          <w:sz w:val="24"/>
          <w:szCs w:val="24"/>
        </w:rPr>
      </w:pPr>
      <w:r w:rsidRPr="00AF7946">
        <w:rPr>
          <w:noProof/>
          <w:sz w:val="24"/>
          <w:szCs w:val="24"/>
        </w:rPr>
        <w:t xml:space="preserve">Tofade, T., </w:t>
      </w:r>
      <w:r w:rsidR="00D4154C" w:rsidRPr="00D4154C">
        <w:rPr>
          <w:sz w:val="24"/>
          <w:szCs w:val="24"/>
        </w:rPr>
        <w:t>Elsner, J., and Haines, S.,</w:t>
      </w:r>
      <w:r w:rsidR="00D4154C">
        <w:rPr>
          <w:sz w:val="24"/>
          <w:szCs w:val="24"/>
        </w:rPr>
        <w:t xml:space="preserve"> (</w:t>
      </w:r>
      <w:r w:rsidRPr="00AF7946">
        <w:rPr>
          <w:noProof/>
          <w:sz w:val="24"/>
          <w:szCs w:val="24"/>
        </w:rPr>
        <w:t>2013</w:t>
      </w:r>
      <w:r w:rsidR="00D4154C">
        <w:rPr>
          <w:noProof/>
          <w:sz w:val="24"/>
          <w:szCs w:val="24"/>
        </w:rPr>
        <w:t>)</w:t>
      </w:r>
      <w:r w:rsidRPr="00AF7946">
        <w:rPr>
          <w:noProof/>
          <w:sz w:val="24"/>
          <w:szCs w:val="24"/>
        </w:rPr>
        <w:t xml:space="preserve">. Best Practice Strategies for Effecive use of Questions as a Teaching Tool. </w:t>
      </w:r>
      <w:r w:rsidRPr="00AF7946">
        <w:rPr>
          <w:i/>
          <w:iCs/>
          <w:noProof/>
          <w:sz w:val="24"/>
          <w:szCs w:val="24"/>
        </w:rPr>
        <w:t xml:space="preserve">American Journal of Pharmaceutical Education, </w:t>
      </w:r>
      <w:r w:rsidRPr="00AF7946">
        <w:rPr>
          <w:noProof/>
          <w:sz w:val="24"/>
          <w:szCs w:val="24"/>
        </w:rPr>
        <w:t>77(7), p. 155.</w:t>
      </w:r>
    </w:p>
    <w:p w:rsidR="00AF7946" w:rsidRPr="00AF7946" w:rsidRDefault="00AF7946" w:rsidP="00AF7946">
      <w:pPr>
        <w:pStyle w:val="Bibliography"/>
        <w:rPr>
          <w:noProof/>
          <w:sz w:val="24"/>
          <w:szCs w:val="24"/>
        </w:rPr>
      </w:pPr>
      <w:r w:rsidRPr="00AF7946">
        <w:rPr>
          <w:noProof/>
          <w:sz w:val="24"/>
          <w:szCs w:val="24"/>
        </w:rPr>
        <w:t xml:space="preserve">Uzorka, A., </w:t>
      </w:r>
      <w:r w:rsidR="00983838" w:rsidRPr="00983838">
        <w:rPr>
          <w:sz w:val="24"/>
          <w:szCs w:val="24"/>
        </w:rPr>
        <w:t>Namara, S., and Olaniyan, A.,</w:t>
      </w:r>
      <w:r w:rsidR="00983838">
        <w:rPr>
          <w:sz w:val="24"/>
          <w:szCs w:val="24"/>
        </w:rPr>
        <w:t xml:space="preserve"> (</w:t>
      </w:r>
      <w:r w:rsidRPr="00AF7946">
        <w:rPr>
          <w:noProof/>
          <w:sz w:val="24"/>
          <w:szCs w:val="24"/>
        </w:rPr>
        <w:t>2023</w:t>
      </w:r>
      <w:r w:rsidR="00983838">
        <w:rPr>
          <w:noProof/>
          <w:sz w:val="24"/>
          <w:szCs w:val="24"/>
        </w:rPr>
        <w:t>)</w:t>
      </w:r>
      <w:r w:rsidRPr="00AF7946">
        <w:rPr>
          <w:noProof/>
          <w:sz w:val="24"/>
          <w:szCs w:val="24"/>
        </w:rPr>
        <w:t xml:space="preserve">. Modern Technology Adoption and Professional Development of Lecturers. </w:t>
      </w:r>
      <w:r w:rsidRPr="00AF7946">
        <w:rPr>
          <w:i/>
          <w:iCs/>
          <w:noProof/>
          <w:sz w:val="24"/>
          <w:szCs w:val="24"/>
        </w:rPr>
        <w:t xml:space="preserve">Education and Information Technologies, </w:t>
      </w:r>
      <w:r w:rsidRPr="00AF7946">
        <w:rPr>
          <w:noProof/>
          <w:sz w:val="24"/>
          <w:szCs w:val="24"/>
        </w:rPr>
        <w:t>28(1), pp. 14693-14719.</w:t>
      </w:r>
    </w:p>
    <w:p w:rsidR="00AF7946" w:rsidRPr="00AF7946" w:rsidRDefault="00AF7946" w:rsidP="00AF7946">
      <w:pPr>
        <w:pStyle w:val="Bibliography"/>
        <w:rPr>
          <w:noProof/>
          <w:sz w:val="24"/>
          <w:szCs w:val="24"/>
        </w:rPr>
      </w:pPr>
      <w:r w:rsidRPr="00AF7946">
        <w:rPr>
          <w:noProof/>
          <w:sz w:val="24"/>
          <w:szCs w:val="24"/>
        </w:rPr>
        <w:t xml:space="preserve">Wang, A., </w:t>
      </w:r>
      <w:r w:rsidR="00D4154C" w:rsidRPr="00D4154C">
        <w:rPr>
          <w:sz w:val="24"/>
          <w:szCs w:val="24"/>
        </w:rPr>
        <w:t>and Tahir, R.,</w:t>
      </w:r>
      <w:r w:rsidR="00D4154C">
        <w:rPr>
          <w:sz w:val="24"/>
          <w:szCs w:val="24"/>
        </w:rPr>
        <w:t xml:space="preserve"> (</w:t>
      </w:r>
      <w:r w:rsidRPr="00AF7946">
        <w:rPr>
          <w:noProof/>
          <w:sz w:val="24"/>
          <w:szCs w:val="24"/>
        </w:rPr>
        <w:t>2020</w:t>
      </w:r>
      <w:r w:rsidR="00D4154C">
        <w:rPr>
          <w:noProof/>
          <w:sz w:val="24"/>
          <w:szCs w:val="24"/>
        </w:rPr>
        <w:t>)</w:t>
      </w:r>
      <w:r w:rsidRPr="00AF7946">
        <w:rPr>
          <w:noProof/>
          <w:sz w:val="24"/>
          <w:szCs w:val="24"/>
        </w:rPr>
        <w:t xml:space="preserve">. The Effect of using Kahoot: for Learning - A Literature Review. </w:t>
      </w:r>
      <w:r w:rsidRPr="00AF7946">
        <w:rPr>
          <w:i/>
          <w:iCs/>
          <w:noProof/>
          <w:sz w:val="24"/>
          <w:szCs w:val="24"/>
        </w:rPr>
        <w:t xml:space="preserve">Computers and Education, </w:t>
      </w:r>
      <w:r w:rsidRPr="00AF7946">
        <w:rPr>
          <w:noProof/>
          <w:sz w:val="24"/>
          <w:szCs w:val="24"/>
        </w:rPr>
        <w:t>149(1), p. 103818.</w:t>
      </w:r>
    </w:p>
    <w:p w:rsidR="00AF7946" w:rsidRPr="00AF7946" w:rsidRDefault="00AF7946" w:rsidP="00AF7946">
      <w:pPr>
        <w:pStyle w:val="Bibliography"/>
        <w:rPr>
          <w:noProof/>
          <w:sz w:val="24"/>
          <w:szCs w:val="24"/>
        </w:rPr>
      </w:pPr>
      <w:r w:rsidRPr="00AF7946">
        <w:rPr>
          <w:noProof/>
          <w:sz w:val="24"/>
          <w:szCs w:val="24"/>
        </w:rPr>
        <w:t xml:space="preserve">Yang, H., </w:t>
      </w:r>
      <w:r w:rsidR="00E51B06" w:rsidRPr="00E51B06">
        <w:rPr>
          <w:sz w:val="24"/>
          <w:szCs w:val="24"/>
        </w:rPr>
        <w:t>Li, R., Cheung, S., and Kwok, L.,</w:t>
      </w:r>
      <w:r w:rsidR="00E51B06">
        <w:rPr>
          <w:sz w:val="24"/>
          <w:szCs w:val="24"/>
        </w:rPr>
        <w:t xml:space="preserve"> (</w:t>
      </w:r>
      <w:r w:rsidRPr="00AF7946">
        <w:rPr>
          <w:noProof/>
          <w:sz w:val="24"/>
          <w:szCs w:val="24"/>
        </w:rPr>
        <w:t>2023</w:t>
      </w:r>
      <w:r w:rsidR="00E51B06">
        <w:rPr>
          <w:noProof/>
          <w:sz w:val="24"/>
          <w:szCs w:val="24"/>
        </w:rPr>
        <w:t>)</w:t>
      </w:r>
      <w:r w:rsidRPr="00AF7946">
        <w:rPr>
          <w:noProof/>
          <w:sz w:val="24"/>
          <w:szCs w:val="24"/>
        </w:rPr>
        <w:t xml:space="preserve">. Unleashing the Potentials of Flexible Education with Pedagogical and Technological Innovations. </w:t>
      </w:r>
      <w:r w:rsidRPr="00AF7946">
        <w:rPr>
          <w:i/>
          <w:iCs/>
          <w:noProof/>
          <w:sz w:val="24"/>
          <w:szCs w:val="24"/>
        </w:rPr>
        <w:t xml:space="preserve">Sustainabiloty , </w:t>
      </w:r>
      <w:r w:rsidRPr="00AF7946">
        <w:rPr>
          <w:noProof/>
          <w:sz w:val="24"/>
          <w:szCs w:val="24"/>
        </w:rPr>
        <w:t>15(20), p. 14915.</w:t>
      </w:r>
    </w:p>
    <w:p w:rsidR="00AF7946" w:rsidRPr="00AF7946" w:rsidRDefault="00AF7946" w:rsidP="00AF7946">
      <w:pPr>
        <w:pStyle w:val="Bibliography"/>
        <w:rPr>
          <w:noProof/>
          <w:sz w:val="24"/>
          <w:szCs w:val="24"/>
        </w:rPr>
      </w:pPr>
      <w:r w:rsidRPr="00AF7946">
        <w:rPr>
          <w:noProof/>
          <w:sz w:val="24"/>
          <w:szCs w:val="24"/>
        </w:rPr>
        <w:t xml:space="preserve">Zainuddin, Z., </w:t>
      </w:r>
      <w:r w:rsidR="008127C7">
        <w:rPr>
          <w:noProof/>
          <w:sz w:val="24"/>
          <w:szCs w:val="24"/>
        </w:rPr>
        <w:t>(</w:t>
      </w:r>
      <w:r w:rsidRPr="00AF7946">
        <w:rPr>
          <w:noProof/>
          <w:sz w:val="24"/>
          <w:szCs w:val="24"/>
        </w:rPr>
        <w:t>2023</w:t>
      </w:r>
      <w:r w:rsidR="008127C7">
        <w:rPr>
          <w:noProof/>
          <w:sz w:val="24"/>
          <w:szCs w:val="24"/>
        </w:rPr>
        <w:t>)</w:t>
      </w:r>
      <w:r w:rsidRPr="00AF7946">
        <w:rPr>
          <w:noProof/>
          <w:sz w:val="24"/>
          <w:szCs w:val="24"/>
        </w:rPr>
        <w:t xml:space="preserve">. Integrating Ease of use and Affordable Gamification Based Instruction into a Remote Learning Environment. </w:t>
      </w:r>
      <w:r w:rsidRPr="00AF7946">
        <w:rPr>
          <w:i/>
          <w:iCs/>
          <w:noProof/>
          <w:sz w:val="24"/>
          <w:szCs w:val="24"/>
        </w:rPr>
        <w:t xml:space="preserve">Asia Pacific Education Review, </w:t>
      </w:r>
      <w:r w:rsidRPr="00AF7946">
        <w:rPr>
          <w:noProof/>
          <w:sz w:val="24"/>
          <w:szCs w:val="24"/>
        </w:rPr>
        <w:t>7(4), pp. 1-12.</w:t>
      </w:r>
    </w:p>
    <w:p w:rsidR="00AF7946" w:rsidRPr="00AF7946" w:rsidRDefault="00AF7946" w:rsidP="00AF7946">
      <w:pPr>
        <w:pStyle w:val="Bibliography"/>
        <w:rPr>
          <w:noProof/>
          <w:sz w:val="24"/>
          <w:szCs w:val="24"/>
        </w:rPr>
      </w:pPr>
      <w:r w:rsidRPr="00AF7946">
        <w:rPr>
          <w:noProof/>
          <w:sz w:val="24"/>
          <w:szCs w:val="24"/>
        </w:rPr>
        <w:t xml:space="preserve">Zolyomi, A., </w:t>
      </w:r>
      <w:r w:rsidR="008C0006">
        <w:rPr>
          <w:noProof/>
          <w:sz w:val="24"/>
          <w:szCs w:val="24"/>
        </w:rPr>
        <w:t>Ross, A., Bhattacharya, A., Milne, L., and Munson, S., (</w:t>
      </w:r>
      <w:r w:rsidRPr="00AF7946">
        <w:rPr>
          <w:noProof/>
          <w:sz w:val="24"/>
          <w:szCs w:val="24"/>
        </w:rPr>
        <w:t>2018</w:t>
      </w:r>
      <w:r w:rsidR="008C0006">
        <w:rPr>
          <w:noProof/>
          <w:sz w:val="24"/>
          <w:szCs w:val="24"/>
        </w:rPr>
        <w:t>)</w:t>
      </w:r>
      <w:r w:rsidRPr="00AF7946">
        <w:rPr>
          <w:noProof/>
          <w:sz w:val="24"/>
          <w:szCs w:val="24"/>
        </w:rPr>
        <w:t xml:space="preserve">. Values, Identity, and Social Translucence: Neurodiverse Student Teams in Higher Education. </w:t>
      </w:r>
      <w:r w:rsidRPr="00AF7946">
        <w:rPr>
          <w:i/>
          <w:iCs/>
          <w:noProof/>
          <w:sz w:val="24"/>
          <w:szCs w:val="24"/>
        </w:rPr>
        <w:t xml:space="preserve">Conference on Human Factors in Computing Systems, </w:t>
      </w:r>
      <w:r w:rsidRPr="00AF7946">
        <w:rPr>
          <w:noProof/>
          <w:sz w:val="24"/>
          <w:szCs w:val="24"/>
        </w:rPr>
        <w:t>1(1), pp. 1-13.</w:t>
      </w:r>
    </w:p>
    <w:p w:rsidR="00467DFE" w:rsidRDefault="00AF7946" w:rsidP="00AF7946">
      <w:pPr>
        <w:rPr>
          <w:sz w:val="24"/>
          <w:szCs w:val="24"/>
        </w:rPr>
      </w:pPr>
      <w:r w:rsidRPr="00AF7946">
        <w:rPr>
          <w:sz w:val="24"/>
          <w:szCs w:val="24"/>
        </w:rPr>
        <w:fldChar w:fldCharType="end"/>
      </w:r>
    </w:p>
    <w:p w:rsidR="00467DFE" w:rsidRDefault="00467DFE" w:rsidP="00B733A2">
      <w:pPr>
        <w:rPr>
          <w:sz w:val="24"/>
          <w:szCs w:val="24"/>
        </w:rPr>
      </w:pPr>
    </w:p>
    <w:p w:rsidR="00467DFE" w:rsidRDefault="00467DFE" w:rsidP="00B733A2">
      <w:pPr>
        <w:rPr>
          <w:sz w:val="24"/>
          <w:szCs w:val="24"/>
        </w:rPr>
      </w:pPr>
    </w:p>
    <w:p w:rsidR="00467DFE" w:rsidRDefault="00467DFE" w:rsidP="00B733A2">
      <w:pPr>
        <w:rPr>
          <w:sz w:val="24"/>
          <w:szCs w:val="24"/>
        </w:rPr>
      </w:pPr>
    </w:p>
    <w:p w:rsidR="008127C7" w:rsidRDefault="008127C7" w:rsidP="00B733A2">
      <w:pPr>
        <w:rPr>
          <w:b/>
          <w:sz w:val="24"/>
          <w:szCs w:val="24"/>
          <w:u w:val="single"/>
        </w:rPr>
      </w:pPr>
    </w:p>
    <w:p w:rsidR="008127C7" w:rsidRDefault="008127C7" w:rsidP="00B733A2">
      <w:pPr>
        <w:rPr>
          <w:b/>
          <w:sz w:val="24"/>
          <w:szCs w:val="24"/>
          <w:u w:val="single"/>
        </w:rPr>
      </w:pPr>
    </w:p>
    <w:p w:rsidR="008127C7" w:rsidRDefault="008127C7" w:rsidP="00B733A2">
      <w:pPr>
        <w:rPr>
          <w:b/>
          <w:sz w:val="24"/>
          <w:szCs w:val="24"/>
          <w:u w:val="single"/>
        </w:rPr>
      </w:pPr>
    </w:p>
    <w:p w:rsidR="008127C7" w:rsidRDefault="008127C7" w:rsidP="00B733A2">
      <w:pPr>
        <w:rPr>
          <w:b/>
          <w:sz w:val="24"/>
          <w:szCs w:val="24"/>
          <w:u w:val="single"/>
        </w:rPr>
      </w:pPr>
    </w:p>
    <w:p w:rsidR="008127C7" w:rsidRDefault="008127C7" w:rsidP="00B733A2">
      <w:pPr>
        <w:rPr>
          <w:b/>
          <w:sz w:val="24"/>
          <w:szCs w:val="24"/>
          <w:u w:val="single"/>
        </w:rPr>
      </w:pPr>
    </w:p>
    <w:p w:rsidR="00CA5964" w:rsidRDefault="00CA5964" w:rsidP="00B733A2">
      <w:pPr>
        <w:rPr>
          <w:b/>
          <w:sz w:val="24"/>
          <w:szCs w:val="24"/>
          <w:u w:val="single"/>
        </w:rPr>
      </w:pPr>
    </w:p>
    <w:p w:rsidR="00467DFE" w:rsidRPr="00467DFE" w:rsidRDefault="00467DFE" w:rsidP="00B733A2">
      <w:pPr>
        <w:rPr>
          <w:b/>
          <w:sz w:val="24"/>
          <w:szCs w:val="24"/>
          <w:u w:val="single"/>
        </w:rPr>
      </w:pPr>
      <w:r w:rsidRPr="00467DFE">
        <w:rPr>
          <w:b/>
          <w:sz w:val="24"/>
          <w:szCs w:val="24"/>
          <w:u w:val="single"/>
        </w:rPr>
        <w:lastRenderedPageBreak/>
        <w:t>Appendix</w:t>
      </w:r>
    </w:p>
    <w:p w:rsidR="00467DFE" w:rsidRPr="00C16403" w:rsidRDefault="00467DFE" w:rsidP="00B733A2">
      <w:pPr>
        <w:rPr>
          <w:sz w:val="24"/>
          <w:szCs w:val="24"/>
        </w:rPr>
      </w:pPr>
      <w:r>
        <w:rPr>
          <w:sz w:val="24"/>
          <w:szCs w:val="24"/>
        </w:rPr>
        <w:t>Appendix 1 – SAMR model</w:t>
      </w:r>
    </w:p>
    <w:p w:rsidR="00670F4A" w:rsidRDefault="00E139B3" w:rsidP="00B733A2">
      <w:pPr>
        <w:rPr>
          <w:sz w:val="24"/>
          <w:szCs w:val="24"/>
        </w:rPr>
      </w:pPr>
      <w:r>
        <w:rPr>
          <w:noProof/>
          <w:lang w:eastAsia="en-GB"/>
        </w:rPr>
        <w:drawing>
          <wp:inline distT="0" distB="0" distL="0" distR="0" wp14:anchorId="1D2FD807" wp14:editId="4F7F3B9D">
            <wp:extent cx="5731510" cy="2865755"/>
            <wp:effectExtent l="0" t="0" r="2540" b="0"/>
            <wp:docPr id="2" name="Picture 2" descr="Purposefully Incorporating Technology into the Classroom Using the SAM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urposefully Incorporating Technology into the Classroom Using the SAMR  Mode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E139B3" w:rsidRPr="00B733A2" w:rsidRDefault="00E139B3" w:rsidP="00B733A2">
      <w:pPr>
        <w:rPr>
          <w:sz w:val="24"/>
          <w:szCs w:val="24"/>
        </w:rPr>
      </w:pPr>
      <w:r>
        <w:rPr>
          <w:sz w:val="24"/>
          <w:szCs w:val="24"/>
        </w:rPr>
        <w:t>(Smith, 2019)</w:t>
      </w:r>
    </w:p>
    <w:sectPr w:rsidR="00E139B3" w:rsidRPr="00B733A2" w:rsidSect="00B733A2">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01AB5" w:rsidRDefault="00801AB5" w:rsidP="00B733A2">
      <w:pPr>
        <w:spacing w:after="0" w:line="240" w:lineRule="auto"/>
      </w:pPr>
      <w:r>
        <w:separator/>
      </w:r>
    </w:p>
  </w:endnote>
  <w:endnote w:type="continuationSeparator" w:id="0">
    <w:p w:rsidR="00801AB5" w:rsidRDefault="00801AB5" w:rsidP="00B733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85556204"/>
      <w:docPartObj>
        <w:docPartGallery w:val="Page Numbers (Bottom of Page)"/>
        <w:docPartUnique/>
      </w:docPartObj>
    </w:sdtPr>
    <w:sdtEndPr/>
    <w:sdtContent>
      <w:sdt>
        <w:sdtPr>
          <w:id w:val="860082579"/>
          <w:docPartObj>
            <w:docPartGallery w:val="Page Numbers (Top of Page)"/>
            <w:docPartUnique/>
          </w:docPartObj>
        </w:sdtPr>
        <w:sdtEndPr/>
        <w:sdtContent>
          <w:p w:rsidR="00983838" w:rsidRDefault="0098383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6402AA">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402AA">
              <w:rPr>
                <w:b/>
                <w:bCs/>
                <w:noProof/>
              </w:rPr>
              <w:t>27</w:t>
            </w:r>
            <w:r>
              <w:rPr>
                <w:b/>
                <w:bCs/>
                <w:sz w:val="24"/>
                <w:szCs w:val="24"/>
              </w:rPr>
              <w:fldChar w:fldCharType="end"/>
            </w:r>
          </w:p>
        </w:sdtContent>
      </w:sdt>
    </w:sdtContent>
  </w:sdt>
  <w:p w:rsidR="00983838" w:rsidRDefault="0098383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01AB5" w:rsidRDefault="00801AB5" w:rsidP="00B733A2">
      <w:pPr>
        <w:spacing w:after="0" w:line="240" w:lineRule="auto"/>
      </w:pPr>
      <w:r>
        <w:separator/>
      </w:r>
    </w:p>
  </w:footnote>
  <w:footnote w:type="continuationSeparator" w:id="0">
    <w:p w:rsidR="00801AB5" w:rsidRDefault="00801AB5" w:rsidP="00B733A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83838" w:rsidRDefault="00983838">
    <w:pPr>
      <w:pStyle w:val="Header"/>
    </w:pPr>
    <w:r>
      <w:t>Keith Davies - 2005889</w:t>
    </w:r>
    <w:r>
      <w:ptab w:relativeTo="margin" w:alignment="center" w:leader="none"/>
    </w:r>
    <w:r>
      <w:t>UWTSD</w:t>
    </w:r>
    <w:r>
      <w:ptab w:relativeTo="margin" w:alignment="right" w:leader="none"/>
    </w:r>
    <w:r>
      <w:t>Module ECPT6006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C80361"/>
    <w:multiLevelType w:val="hybridMultilevel"/>
    <w:tmpl w:val="B0A2D3B8"/>
    <w:lvl w:ilvl="0" w:tplc="C0DE7820">
      <w:start w:val="1"/>
      <w:numFmt w:val="bullet"/>
      <w:lvlText w:val="•"/>
      <w:lvlJc w:val="left"/>
      <w:pPr>
        <w:tabs>
          <w:tab w:val="num" w:pos="720"/>
        </w:tabs>
        <w:ind w:left="720" w:hanging="360"/>
      </w:pPr>
      <w:rPr>
        <w:rFonts w:ascii="Arial" w:hAnsi="Arial" w:hint="default"/>
      </w:rPr>
    </w:lvl>
    <w:lvl w:ilvl="1" w:tplc="D3144808" w:tentative="1">
      <w:start w:val="1"/>
      <w:numFmt w:val="bullet"/>
      <w:lvlText w:val="•"/>
      <w:lvlJc w:val="left"/>
      <w:pPr>
        <w:tabs>
          <w:tab w:val="num" w:pos="1440"/>
        </w:tabs>
        <w:ind w:left="1440" w:hanging="360"/>
      </w:pPr>
      <w:rPr>
        <w:rFonts w:ascii="Arial" w:hAnsi="Arial" w:hint="default"/>
      </w:rPr>
    </w:lvl>
    <w:lvl w:ilvl="2" w:tplc="CD2A72A8" w:tentative="1">
      <w:start w:val="1"/>
      <w:numFmt w:val="bullet"/>
      <w:lvlText w:val="•"/>
      <w:lvlJc w:val="left"/>
      <w:pPr>
        <w:tabs>
          <w:tab w:val="num" w:pos="2160"/>
        </w:tabs>
        <w:ind w:left="2160" w:hanging="360"/>
      </w:pPr>
      <w:rPr>
        <w:rFonts w:ascii="Arial" w:hAnsi="Arial" w:hint="default"/>
      </w:rPr>
    </w:lvl>
    <w:lvl w:ilvl="3" w:tplc="FC840A40" w:tentative="1">
      <w:start w:val="1"/>
      <w:numFmt w:val="bullet"/>
      <w:lvlText w:val="•"/>
      <w:lvlJc w:val="left"/>
      <w:pPr>
        <w:tabs>
          <w:tab w:val="num" w:pos="2880"/>
        </w:tabs>
        <w:ind w:left="2880" w:hanging="360"/>
      </w:pPr>
      <w:rPr>
        <w:rFonts w:ascii="Arial" w:hAnsi="Arial" w:hint="default"/>
      </w:rPr>
    </w:lvl>
    <w:lvl w:ilvl="4" w:tplc="7E1C8854" w:tentative="1">
      <w:start w:val="1"/>
      <w:numFmt w:val="bullet"/>
      <w:lvlText w:val="•"/>
      <w:lvlJc w:val="left"/>
      <w:pPr>
        <w:tabs>
          <w:tab w:val="num" w:pos="3600"/>
        </w:tabs>
        <w:ind w:left="3600" w:hanging="360"/>
      </w:pPr>
      <w:rPr>
        <w:rFonts w:ascii="Arial" w:hAnsi="Arial" w:hint="default"/>
      </w:rPr>
    </w:lvl>
    <w:lvl w:ilvl="5" w:tplc="A274E2EE" w:tentative="1">
      <w:start w:val="1"/>
      <w:numFmt w:val="bullet"/>
      <w:lvlText w:val="•"/>
      <w:lvlJc w:val="left"/>
      <w:pPr>
        <w:tabs>
          <w:tab w:val="num" w:pos="4320"/>
        </w:tabs>
        <w:ind w:left="4320" w:hanging="360"/>
      </w:pPr>
      <w:rPr>
        <w:rFonts w:ascii="Arial" w:hAnsi="Arial" w:hint="default"/>
      </w:rPr>
    </w:lvl>
    <w:lvl w:ilvl="6" w:tplc="5F0849B2" w:tentative="1">
      <w:start w:val="1"/>
      <w:numFmt w:val="bullet"/>
      <w:lvlText w:val="•"/>
      <w:lvlJc w:val="left"/>
      <w:pPr>
        <w:tabs>
          <w:tab w:val="num" w:pos="5040"/>
        </w:tabs>
        <w:ind w:left="5040" w:hanging="360"/>
      </w:pPr>
      <w:rPr>
        <w:rFonts w:ascii="Arial" w:hAnsi="Arial" w:hint="default"/>
      </w:rPr>
    </w:lvl>
    <w:lvl w:ilvl="7" w:tplc="B11621C4" w:tentative="1">
      <w:start w:val="1"/>
      <w:numFmt w:val="bullet"/>
      <w:lvlText w:val="•"/>
      <w:lvlJc w:val="left"/>
      <w:pPr>
        <w:tabs>
          <w:tab w:val="num" w:pos="5760"/>
        </w:tabs>
        <w:ind w:left="5760" w:hanging="360"/>
      </w:pPr>
      <w:rPr>
        <w:rFonts w:ascii="Arial" w:hAnsi="Arial" w:hint="default"/>
      </w:rPr>
    </w:lvl>
    <w:lvl w:ilvl="8" w:tplc="9EBC09AA" w:tentative="1">
      <w:start w:val="1"/>
      <w:numFmt w:val="bullet"/>
      <w:lvlText w:val="•"/>
      <w:lvlJc w:val="left"/>
      <w:pPr>
        <w:tabs>
          <w:tab w:val="num" w:pos="6480"/>
        </w:tabs>
        <w:ind w:left="6480" w:hanging="360"/>
      </w:pPr>
      <w:rPr>
        <w:rFonts w:ascii="Arial" w:hAnsi="Arial" w:hint="default"/>
      </w:rPr>
    </w:lvl>
  </w:abstractNum>
  <w:abstractNum w:abstractNumId="1">
    <w:nsid w:val="58AC099E"/>
    <w:multiLevelType w:val="hybridMultilevel"/>
    <w:tmpl w:val="2E469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33A2"/>
    <w:rsid w:val="000124E8"/>
    <w:rsid w:val="00013C06"/>
    <w:rsid w:val="000162F9"/>
    <w:rsid w:val="000179AA"/>
    <w:rsid w:val="00017E71"/>
    <w:rsid w:val="000266D2"/>
    <w:rsid w:val="00031A01"/>
    <w:rsid w:val="00036722"/>
    <w:rsid w:val="00055BBD"/>
    <w:rsid w:val="00065199"/>
    <w:rsid w:val="000657AC"/>
    <w:rsid w:val="00071AA5"/>
    <w:rsid w:val="0007590C"/>
    <w:rsid w:val="00091BAE"/>
    <w:rsid w:val="000A2EE0"/>
    <w:rsid w:val="000A7265"/>
    <w:rsid w:val="000B1CDE"/>
    <w:rsid w:val="000D36B8"/>
    <w:rsid w:val="000E2068"/>
    <w:rsid w:val="000E3730"/>
    <w:rsid w:val="000E5E2C"/>
    <w:rsid w:val="000F5171"/>
    <w:rsid w:val="00107B37"/>
    <w:rsid w:val="00125C89"/>
    <w:rsid w:val="001320C4"/>
    <w:rsid w:val="00143AAA"/>
    <w:rsid w:val="00154092"/>
    <w:rsid w:val="00160875"/>
    <w:rsid w:val="00163229"/>
    <w:rsid w:val="0017453C"/>
    <w:rsid w:val="00177132"/>
    <w:rsid w:val="0018293E"/>
    <w:rsid w:val="0018452A"/>
    <w:rsid w:val="001938C2"/>
    <w:rsid w:val="001A1037"/>
    <w:rsid w:val="001A3931"/>
    <w:rsid w:val="001D09ED"/>
    <w:rsid w:val="001E0D92"/>
    <w:rsid w:val="001E2A9E"/>
    <w:rsid w:val="001E4150"/>
    <w:rsid w:val="001E5951"/>
    <w:rsid w:val="00205258"/>
    <w:rsid w:val="00213B8E"/>
    <w:rsid w:val="002151F8"/>
    <w:rsid w:val="00216231"/>
    <w:rsid w:val="0023113A"/>
    <w:rsid w:val="00231673"/>
    <w:rsid w:val="00252F44"/>
    <w:rsid w:val="00263285"/>
    <w:rsid w:val="002650C3"/>
    <w:rsid w:val="00275144"/>
    <w:rsid w:val="00275E23"/>
    <w:rsid w:val="00281328"/>
    <w:rsid w:val="002B5EBC"/>
    <w:rsid w:val="002C3AFC"/>
    <w:rsid w:val="00314A28"/>
    <w:rsid w:val="00322807"/>
    <w:rsid w:val="00333483"/>
    <w:rsid w:val="00342043"/>
    <w:rsid w:val="00342D47"/>
    <w:rsid w:val="00346B03"/>
    <w:rsid w:val="00347788"/>
    <w:rsid w:val="00366D5F"/>
    <w:rsid w:val="003761C4"/>
    <w:rsid w:val="00380308"/>
    <w:rsid w:val="00393CDF"/>
    <w:rsid w:val="00397207"/>
    <w:rsid w:val="003B1E5C"/>
    <w:rsid w:val="003B3ABF"/>
    <w:rsid w:val="003B62AB"/>
    <w:rsid w:val="003C2170"/>
    <w:rsid w:val="003C640A"/>
    <w:rsid w:val="003C7BB1"/>
    <w:rsid w:val="003D32BF"/>
    <w:rsid w:val="003E4C3A"/>
    <w:rsid w:val="00430CC1"/>
    <w:rsid w:val="00445DED"/>
    <w:rsid w:val="004476F0"/>
    <w:rsid w:val="00467DFE"/>
    <w:rsid w:val="00470CE3"/>
    <w:rsid w:val="00474DF8"/>
    <w:rsid w:val="004D0B95"/>
    <w:rsid w:val="004D0E27"/>
    <w:rsid w:val="004D26D3"/>
    <w:rsid w:val="004D3C9D"/>
    <w:rsid w:val="004D44BF"/>
    <w:rsid w:val="004E7D36"/>
    <w:rsid w:val="00500651"/>
    <w:rsid w:val="005064E9"/>
    <w:rsid w:val="00506505"/>
    <w:rsid w:val="0051021E"/>
    <w:rsid w:val="00551280"/>
    <w:rsid w:val="00592637"/>
    <w:rsid w:val="005A71E5"/>
    <w:rsid w:val="005D2F5B"/>
    <w:rsid w:val="00604F8F"/>
    <w:rsid w:val="00607F48"/>
    <w:rsid w:val="00611C37"/>
    <w:rsid w:val="0061343E"/>
    <w:rsid w:val="00622DE5"/>
    <w:rsid w:val="00623530"/>
    <w:rsid w:val="00623E02"/>
    <w:rsid w:val="006265B4"/>
    <w:rsid w:val="006331B3"/>
    <w:rsid w:val="006402AA"/>
    <w:rsid w:val="00643878"/>
    <w:rsid w:val="006602FA"/>
    <w:rsid w:val="00660EC1"/>
    <w:rsid w:val="00660F77"/>
    <w:rsid w:val="00667373"/>
    <w:rsid w:val="00670F4A"/>
    <w:rsid w:val="00682427"/>
    <w:rsid w:val="006A1709"/>
    <w:rsid w:val="006A196B"/>
    <w:rsid w:val="006A3212"/>
    <w:rsid w:val="006B1DEE"/>
    <w:rsid w:val="006B7647"/>
    <w:rsid w:val="006C2B47"/>
    <w:rsid w:val="006C3F93"/>
    <w:rsid w:val="006D3816"/>
    <w:rsid w:val="006E5162"/>
    <w:rsid w:val="00712DC0"/>
    <w:rsid w:val="00720C77"/>
    <w:rsid w:val="00727CC4"/>
    <w:rsid w:val="00735DC1"/>
    <w:rsid w:val="00744DCA"/>
    <w:rsid w:val="0076369B"/>
    <w:rsid w:val="007908EF"/>
    <w:rsid w:val="007A4B2B"/>
    <w:rsid w:val="007A75E8"/>
    <w:rsid w:val="007B5E0B"/>
    <w:rsid w:val="007D7CC4"/>
    <w:rsid w:val="007E03BD"/>
    <w:rsid w:val="007F1B78"/>
    <w:rsid w:val="007F2E33"/>
    <w:rsid w:val="00801AB5"/>
    <w:rsid w:val="008127C7"/>
    <w:rsid w:val="00815E4B"/>
    <w:rsid w:val="00817DF9"/>
    <w:rsid w:val="0082207B"/>
    <w:rsid w:val="008226D0"/>
    <w:rsid w:val="00825669"/>
    <w:rsid w:val="00830145"/>
    <w:rsid w:val="00837DCE"/>
    <w:rsid w:val="00861D1A"/>
    <w:rsid w:val="00875A05"/>
    <w:rsid w:val="008B4997"/>
    <w:rsid w:val="008C0006"/>
    <w:rsid w:val="008D3196"/>
    <w:rsid w:val="008E5E49"/>
    <w:rsid w:val="008F048E"/>
    <w:rsid w:val="00910E5A"/>
    <w:rsid w:val="0092216F"/>
    <w:rsid w:val="00923C2D"/>
    <w:rsid w:val="00952131"/>
    <w:rsid w:val="00976611"/>
    <w:rsid w:val="00983838"/>
    <w:rsid w:val="00993896"/>
    <w:rsid w:val="009A3689"/>
    <w:rsid w:val="009B2070"/>
    <w:rsid w:val="009C06F8"/>
    <w:rsid w:val="009C6BF3"/>
    <w:rsid w:val="009E4BA7"/>
    <w:rsid w:val="009F2696"/>
    <w:rsid w:val="009F3C11"/>
    <w:rsid w:val="009F5C25"/>
    <w:rsid w:val="009F5F99"/>
    <w:rsid w:val="00A13E04"/>
    <w:rsid w:val="00A168F2"/>
    <w:rsid w:val="00A276B3"/>
    <w:rsid w:val="00A43625"/>
    <w:rsid w:val="00A50671"/>
    <w:rsid w:val="00A51355"/>
    <w:rsid w:val="00A65C97"/>
    <w:rsid w:val="00A753D1"/>
    <w:rsid w:val="00A873B2"/>
    <w:rsid w:val="00A97D43"/>
    <w:rsid w:val="00AB1142"/>
    <w:rsid w:val="00AE0AEB"/>
    <w:rsid w:val="00AE510C"/>
    <w:rsid w:val="00AF7946"/>
    <w:rsid w:val="00B058A4"/>
    <w:rsid w:val="00B1356C"/>
    <w:rsid w:val="00B326A8"/>
    <w:rsid w:val="00B41124"/>
    <w:rsid w:val="00B427F2"/>
    <w:rsid w:val="00B51804"/>
    <w:rsid w:val="00B6059F"/>
    <w:rsid w:val="00B733A2"/>
    <w:rsid w:val="00B75542"/>
    <w:rsid w:val="00B83181"/>
    <w:rsid w:val="00B9465C"/>
    <w:rsid w:val="00B962BC"/>
    <w:rsid w:val="00BA4516"/>
    <w:rsid w:val="00BC03D6"/>
    <w:rsid w:val="00BF65B9"/>
    <w:rsid w:val="00C00F52"/>
    <w:rsid w:val="00C03A72"/>
    <w:rsid w:val="00C12242"/>
    <w:rsid w:val="00C1335F"/>
    <w:rsid w:val="00C142D6"/>
    <w:rsid w:val="00C16403"/>
    <w:rsid w:val="00C17FCD"/>
    <w:rsid w:val="00C31FED"/>
    <w:rsid w:val="00C354AF"/>
    <w:rsid w:val="00C94DB4"/>
    <w:rsid w:val="00CA0581"/>
    <w:rsid w:val="00CA5964"/>
    <w:rsid w:val="00CC0E5E"/>
    <w:rsid w:val="00CD02D5"/>
    <w:rsid w:val="00CD3DAC"/>
    <w:rsid w:val="00CE1400"/>
    <w:rsid w:val="00CE7F20"/>
    <w:rsid w:val="00D4154C"/>
    <w:rsid w:val="00D52507"/>
    <w:rsid w:val="00D65F06"/>
    <w:rsid w:val="00D75F1F"/>
    <w:rsid w:val="00D76524"/>
    <w:rsid w:val="00D8002B"/>
    <w:rsid w:val="00D81DE9"/>
    <w:rsid w:val="00DA0EED"/>
    <w:rsid w:val="00DB4043"/>
    <w:rsid w:val="00DC0E1D"/>
    <w:rsid w:val="00DC28D9"/>
    <w:rsid w:val="00DC36B2"/>
    <w:rsid w:val="00DD2007"/>
    <w:rsid w:val="00DF2113"/>
    <w:rsid w:val="00E139B3"/>
    <w:rsid w:val="00E216D0"/>
    <w:rsid w:val="00E51B06"/>
    <w:rsid w:val="00E5330D"/>
    <w:rsid w:val="00E53E3E"/>
    <w:rsid w:val="00E60BEA"/>
    <w:rsid w:val="00E618E1"/>
    <w:rsid w:val="00E6468B"/>
    <w:rsid w:val="00EC6B0E"/>
    <w:rsid w:val="00F15935"/>
    <w:rsid w:val="00F20023"/>
    <w:rsid w:val="00F25FBA"/>
    <w:rsid w:val="00F27790"/>
    <w:rsid w:val="00F5446C"/>
    <w:rsid w:val="00F62908"/>
    <w:rsid w:val="00F8281E"/>
    <w:rsid w:val="00F85F3C"/>
    <w:rsid w:val="00F90BEB"/>
    <w:rsid w:val="00FB5712"/>
    <w:rsid w:val="00FC53EA"/>
    <w:rsid w:val="00FD3EC9"/>
    <w:rsid w:val="00FD696F"/>
    <w:rsid w:val="00FE7794"/>
    <w:rsid w:val="00FF3823"/>
    <w:rsid w:val="00FF5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744DCA"/>
    <w:pPr>
      <w:keepNext/>
      <w:spacing w:after="0" w:line="240" w:lineRule="auto"/>
      <w:jc w:val="center"/>
      <w:outlineLvl w:val="1"/>
    </w:pPr>
    <w:rPr>
      <w:rFonts w:ascii="Calibri" w:eastAsia="Times New Roman" w:hAnsi="Calibri" w:cs="Times New Roman"/>
      <w:b/>
      <w:bCs/>
      <w:i/>
      <w:iCs/>
      <w:sz w:val="28"/>
      <w:szCs w:val="28"/>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33A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733A2"/>
    <w:rPr>
      <w:rFonts w:eastAsiaTheme="minorEastAsia"/>
      <w:lang w:val="en-US" w:eastAsia="ja-JP"/>
    </w:rPr>
  </w:style>
  <w:style w:type="paragraph" w:styleId="BalloonText">
    <w:name w:val="Balloon Text"/>
    <w:basedOn w:val="Normal"/>
    <w:link w:val="BalloonTextChar"/>
    <w:uiPriority w:val="99"/>
    <w:semiHidden/>
    <w:unhideWhenUsed/>
    <w:rsid w:val="00B733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33A2"/>
    <w:rPr>
      <w:rFonts w:ascii="Tahoma" w:hAnsi="Tahoma" w:cs="Tahoma"/>
      <w:sz w:val="16"/>
      <w:szCs w:val="16"/>
    </w:rPr>
  </w:style>
  <w:style w:type="paragraph" w:styleId="Header">
    <w:name w:val="header"/>
    <w:basedOn w:val="Normal"/>
    <w:link w:val="HeaderChar"/>
    <w:uiPriority w:val="99"/>
    <w:unhideWhenUsed/>
    <w:rsid w:val="00B733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3A2"/>
  </w:style>
  <w:style w:type="paragraph" w:styleId="Footer">
    <w:name w:val="footer"/>
    <w:basedOn w:val="Normal"/>
    <w:link w:val="FooterChar"/>
    <w:uiPriority w:val="99"/>
    <w:unhideWhenUsed/>
    <w:rsid w:val="00B733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3A2"/>
  </w:style>
  <w:style w:type="character" w:styleId="Hyperlink">
    <w:name w:val="Hyperlink"/>
    <w:basedOn w:val="DefaultParagraphFont"/>
    <w:uiPriority w:val="99"/>
    <w:unhideWhenUsed/>
    <w:rsid w:val="000179AA"/>
    <w:rPr>
      <w:color w:val="0000FF" w:themeColor="hyperlink"/>
      <w:u w:val="single"/>
    </w:rPr>
  </w:style>
  <w:style w:type="paragraph" w:styleId="FootnoteText">
    <w:name w:val="footnote text"/>
    <w:basedOn w:val="Normal"/>
    <w:link w:val="FootnoteTextChar"/>
    <w:uiPriority w:val="99"/>
    <w:semiHidden/>
    <w:unhideWhenUsed/>
    <w:rsid w:val="00314A2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14A28"/>
    <w:rPr>
      <w:sz w:val="20"/>
      <w:szCs w:val="20"/>
    </w:rPr>
  </w:style>
  <w:style w:type="character" w:styleId="FootnoteReference">
    <w:name w:val="footnote reference"/>
    <w:basedOn w:val="DefaultParagraphFont"/>
    <w:uiPriority w:val="99"/>
    <w:semiHidden/>
    <w:unhideWhenUsed/>
    <w:rsid w:val="00314A28"/>
    <w:rPr>
      <w:vertAlign w:val="superscript"/>
    </w:rPr>
  </w:style>
  <w:style w:type="character" w:customStyle="1" w:styleId="Heading2Char">
    <w:name w:val="Heading 2 Char"/>
    <w:basedOn w:val="DefaultParagraphFont"/>
    <w:link w:val="Heading2"/>
    <w:rsid w:val="00744DCA"/>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744DCA"/>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744DCA"/>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744DCA"/>
    <w:pPr>
      <w:spacing w:after="0" w:line="240" w:lineRule="auto"/>
    </w:pPr>
    <w:rPr>
      <w:rFonts w:ascii="Times New Roman" w:eastAsia="Times New Roman" w:hAnsi="Times New Roman" w:cs="Times New Roman"/>
      <w:b/>
      <w:bCs/>
      <w:sz w:val="20"/>
      <w:szCs w:val="20"/>
      <w:lang w:val="en-US"/>
    </w:rPr>
  </w:style>
  <w:style w:type="table" w:styleId="TableGrid">
    <w:name w:val="Table Grid"/>
    <w:basedOn w:val="TableNormal"/>
    <w:uiPriority w:val="39"/>
    <w:rsid w:val="00744DC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D81DE9"/>
    <w:pPr>
      <w:ind w:left="720"/>
      <w:contextualSpacing/>
    </w:pPr>
  </w:style>
  <w:style w:type="paragraph" w:styleId="Bibliography">
    <w:name w:val="Bibliography"/>
    <w:basedOn w:val="Normal"/>
    <w:next w:val="Normal"/>
    <w:uiPriority w:val="37"/>
    <w:unhideWhenUsed/>
    <w:rsid w:val="00AF794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744DCA"/>
    <w:pPr>
      <w:keepNext/>
      <w:spacing w:after="0" w:line="240" w:lineRule="auto"/>
      <w:jc w:val="center"/>
      <w:outlineLvl w:val="1"/>
    </w:pPr>
    <w:rPr>
      <w:rFonts w:ascii="Calibri" w:eastAsia="Times New Roman" w:hAnsi="Calibri" w:cs="Times New Roman"/>
      <w:b/>
      <w:bCs/>
      <w:i/>
      <w:iCs/>
      <w:sz w:val="28"/>
      <w:szCs w:val="28"/>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33A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733A2"/>
    <w:rPr>
      <w:rFonts w:eastAsiaTheme="minorEastAsia"/>
      <w:lang w:val="en-US" w:eastAsia="ja-JP"/>
    </w:rPr>
  </w:style>
  <w:style w:type="paragraph" w:styleId="BalloonText">
    <w:name w:val="Balloon Text"/>
    <w:basedOn w:val="Normal"/>
    <w:link w:val="BalloonTextChar"/>
    <w:uiPriority w:val="99"/>
    <w:semiHidden/>
    <w:unhideWhenUsed/>
    <w:rsid w:val="00B733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33A2"/>
    <w:rPr>
      <w:rFonts w:ascii="Tahoma" w:hAnsi="Tahoma" w:cs="Tahoma"/>
      <w:sz w:val="16"/>
      <w:szCs w:val="16"/>
    </w:rPr>
  </w:style>
  <w:style w:type="paragraph" w:styleId="Header">
    <w:name w:val="header"/>
    <w:basedOn w:val="Normal"/>
    <w:link w:val="HeaderChar"/>
    <w:uiPriority w:val="99"/>
    <w:unhideWhenUsed/>
    <w:rsid w:val="00B733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3A2"/>
  </w:style>
  <w:style w:type="paragraph" w:styleId="Footer">
    <w:name w:val="footer"/>
    <w:basedOn w:val="Normal"/>
    <w:link w:val="FooterChar"/>
    <w:uiPriority w:val="99"/>
    <w:unhideWhenUsed/>
    <w:rsid w:val="00B733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3A2"/>
  </w:style>
  <w:style w:type="character" w:styleId="Hyperlink">
    <w:name w:val="Hyperlink"/>
    <w:basedOn w:val="DefaultParagraphFont"/>
    <w:uiPriority w:val="99"/>
    <w:unhideWhenUsed/>
    <w:rsid w:val="000179AA"/>
    <w:rPr>
      <w:color w:val="0000FF" w:themeColor="hyperlink"/>
      <w:u w:val="single"/>
    </w:rPr>
  </w:style>
  <w:style w:type="paragraph" w:styleId="FootnoteText">
    <w:name w:val="footnote text"/>
    <w:basedOn w:val="Normal"/>
    <w:link w:val="FootnoteTextChar"/>
    <w:uiPriority w:val="99"/>
    <w:semiHidden/>
    <w:unhideWhenUsed/>
    <w:rsid w:val="00314A2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14A28"/>
    <w:rPr>
      <w:sz w:val="20"/>
      <w:szCs w:val="20"/>
    </w:rPr>
  </w:style>
  <w:style w:type="character" w:styleId="FootnoteReference">
    <w:name w:val="footnote reference"/>
    <w:basedOn w:val="DefaultParagraphFont"/>
    <w:uiPriority w:val="99"/>
    <w:semiHidden/>
    <w:unhideWhenUsed/>
    <w:rsid w:val="00314A28"/>
    <w:rPr>
      <w:vertAlign w:val="superscript"/>
    </w:rPr>
  </w:style>
  <w:style w:type="character" w:customStyle="1" w:styleId="Heading2Char">
    <w:name w:val="Heading 2 Char"/>
    <w:basedOn w:val="DefaultParagraphFont"/>
    <w:link w:val="Heading2"/>
    <w:rsid w:val="00744DCA"/>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744DCA"/>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744DCA"/>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744DCA"/>
    <w:pPr>
      <w:spacing w:after="0" w:line="240" w:lineRule="auto"/>
    </w:pPr>
    <w:rPr>
      <w:rFonts w:ascii="Times New Roman" w:eastAsia="Times New Roman" w:hAnsi="Times New Roman" w:cs="Times New Roman"/>
      <w:b/>
      <w:bCs/>
      <w:sz w:val="20"/>
      <w:szCs w:val="20"/>
      <w:lang w:val="en-US"/>
    </w:rPr>
  </w:style>
  <w:style w:type="table" w:styleId="TableGrid">
    <w:name w:val="Table Grid"/>
    <w:basedOn w:val="TableNormal"/>
    <w:uiPriority w:val="39"/>
    <w:rsid w:val="00744DC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D81DE9"/>
    <w:pPr>
      <w:ind w:left="720"/>
      <w:contextualSpacing/>
    </w:pPr>
  </w:style>
  <w:style w:type="paragraph" w:styleId="Bibliography">
    <w:name w:val="Bibliography"/>
    <w:basedOn w:val="Normal"/>
    <w:next w:val="Normal"/>
    <w:uiPriority w:val="37"/>
    <w:unhideWhenUsed/>
    <w:rsid w:val="00AF79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image" Target="media/image8.jp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microsoft.com/office/2007/relationships/stylesWithEffects" Target="stylesWithEffects.xml"/><Relationship Id="rId15" Type="http://schemas.openxmlformats.org/officeDocument/2006/relationships/image" Target="media/image6.jpeg"/><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2023-12-07T00:00:00</PublishDate>
  <Abstract>5000 words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Abi22</b:Tag>
    <b:SourceType>JournalArticle</b:SourceType>
    <b:Guid>{D18A4256-6273-401B-B6B7-8283B984AE6F}</b:Guid>
    <b:Author>
      <b:Author>
        <b:NameList>
          <b:Person>
            <b:Last>Haleem</b:Last>
            <b:First>Abid</b:First>
          </b:Person>
        </b:NameList>
      </b:Author>
    </b:Author>
    <b:Title>Understanding the Role of Digital Technologies in Education: A Review</b:Title>
    <b:JournalName>Sustainable Operations and Computers</b:JournalName>
    <b:Year>2022</b:Year>
    <b:Pages>275-285</b:Pages>
    <b:Volume>3</b:Volume>
    <b:Issue>1</b:Issue>
    <b:RefOrder>3</b:RefOrder>
  </b:Source>
  <b:Source>
    <b:Tag>Rob14</b:Tag>
    <b:SourceType>JournalArticle</b:SourceType>
    <b:Guid>{559D0459-8CA3-4483-8DF6-B8D11F487D96}</b:Guid>
    <b:Author>
      <b:Author>
        <b:NameList>
          <b:Person>
            <b:Last>Fichman</b:Last>
            <b:First>Robert</b:First>
          </b:Person>
        </b:NameList>
      </b:Author>
    </b:Author>
    <b:Title>Digital Innovation as a Fundamental and Powerful Concept in the Information Systems Curriculum</b:Title>
    <b:JournalName>MIS Quarterly</b:JournalName>
    <b:Year>2014</b:Year>
    <b:Pages>329-254</b:Pages>
    <b:Volume>38</b:Volume>
    <b:Issue>2</b:Issue>
    <b:RefOrder>4</b:RefOrder>
  </b:Source>
  <b:Source>
    <b:Tag>Moh22</b:Tag>
    <b:SourceType>JournalArticle</b:SourceType>
    <b:Guid>{FF1518FC-18F1-47E5-9C16-8BFD8E1BD320}</b:Guid>
    <b:Author>
      <b:Author>
        <b:NameList>
          <b:Person>
            <b:Last>Hashim</b:Last>
            <b:First>Mohamed</b:First>
          </b:Person>
        </b:NameList>
      </b:Author>
    </b:Author>
    <b:Title>Higher Education Strategy in Digital Transformation</b:Title>
    <b:JournalName>Education and Information Technologies</b:JournalName>
    <b:Year>2022</b:Year>
    <b:Pages>3171-3195</b:Pages>
    <b:Volume>27</b:Volume>
    <b:Issue>2</b:Issue>
    <b:RefOrder>5</b:RefOrder>
  </b:Source>
  <b:Source>
    <b:Tag>Jua21</b:Tag>
    <b:SourceType>JournalArticle</b:SourceType>
    <b:Guid>{0E26B160-4D99-4197-8FF1-1CCB731F4E5F}</b:Guid>
    <b:Title>Teaching and Learning in Times of COVID-19: Uses of Digital Technologies During School Lockdowns</b:Title>
    <b:JournalName>Frontiers in Psychology</b:JournalName>
    <b:Year>2021</b:Year>
    <b:Pages>1-13</b:Pages>
    <b:Volume>12</b:Volume>
    <b:Issue>656776</b:Issue>
    <b:Author>
      <b:Author>
        <b:NameList>
          <b:Person>
            <b:Last>Pozo</b:Last>
            <b:First>Juan</b:First>
          </b:Person>
        </b:NameList>
      </b:Author>
    </b:Author>
    <b:RefOrder>6</b:RefOrder>
  </b:Source>
  <b:Source>
    <b:Tag>Wan15</b:Tag>
    <b:SourceType>JournalArticle</b:SourceType>
    <b:Guid>{FE555B8D-420F-4137-B200-E15AEF4BD9A2}</b:Guid>
    <b:Author>
      <b:Author>
        <b:NameList>
          <b:Person>
            <b:Last>Ng</b:Last>
            <b:First>Wan</b:First>
          </b:Person>
        </b:NameList>
      </b:Author>
    </b:Author>
    <b:Title>Adopting New Digital Technologies in Education</b:Title>
    <b:JournalName>New Digital Technology in Education</b:JournalName>
    <b:Year>2015</b:Year>
    <b:Pages>25-48</b:Pages>
    <b:Volume>2</b:Volume>
    <b:Issue>1</b:Issue>
    <b:RefOrder>7</b:RefOrder>
  </b:Source>
  <b:Source>
    <b:Tag>Aid23</b:Tag>
    <b:SourceType>JournalArticle</b:SourceType>
    <b:Guid>{987F4AF5-522C-4791-98E4-E22F78AD44E7}</b:Guid>
    <b:Author>
      <b:Author>
        <b:NameList>
          <b:Person>
            <b:Last>McCarthy</b:Last>
            <b:First>Aiden</b:First>
          </b:Person>
        </b:NameList>
      </b:Author>
    </b:Author>
    <b:Title>Digital Transformation in Education: Critical Components for Leaders of System Change </b:Title>
    <b:JournalName>Social Sciences and Humanities Open</b:JournalName>
    <b:Year>2023</b:Year>
    <b:Pages>100479</b:Pages>
    <b:Volume>8</b:Volume>
    <b:Issue>1</b:Issue>
    <b:RefOrder>8</b:RefOrder>
  </b:Source>
  <b:Source>
    <b:Tag>Tho23</b:Tag>
    <b:SourceType>JournalArticle</b:SourceType>
    <b:Guid>{2C0DA721-FDCA-4808-9716-FEF4DF79BEB8}</b:Guid>
    <b:Author>
      <b:Author>
        <b:NameList>
          <b:Person>
            <b:Last>Gkrimpizi</b:Last>
            <b:First>Thomais</b:First>
          </b:Person>
        </b:NameList>
      </b:Author>
    </b:Author>
    <b:Title>Classification of Barriers to Digital Transformation in Higher Education Institutions: Systematic Literature Review</b:Title>
    <b:JournalName>Education Sciences</b:JournalName>
    <b:Year>2023</b:Year>
    <b:Pages>746</b:Pages>
    <b:Volume>13</b:Volume>
    <b:Issue>7</b:Issue>
    <b:RefOrder>9</b:RefOrder>
  </b:Source>
  <b:Source>
    <b:Tag>Amr21</b:Tag>
    <b:SourceType>JournalArticle</b:SourceType>
    <b:Guid>{FF178A42-0CA7-417B-82C0-E1E59BB29428}</b:Guid>
    <b:Author>
      <b:Author>
        <b:NameList>
          <b:Person>
            <b:Last>Adel</b:Last>
            <b:First>Amr</b:First>
          </b:Person>
        </b:NameList>
      </b:Author>
    </b:Author>
    <b:Title>Towards an Intelligent Blended System of Learning Activities Model for New Zealand Institutions: An Investigative Approach</b:Title>
    <b:JournalName>Humanities and Social Sciences Communications</b:JournalName>
    <b:Year>2021</b:Year>
    <b:Pages>1-14</b:Pages>
    <b:Volume>8</b:Volume>
    <b:Issue>72</b:Issue>
    <b:RefOrder>10</b:RefOrder>
  </b:Source>
  <b:Source>
    <b:Tag>Har23</b:Tag>
    <b:SourceType>JournalArticle</b:SourceType>
    <b:Guid>{8C9EA7DE-0B89-4CF6-9BCB-08AFDF5004C1}</b:Guid>
    <b:Author>
      <b:Author>
        <b:NameList>
          <b:Person>
            <b:Last>Yang</b:Last>
            <b:First>Harrison</b:First>
          </b:Person>
        </b:NameList>
      </b:Author>
    </b:Author>
    <b:Title>Unleashing the Potentials of Flexible Education with Pedagogical and Technological Innovations</b:Title>
    <b:JournalName>Sustainabiloty </b:JournalName>
    <b:Year>2023</b:Year>
    <b:Pages>14915</b:Pages>
    <b:Volume>15</b:Volume>
    <b:Issue>20</b:Issue>
    <b:RefOrder>11</b:RefOrder>
  </b:Source>
  <b:Source>
    <b:Tag>Yun22</b:Tag>
    <b:SourceType>JournalArticle</b:SourceType>
    <b:Guid>{A3810900-253F-4E2E-9216-97DBCEECFD34}</b:Guid>
    <b:Author>
      <b:Author>
        <b:NameList>
          <b:Person>
            <b:Last>Li</b:Last>
            <b:First>Yun</b:First>
          </b:Person>
        </b:NameList>
      </b:Author>
    </b:Author>
    <b:Title>Using Emerging Technologies to Promote Creativity in Education: A Systematic Review</b:Title>
    <b:JournalName>International Journal of Educational Research Open</b:JournalName>
    <b:Year>2022</b:Year>
    <b:Pages>100177</b:Pages>
    <b:Volume>3</b:Volume>
    <b:Issue>1</b:Issue>
    <b:RefOrder>1</b:RefOrder>
  </b:Source>
  <b:Source>
    <b:Tag>Nic191</b:Tag>
    <b:SourceType>JournalArticle</b:SourceType>
    <b:Guid>{9DE1C22E-13AB-4621-BC80-BD98BB5214FF}</b:Guid>
    <b:Title>Managing for Competency with Innovation Change in Higher Education: Examining the Pitfalls and Pivots of Digital Transformation</b:Title>
    <b:Year>2019</b:Year>
    <b:Pages>716-772</b:Pages>
    <b:Author>
      <b:Author>
        <b:NameList>
          <b:Person>
            <b:Last>Jackson</b:Last>
            <b:First>Nicole</b:First>
          </b:Person>
        </b:NameList>
      </b:Author>
    </b:Author>
    <b:JournalName>Business Horizons</b:JournalName>
    <b:Volume>62</b:Volume>
    <b:Issue>6</b:Issue>
    <b:RefOrder>12</b:RefOrder>
  </b:Source>
  <b:Source>
    <b:Tag>Phi07</b:Tag>
    <b:SourceType>BookSection</b:SourceType>
    <b:Guid>{FA4C1AC2-3DBA-4F76-9882-0B28021F2F75}</b:Guid>
    <b:Title>Why Teach Smarter</b:Title>
    <b:Year>2007</b:Year>
    <b:Pages>11</b:Pages>
    <b:Author>
      <b:Author>
        <b:NameList>
          <b:Person>
            <b:Last>Race</b:Last>
            <b:First>Phil</b:First>
          </b:Person>
        </b:NameList>
      </b:Author>
      <b:Editor>
        <b:NameList>
          <b:Person>
            <b:Last>Race</b:Last>
            <b:First>Phil</b:First>
          </b:Person>
        </b:NameList>
      </b:Editor>
    </b:Author>
    <b:BookTitle>Making Teaching Work</b:BookTitle>
    <b:City>London</b:City>
    <b:Publisher>Sage Publications</b:Publisher>
    <b:RefOrder>13</b:RefOrder>
  </b:Source>
  <b:Source>
    <b:Tag>Con05</b:Tag>
    <b:SourceType>JournalArticle</b:SourceType>
    <b:Guid>{6DFF978D-8E12-48EF-B46E-B92FBCBB7097}</b:Guid>
    <b:Author>
      <b:Author>
        <b:NameList>
          <b:Person>
            <b:Last>Concannon</b:Last>
            <b:First>Fionna</b:First>
          </b:Person>
        </b:NameList>
      </b:Author>
    </b:Author>
    <b:Title>What Campus Based Students think abouot the Quality and Benefits of E-Learning</b:Title>
    <b:Year>2005</b:Year>
    <b:Pages>501-512</b:Pages>
    <b:JournalName>British Journal of Educational Technology</b:JournalName>
    <b:Volume>36</b:Volume>
    <b:Issue>3</b:Issue>
    <b:RefOrder>14</b:RefOrder>
  </b:Source>
  <b:Source>
    <b:Tag>Vas21</b:Tag>
    <b:SourceType>JournalArticle</b:SourceType>
    <b:Guid>{D6E80782-B854-4839-B1EF-AB887A886F36}</b:Guid>
    <b:Author>
      <b:Author>
        <b:NameList>
          <b:Person>
            <b:Last>Gherhes</b:Last>
            <b:First>Vasile</b:First>
          </b:Person>
        </b:NameList>
      </b:Author>
    </b:Author>
    <b:Title>E-Learning vs. Face-To-Face Learning: Analyzing Students’ Preferences and Behaviors</b:Title>
    <b:JournalName>Sustainability</b:JournalName>
    <b:Year>2021</b:Year>
    <b:Pages>4381</b:Pages>
    <b:Volume>13</b:Volume>
    <b:Issue>8</b:Issue>
    <b:RefOrder>15</b:RefOrder>
  </b:Source>
  <b:Source>
    <b:Tag>Anu09</b:Tag>
    <b:SourceType>Report</b:SourceType>
    <b:Guid>{F1A6DC2D-90FE-4D17-AD2A-0E864A9A58F0}</b:Guid>
    <b:Title>Innovation and Creativity in Education and Training in the EU Member States: Fostering Creative Learning and Supporting Innovative Teaching </b:Title>
    <b:Year>2009</b:Year>
    <b:Author>
      <b:Author>
        <b:NameList>
          <b:Person>
            <b:Last>Ferrari</b:Last>
            <b:First>Anusca</b:First>
          </b:Person>
        </b:NameList>
      </b:Author>
    </b:Author>
    <b:Publisher>European Communities</b:Publisher>
    <b:City>Luxembourg</b:City>
    <b:RefOrder>16</b:RefOrder>
  </b:Source>
  <b:Source>
    <b:Tag>Lor23</b:Tag>
    <b:SourceType>JournalArticle</b:SourceType>
    <b:Guid>{31320722-989F-4E3E-B69A-42382EAF6365}</b:Guid>
    <b:Title>Compassionate Pedagogy for Neurodiversity in Higher Education: A Conceptual Analysis</b:Title>
    <b:Year>2023</b:Year>
    <b:Author>
      <b:Author>
        <b:NameList>
          <b:Person>
            <b:Last>Hamilton</b:Last>
            <b:First>Lorna</b:First>
          </b:Person>
        </b:NameList>
      </b:Author>
    </b:Author>
    <b:JournalName>Frontiers in Psychology</b:JournalName>
    <b:Pages>1-9</b:Pages>
    <b:Volume>14</b:Volume>
    <b:Issue>1</b:Issue>
    <b:RefOrder>17</b:RefOrder>
  </b:Source>
  <b:Source>
    <b:Tag>Eka23</b:Tag>
    <b:SourceType>JournalArticle</b:SourceType>
    <b:Guid>{CA3BB2C6-004C-45B5-AEE3-C76412FC5F7A}</b:Guid>
    <b:Author>
      <b:Author>
        <b:NameList>
          <b:Person>
            <b:Last>Sviridova</b:Last>
            <b:First>Ekaterina</b:First>
          </b:Person>
        </b:NameList>
      </b:Author>
    </b:Author>
    <b:Title>Immersive Technologies as an Innovative Tool to Increase Academic Success and Motivation in Higher Education</b:Title>
    <b:JournalName>Frontiers in Education</b:JournalName>
    <b:Year>2023</b:Year>
    <b:Pages>1-10</b:Pages>
    <b:Volume>8</b:Volume>
    <b:Issue>11</b:Issue>
    <b:RefOrder>18</b:RefOrder>
  </b:Source>
  <b:Source>
    <b:Tag>Ter19</b:Tag>
    <b:SourceType>BookSection</b:SourceType>
    <b:Guid>{DF638055-622D-4F32-9C6E-57CA41AB6C66}</b:Guid>
    <b:Title>Learning Theory and the New Science of Learning</b:Title>
    <b:Year>2019</b:Year>
    <b:Pages>17</b:Pages>
    <b:Author>
      <b:Author>
        <b:NameList>
          <b:Person>
            <b:Last>Mayes</b:Last>
            <b:First>Terry</b:First>
          </b:Person>
        </b:NameList>
      </b:Author>
      <b:Editor>
        <b:NameList>
          <b:Person>
            <b:Last>Beetham</b:Last>
            <b:First>Helen</b:First>
          </b:Person>
        </b:NameList>
      </b:Editor>
    </b:Author>
    <b:BookTitle>Re-Thinking Pedagogy for a Digital Age: Principles and Practices of Design</b:BookTitle>
    <b:City>London</b:City>
    <b:Publisher>Routledge</b:Publisher>
    <b:RefOrder>19</b:RefOrder>
  </b:Source>
  <b:Source>
    <b:Tag>Ter04</b:Tag>
    <b:SourceType>Report</b:SourceType>
    <b:Guid>{41818864-D210-4533-BAC7-FC1FB88D9EC3}</b:Guid>
    <b:Title>Review of E-Learning Theories, Frameworks and Models. JISC Models Report</b:Title>
    <b:Year>2004</b:Year>
    <b:City>Perth</b:City>
    <b:Publisher>Murdoch University</b:Publisher>
    <b:Author>
      <b:Author>
        <b:NameList>
          <b:Person>
            <b:Last>Mayes</b:Last>
            <b:First>Terry</b:First>
          </b:Person>
        </b:NameList>
      </b:Author>
    </b:Author>
    <b:RefOrder>20</b:RefOrder>
  </b:Source>
  <b:Source>
    <b:Tag>Kin22</b:Tag>
    <b:SourceType>JournalArticle</b:SourceType>
    <b:Guid>{74CAAE32-9895-45F9-B05A-68E5899D7FA7}</b:Guid>
    <b:Title>Advantages and Disadvantages of E-Learning Innovations during COVID-19 Pandemic in Higher Education in Poland</b:Title>
    <b:Year>2022</b:Year>
    <b:Author>
      <b:Author>
        <b:NameList>
          <b:Person>
            <b:Last>Stecula</b:Last>
            <b:First>Kinga</b:First>
          </b:Person>
        </b:NameList>
      </b:Author>
    </b:Author>
    <b:JournalName>Journal of Open Innovation: Technology, Market and Complexity</b:JournalName>
    <b:Pages>158</b:Pages>
    <b:Volume>8</b:Volume>
    <b:Issue>3</b:Issue>
    <b:RefOrder>21</b:RefOrder>
  </b:Source>
  <b:Source>
    <b:Tag>Fat20</b:Tag>
    <b:SourceType>JournalArticle</b:SourceType>
    <b:Guid>{2AF1C28B-3525-4BE0-A5C0-50687B43619F}</b:Guid>
    <b:Author>
      <b:Author>
        <b:NameList>
          <b:Person>
            <b:Last>Albrahim</b:Last>
            <b:First>Fatimah</b:First>
          </b:Person>
        </b:NameList>
      </b:Author>
    </b:Author>
    <b:Title>Online Teaching Skills and Competencies</b:Title>
    <b:JournalName>The Turkish Online Journal of Educational Technologies</b:JournalName>
    <b:Year>2020</b:Year>
    <b:Pages>9-20</b:Pages>
    <b:Volume>19</b:Volume>
    <b:Issue>1</b:Issue>
    <b:RefOrder>22</b:RefOrder>
  </b:Source>
  <b:Source>
    <b:Tag>Yue22</b:Tag>
    <b:SourceType>JournalArticle</b:SourceType>
    <b:Guid>{135B75AA-313C-47D5-A54A-FAD95E9F9175}</b:Guid>
    <b:Author>
      <b:Author>
        <b:NameList>
          <b:Person>
            <b:Last>Liu</b:Last>
            <b:First>Yue</b:First>
          </b:Person>
        </b:NameList>
      </b:Author>
    </b:Author>
    <b:Title>The Impact of Teacher Competence in Online Teaching on Perceived Online Learning Outcomes during the COVID-19 Outbreak: A Moderated-Mediation Model of Teacher Resilience and Age</b:Title>
    <b:JournalName>International Journal of Environmental Researchand Public Health</b:JournalName>
    <b:Year>2022</b:Year>
    <b:Pages>6282</b:Pages>
    <b:Volume>19</b:Volume>
    <b:Issue>10</b:Issue>
    <b:RefOrder>23</b:RefOrder>
  </b:Source>
  <b:Source>
    <b:Tag>Gio21</b:Tag>
    <b:SourceType>JournalArticle</b:SourceType>
    <b:Guid>{627D797C-B8C2-45B5-9FF1-5D5CE8B92BFD}</b:Guid>
    <b:Author>
      <b:Author>
        <b:NameList>
          <b:Person>
            <b:Last>Schiuma</b:Last>
            <b:First>Giovanni</b:First>
          </b:Person>
        </b:NameList>
      </b:Author>
    </b:Author>
    <b:Title>How Wise Companies Drive Digital Transformation</b:Title>
    <b:JournalName>Journal of Open Innovation: Technology, Market and Complexity</b:JournalName>
    <b:Year>2021</b:Year>
    <b:Pages>122</b:Pages>
    <b:Volume>7</b:Volume>
    <b:Issue>2</b:Issue>
    <b:RefOrder>24</b:RefOrder>
  </b:Source>
  <b:Source>
    <b:Tag>Afa23</b:Tag>
    <b:SourceType>JournalArticle</b:SourceType>
    <b:Guid>{C8F7C9B2-73ED-43D9-8885-2983DB9E2A74}</b:Guid>
    <b:Author>
      <b:Author>
        <b:NameList>
          <b:Person>
            <b:Last>Uzorka</b:Last>
            <b:First>Afam</b:First>
          </b:Person>
        </b:NameList>
      </b:Author>
    </b:Author>
    <b:Title>Modern Technology Adoption and Professional Development of Lecturers</b:Title>
    <b:JournalName>Education and Information Technologies</b:JournalName>
    <b:Year>2023</b:Year>
    <b:Pages>14693-14719</b:Pages>
    <b:Volume>28</b:Volume>
    <b:Issue>1</b:Issue>
    <b:RefOrder>25</b:RefOrder>
  </b:Source>
  <b:Source>
    <b:Tag>Chr21</b:Tag>
    <b:SourceType>JournalArticle</b:SourceType>
    <b:Guid>{4FCF412A-528F-443D-98B9-69E3DA126D6D}</b:Guid>
    <b:Author>
      <b:Author>
        <b:NameList>
          <b:Person>
            <b:Last>Rapanta</b:Last>
            <b:First>Chrysi</b:First>
          </b:Person>
        </b:NameList>
      </b:Author>
    </b:Author>
    <b:Title>Balancing Technology, Pedagogy and the New Normal: Post-pandemic Challenges for Higher Education</b:Title>
    <b:JournalName>Postdigital Science and Education </b:JournalName>
    <b:Year>2021</b:Year>
    <b:Pages>715-742</b:Pages>
    <b:Volume>3</b:Volume>
    <b:Issue>1</b:Issue>
    <b:RefOrder>26</b:RefOrder>
  </b:Source>
  <b:Source>
    <b:Tag>Ger22</b:Tag>
    <b:SourceType>JournalArticle</b:SourceType>
    <b:Guid>{53E4850A-C713-42A9-A8F0-BFE1C879C206}</b:Guid>
    <b:Author>
      <b:Author>
        <b:NameList>
          <b:Person>
            <b:Last>Fischer</b:Last>
            <b:First>Gerhard</b:First>
          </b:Person>
        </b:NameList>
      </b:Author>
    </b:Author>
    <b:Title>The Challenge for the Digital Age: Making Learning a Part of Life</b:Title>
    <b:JournalName>International Journal of Information and Learning Technology</b:JournalName>
    <b:Year>2022</b:Year>
    <b:Pages>1-16</b:Pages>
    <b:Volume>40</b:Volume>
    <b:Issue>1</b:Issue>
    <b:RefOrder>27</b:RefOrder>
  </b:Source>
  <b:Source>
    <b:Tag>Per18</b:Tag>
    <b:SourceType>JournalArticle</b:SourceType>
    <b:Guid>{B1FD32F7-3E51-4C11-A6A1-1AAB0C853B0C}</b:Guid>
    <b:Author>
      <b:Author>
        <b:NameList>
          <b:Person>
            <b:Last>Nilsson</b:Last>
            <b:First>Pernilla</b:First>
          </b:Person>
        </b:NameList>
      </b:Author>
    </b:Author>
    <b:Title>Design for Learning - Involving Teachers in Digital Didactic Design</b:Title>
    <b:JournalName>Interactive Technology and Smart Education</b:JournalName>
    <b:Year>2018</b:Year>
    <b:Pages>142-159</b:Pages>
    <b:Volume>20</b:Volume>
    <b:Issue>1</b:Issue>
    <b:RefOrder>28</b:RefOrder>
  </b:Source>
  <b:Source>
    <b:Tag>Abd22</b:Tag>
    <b:SourceType>JournalArticle</b:SourceType>
    <b:Guid>{2C815AF5-010E-487D-8AA6-02D6A21230A0}</b:Guid>
    <b:Author>
      <b:Author>
        <b:NameList>
          <b:Person>
            <b:Last>Maatuk</b:Last>
            <b:First>Abdelsalam</b:First>
          </b:Person>
        </b:NameList>
      </b:Author>
    </b:Author>
    <b:Title>The COVID-19 Pandemic and E-Learning: Chalenges and Opportunities from the Perspective of Students and Instructors</b:Title>
    <b:JournalName>Journal of Computing in Higher Education</b:JournalName>
    <b:Year>2022</b:Year>
    <b:Pages>21-38</b:Pages>
    <b:Volume>34</b:Volume>
    <b:Issue>1</b:Issue>
    <b:RefOrder>29</b:RefOrder>
  </b:Source>
  <b:Source>
    <b:Tag>Liv12</b:Tag>
    <b:SourceType>JournalArticle</b:SourceType>
    <b:Guid>{0B8C3192-A3E4-4976-AE7C-6DD3EDD4E155}</b:Guid>
    <b:Author>
      <b:Author>
        <b:NameList>
          <b:Person>
            <b:Last>Stefan</b:Last>
            <b:First>Livia</b:First>
          </b:Person>
        </b:NameList>
      </b:Author>
    </b:Author>
    <b:Title>Immersive Collaborative Environments for Teaching and Learning Traditional Design</b:Title>
    <b:JournalName>Procedia - Social and Behavioural Sciences</b:JournalName>
    <b:Year>2012</b:Year>
    <b:Pages>1056-1060</b:Pages>
    <b:Volume>51</b:Volume>
    <b:Issue>1</b:Issue>
    <b:RefOrder>30</b:RefOrder>
  </b:Source>
  <b:Source>
    <b:Tag>Ann18</b:Tag>
    <b:SourceType>JournalArticle</b:SourceType>
    <b:Guid>{0BFA9B29-0839-4F73-AB2E-58BF83686199}</b:Guid>
    <b:Author>
      <b:Author>
        <b:NameList>
          <b:Person>
            <b:Last>Zolyomi</b:Last>
            <b:First>Annuska</b:First>
          </b:Person>
        </b:NameList>
      </b:Author>
    </b:Author>
    <b:Title>Values, Identity, and Social Translucence: Neurodiverse Student Teams in Higher Education</b:Title>
    <b:JournalName>Conference on Human Factors in Computing Systems</b:JournalName>
    <b:Year>2018</b:Year>
    <b:Pages>1-13</b:Pages>
    <b:Volume>1</b:Volume>
    <b:Issue>1</b:Issue>
    <b:RefOrder>31</b:RefOrder>
  </b:Source>
  <b:Source>
    <b:Tag>Con23</b:Tag>
    <b:SourceType>JournalArticle</b:SourceType>
    <b:Guid>{83CFF7BF-C451-4504-AB69-50644FEC0D8D}</b:Guid>
    <b:Author>
      <b:Author>
        <b:NameList>
          <b:Person>
            <b:Last>Syharat</b:Last>
            <b:First>Connie</b:First>
          </b:Person>
        </b:NameList>
      </b:Author>
    </b:Author>
    <b:Title>Experiences of Neurodivergent Students in Graduate STEM Programs</b:Title>
    <b:JournalName>Frontiers in Psychology</b:JournalName>
    <b:Year>2023</b:Year>
    <b:Pages>1-16</b:Pages>
    <b:Volume>15</b:Volume>
    <b:Issue>14</b:Issue>
    <b:RefOrder>32</b:RefOrder>
  </b:Source>
  <b:Source>
    <b:Tag>Mat23</b:Tag>
    <b:SourceType>JournalArticle</b:SourceType>
    <b:Guid>{EF2933D9-D2A9-4A26-912B-6E311449E664}</b:Guid>
    <b:Author>
      <b:Author>
        <b:NameList>
          <b:Person>
            <b:Last>Schmidt</b:Last>
            <b:First>Matthew</b:First>
          </b:Person>
        </b:NameList>
      </b:Author>
    </b:Author>
    <b:Title>Towards a Strengths Based Model for Designing Virtual Reality Experiences for Autistic Learners</b:Title>
    <b:JournalName>Autism</b:JournalName>
    <b:Year>2023</b:Year>
    <b:Pages>1-5</b:Pages>
    <b:Volume>1</b:Volume>
    <b:Issue>1</b:Issue>
    <b:RefOrder>33</b:RefOrder>
  </b:Source>
  <b:Source>
    <b:Tag>Ali20</b:Tag>
    <b:SourceType>JournalArticle</b:SourceType>
    <b:Guid>{AF7ADD5F-5DAA-4EFE-A1BF-19D8CA6437A2}</b:Guid>
    <b:Author>
      <b:Author>
        <b:NameList>
          <b:Person>
            <b:Last>Hayat</b:Last>
            <b:First>Ali</b:First>
          </b:Person>
        </b:NameList>
      </b:Author>
    </b:Author>
    <b:Title>Relationships between Academic Self Efficacy, Learning Related Emotions and Metacognitive Learning Strategies with Academic Performance in Medical Students: A Structural Equation Model</b:Title>
    <b:JournalName>BMC Medical Education</b:JournalName>
    <b:Year>2020</b:Year>
    <b:Pages>1-11</b:Pages>
    <b:Volume>20</b:Volume>
    <b:Issue>76</b:Issue>
    <b:RefOrder>34</b:RefOrder>
  </b:Source>
  <b:Source>
    <b:Tag>Emi19</b:Tag>
    <b:SourceType>JournalArticle</b:SourceType>
    <b:Guid>{955ACE04-688C-4929-8152-E77D8D805611}</b:Guid>
    <b:Author>
      <b:Author>
        <b:NameList>
          <b:Person>
            <b:Last>Gurbuz</b:Last>
            <b:First>Emine</b:First>
          </b:Person>
        </b:NameList>
      </b:Author>
    </b:Author>
    <b:Title>University Students with Autism: The Social and Academic Experiences of University in the UK</b:Title>
    <b:JournalName>Journal of Autism and Developmental Disorder</b:JournalName>
    <b:Year>2019</b:Year>
    <b:Pages>617-631</b:Pages>
    <b:Volume>49</b:Volume>
    <b:Issue>2</b:Issue>
    <b:RefOrder>35</b:RefOrder>
  </b:Source>
  <b:Source>
    <b:Tag>Ben22</b:Tag>
    <b:SourceType>JournalArticle</b:SourceType>
    <b:Guid>{40CDBEE1-987E-4D9C-86C0-96EC5A934D73}</b:Guid>
    <b:Author>
      <b:Author>
        <b:NameList>
          <b:Person>
            <b:Last>Marks</b:Last>
            <b:First>Benjy</b:First>
          </b:Person>
        </b:NameList>
      </b:Author>
    </b:Author>
    <b:Title>Adoption of Virtual Reality Technology in Higher Education: An Evaluation of Five Teaching Semesters in a Purpose-Designed Laboratory</b:Title>
    <b:JournalName>Education and Information Technologies</b:JournalName>
    <b:Year>2022</b:Year>
    <b:Pages>1287-1305</b:Pages>
    <b:Volume>27</b:Volume>
    <b:Issue>1</b:Issue>
    <b:RefOrder>36</b:RefOrder>
  </b:Source>
  <b:Source>
    <b:Tag>Ale23</b:Tag>
    <b:SourceType>JournalArticle</b:SourceType>
    <b:Guid>{53344339-F30C-48EF-A3A4-91B461944312}</b:Guid>
    <b:Author>
      <b:Author>
        <b:NameList>
          <b:Person>
            <b:Last>Skulmowski</b:Last>
            <b:First>Alexander</b:First>
          </b:Person>
        </b:NameList>
      </b:Author>
    </b:Author>
    <b:Title>Ethical Issues of Educational Virtual Reality</b:Title>
    <b:JournalName>Computers and Education: X Reality</b:JournalName>
    <b:Year>2023</b:Year>
    <b:Pages>100023</b:Pages>
    <b:Volume>2</b:Volume>
    <b:Issue>1</b:Issue>
    <b:RefOrder>37</b:RefOrder>
  </b:Source>
  <b:Source>
    <b:Tag>Sha20</b:Tag>
    <b:SourceType>JournalArticle</b:SourceType>
    <b:Guid>{BBDA5305-D904-4A33-825D-B5DFEB5B7950}</b:Guid>
    <b:Author>
      <b:Author>
        <b:NameList>
          <b:Person>
            <b:Last>Sharon</b:Last>
            <b:First>Farra</b:First>
          </b:Person>
        </b:NameList>
      </b:Author>
    </b:Author>
    <b:Title>Comparative Cost of Virtual Reality Training and Live Exercises for Training Hospital Workers for Evacuation</b:Title>
    <b:JournalName>Computers, Informatics, Nursing</b:JournalName>
    <b:Year>2020</b:Year>
    <b:Pages>446-454</b:Pages>
    <b:Volume>37</b:Volume>
    <b:Issue>9</b:Issue>
    <b:RefOrder>38</b:RefOrder>
  </b:Source>
  <b:Source>
    <b:Tag>Abd23</b:Tag>
    <b:SourceType>JournalArticle</b:SourceType>
    <b:Guid>{F5CBBDED-F152-488F-9F42-4C0BAC54174C}</b:Guid>
    <b:Author>
      <b:Author>
        <b:NameList>
          <b:Person>
            <b:Last>Al-Ansi</b:Last>
            <b:First>Abdullah</b:First>
          </b:Person>
        </b:NameList>
      </b:Author>
    </b:Author>
    <b:Title>Analysing Augmented Reality (AR) and Virtual Reality (VR) Recent Development in Education</b:Title>
    <b:JournalName>Social Sciences and Humanities Open</b:JournalName>
    <b:Year>2023</b:Year>
    <b:Pages>100532</b:Pages>
    <b:Volume>8</b:Volume>
    <b:Issue>1</b:Issue>
    <b:RefOrder>39</b:RefOrder>
  </b:Source>
  <b:Source>
    <b:Tag>Rod20</b:Tag>
    <b:SourceType>JournalArticle</b:SourceType>
    <b:Guid>{28915962-2FD2-474C-AD7E-54874E5C04CF}</b:Guid>
    <b:Author>
      <b:Author>
        <b:NameList>
          <b:Person>
            <b:Last>Smiderle</b:Last>
            <b:First>Rodrigo</b:First>
          </b:Person>
        </b:NameList>
      </b:Author>
    </b:Author>
    <b:Title>The Impact of Gamification on Students Learning, Engagement and Behaviour Based on their Personality Traits</b:Title>
    <b:JournalName>Smart Learning Environments</b:JournalName>
    <b:Year>2020</b:Year>
    <b:Pages>1-11</b:Pages>
    <b:Volume>7</b:Volume>
    <b:Issue>3</b:Issue>
    <b:RefOrder>40</b:RefOrder>
  </b:Source>
  <b:Source>
    <b:Tag>Meh20</b:Tag>
    <b:SourceType>JournalArticle</b:SourceType>
    <b:Guid>{1346A8DF-04D1-4451-93A3-CF39975B1D64}</b:Guid>
    <b:Author>
      <b:Author>
        <b:NameList>
          <b:Person>
            <b:Last>Mohammadi</b:Last>
            <b:First>Mehdi</b:First>
          </b:Person>
        </b:NameList>
      </b:Author>
    </b:Author>
    <b:Title>Mobile Phone Use in Education and Learning by Faculty Members of Technical-Engineering Groups: Concurrent Mixed Methods Design</b:Title>
    <b:JournalName>Frontiers in Education</b:JournalName>
    <b:Year>2020</b:Year>
    <b:Pages>1-9</b:Pages>
    <b:Volume>5</b:Volume>
    <b:Issue>16</b:Issue>
    <b:RefOrder>41</b:RefOrder>
  </b:Source>
  <b:Source>
    <b:Tag>Dan20</b:Tag>
    <b:SourceType>JournalArticle</b:SourceType>
    <b:Guid>{BB262548-94BB-4380-BD33-E065D4E76286}</b:Guid>
    <b:Author>
      <b:Author>
        <b:NameList>
          <b:Person>
            <b:Last>Neureiter</b:Last>
            <b:First>Daniel</b:First>
          </b:Person>
        </b:NameList>
      </b:Author>
    </b:Author>
    <b:Title>Feasibility of Kahoot! as a Real-Time Assessment Tool in (Histo-)pathology Classroom Teaching</b:Title>
    <b:JournalName>Advances in Medical Education and Practice</b:JournalName>
    <b:Year>2020</b:Year>
    <b:Pages>696-705</b:Pages>
    <b:Volume>11</b:Volume>
    <b:Issue>2</b:Issue>
    <b:RefOrder>42</b:RefOrder>
  </b:Source>
  <b:Source>
    <b:Tag>Dev22</b:Tag>
    <b:SourceType>JournalArticle</b:SourceType>
    <b:Guid>{AF029DA7-1A7D-4EFE-AC38-1BEB6F0BCACB}</b:Guid>
    <b:Author>
      <b:Author>
        <b:NameList>
          <b:Person>
            <b:Last>Menon</b:Last>
            <b:First>Devadas</b:First>
          </b:Person>
        </b:NameList>
      </b:Author>
    </b:Author>
    <b:Title>Uses and Gratifications of educational Apps: A Study during COVID-19 Pandemic</b:Title>
    <b:JournalName>Computers and Education Open</b:JournalName>
    <b:Year>2022</b:Year>
    <b:Pages>100076</b:Pages>
    <b:Volume>3</b:Volume>
    <b:Issue>1</b:Issue>
    <b:RefOrder>43</b:RefOrder>
  </b:Source>
  <b:Source>
    <b:Tag>Reh23</b:Tag>
    <b:SourceType>JournalArticle</b:SourceType>
    <b:Guid>{080C7BEE-DEEE-467F-B783-B96E92DD0B86}</b:Guid>
    <b:Author>
      <b:Author>
        <b:NameList>
          <b:Person>
            <b:Last>Salhab</b:Last>
            <b:First>Reham</b:First>
          </b:Person>
        </b:NameList>
      </b:Author>
    </b:Author>
    <b:Title>University Students Engagement in Mobile Learning</b:Title>
    <b:JournalName>European Journal of Investigation in Health, Psychology and Education</b:JournalName>
    <b:Year>2023</b:Year>
    <b:Pages>202-216</b:Pages>
    <b:Volume>13</b:Volume>
    <b:Issue>1</b:Issue>
    <b:RefOrder>44</b:RefOrder>
  </b:Source>
  <b:Source>
    <b:Tag>Eka17</b:Tag>
    <b:SourceType>JournalArticle</b:SourceType>
    <b:Guid>{AD36D8B9-F25E-4924-9AD5-CA39FDB9AF74}</b:Guid>
    <b:Author>
      <b:Author>
        <b:NameList>
          <b:Person>
            <b:Last>Pechenkina</b:Last>
            <b:First>Ekaterina</b:First>
          </b:Person>
        </b:NameList>
      </b:Author>
    </b:Author>
    <b:Title>Using a Gamified Mobile Phone App to Increase Student Engagement, Retention and Academic Achievement</b:Title>
    <b:JournalName>International Journal of Educational Technology in Higher Education</b:JournalName>
    <b:Year>2017</b:Year>
    <b:Pages>1-12</b:Pages>
    <b:Volume>14</b:Volume>
    <b:Issue>31</b:Issue>
    <b:RefOrder>45</b:RefOrder>
  </b:Source>
  <b:Source>
    <b:Tag>Toy13</b:Tag>
    <b:SourceType>JournalArticle</b:SourceType>
    <b:Guid>{2F712043-6252-41E8-AA07-419D347EDAD5}</b:Guid>
    <b:Author>
      <b:Author>
        <b:NameList>
          <b:Person>
            <b:Last>Tofade</b:Last>
            <b:First>Toyin</b:First>
          </b:Person>
        </b:NameList>
      </b:Author>
    </b:Author>
    <b:Title>Best Practice Strategies for Effecive use of Questions as a Teaching Tool</b:Title>
    <b:JournalName>American Journal of Pharmaceutical Education</b:JournalName>
    <b:Year>2013</b:Year>
    <b:Pages>155</b:Pages>
    <b:Volume>77</b:Volume>
    <b:Issue>7</b:Issue>
    <b:RefOrder>46</b:RefOrder>
  </b:Source>
  <b:Source>
    <b:Tag>Kha23</b:Tag>
    <b:SourceType>JournalArticle</b:SourceType>
    <b:Guid>{F5B9696E-4A22-47BC-BDA7-BF1E3E5A7778}</b:Guid>
    <b:Author>
      <b:Author>
        <b:NameList>
          <b:Person>
            <b:Last>Khan</b:Last>
            <b:First>Zaheer</b:First>
          </b:Person>
        </b:NameList>
      </b:Author>
    </b:Author>
    <b:Title>Cognitive Learning Theory and Development: Higher Education Case Study</b:Title>
    <b:JournalName>Education</b:JournalName>
    <b:Year>2023</b:Year>
    <b:Pages>7-10</b:Pages>
    <b:Volume>1</b:Volume>
    <b:Issue>1</b:Issue>
    <b:BookTitle>Education - Annual Volume 2023</b:BookTitle>
    <b:RefOrder>47</b:RefOrder>
  </b:Source>
  <b:Source>
    <b:Tag>Ben221</b:Tag>
    <b:SourceType>JournalArticle</b:SourceType>
    <b:Guid>{205618F4-9ACA-4788-BADD-A0C67656EE02}</b:Guid>
    <b:Author>
      <b:Author>
        <b:NameList>
          <b:Person>
            <b:Last>Bygstad</b:Last>
            <b:First>Bendik</b:First>
          </b:Person>
        </b:NameList>
      </b:Author>
    </b:Author>
    <b:Title>From Dual Digitalisation to Digital Learning Space: Exploring the Digital Transformation of Higher Education</b:Title>
    <b:JournalName>Computers and Education</b:JournalName>
    <b:Year>2022</b:Year>
    <b:Pages>104463</b:Pages>
    <b:Volume>182</b:Volume>
    <b:Issue>11</b:Issue>
    <b:RefOrder>48</b:RefOrder>
  </b:Source>
  <b:Source>
    <b:Tag>Den20</b:Tag>
    <b:SourceType>JournalArticle</b:SourceType>
    <b:Guid>{E267E0F8-91CF-47D1-A299-896B520D4457}</b:Guid>
    <b:Author>
      <b:Author>
        <b:NameList>
          <b:Person>
            <b:Last>Erbil</b:Last>
            <b:First>Deniz</b:First>
          </b:Person>
        </b:NameList>
      </b:Author>
    </b:Author>
    <b:Title>A Review of Flipped Classroom and Cooperative Learning Method Within the Context of Vygotsky Theory</b:Title>
    <b:JournalName>Frontiers in Psychology</b:JournalName>
    <b:Year>2020</b:Year>
    <b:Pages>1-9</b:Pages>
    <b:Volume>11</b:Volume>
    <b:Issue>1157</b:Issue>
    <b:RefOrder>49</b:RefOrder>
  </b:Source>
  <b:Source>
    <b:Tag>Olg23</b:Tag>
    <b:SourceType>JournalArticle</b:SourceType>
    <b:Guid>{B715C5E2-3582-4D2C-9154-1678F3C95B0F}</b:Guid>
    <b:Author>
      <b:Author>
        <b:NameList>
          <b:Person>
            <b:Last>Dziubaniuk</b:Last>
            <b:First>Olga</b:First>
          </b:Person>
        </b:NameList>
      </b:Author>
    </b:Author>
    <b:Title>Learning and Teaching Sustainable Business in the Digital Era: A Connectivism Theory Approach</b:Title>
    <b:JournalName>International Journal of Educational Technology in Higher Education</b:JournalName>
    <b:Year>2023</b:Year>
    <b:Pages>1-23</b:Pages>
    <b:Volume>20</b:Volume>
    <b:Issue>20</b:Issue>
    <b:RefOrder>50</b:RefOrder>
  </b:Source>
  <b:Source>
    <b:Tag>Win23</b:Tag>
    <b:SourceType>JournalArticle</b:SourceType>
    <b:Guid>{F2A21434-F143-402E-AA76-5FDE509A516F}</b:Guid>
    <b:Author>
      <b:Author>
        <b:NameList>
          <b:Person>
            <b:Last>Lai</b:Last>
            <b:First>Wing</b:First>
          </b:Person>
        </b:NameList>
      </b:Author>
    </b:Author>
    <b:Title>Integrating Socialcultural Perspectives into a University Classroom: A Case Study of Students' Experience</b:Title>
    <b:JournalName>Heliyon</b:JournalName>
    <b:Year>2023</b:Year>
    <b:Pages>e17228</b:Pages>
    <b:Volume>9</b:Volume>
    <b:Issue>6</b:Issue>
    <b:RefOrder>2</b:RefOrder>
  </b:Source>
  <b:Source>
    <b:Tag>Fre201</b:Tag>
    <b:SourceType>JournalArticle</b:SourceType>
    <b:Guid>{B46DEA51-56CA-4F70-AA3C-970717015AE1}</b:Guid>
    <b:Author>
      <b:Author>
        <b:NameList>
          <b:Person>
            <b:Last>Corbett</b:Last>
            <b:First>Frederique</b:First>
          </b:Person>
        </b:NameList>
      </b:Author>
    </b:Author>
    <b:Title>Connectivism and Leadership: Harnessing a Learning Theory for the Digital Age to Redefine Leadership in the 21st Century</b:Title>
    <b:JournalName>Heliyon</b:JournalName>
    <b:Year>2020</b:Year>
    <b:Pages>e03250</b:Pages>
    <b:Volume>6</b:Volume>
    <b:Issue>1</b:Issue>
    <b:RefOrder>51</b:RefOrder>
  </b:Source>
  <b:Source>
    <b:Tag>Gav19</b:Tag>
    <b:SourceType>JournalArticle</b:SourceType>
    <b:Guid>{DF5E7823-FFF4-4ED1-B687-489C58DBAAE5}</b:Guid>
    <b:Author>
      <b:Author>
        <b:NameList>
          <b:Person>
            <b:Last>Hendricks</b:Last>
            <b:First>Gavin</b:First>
          </b:Person>
        </b:NameList>
      </b:Author>
    </b:Author>
    <b:Title>Connectivism as a Learning Theory and its Reltaion to Open Distance Education</b:Title>
    <b:JournalName>Sabinet African Journals</b:JournalName>
    <b:Year>2019</b:Year>
    <b:Pages>1-5</b:Pages>
    <b:Volume>41</b:Volume>
    <b:Issue>1</b:Issue>
    <b:RefOrder>52</b:RefOrder>
  </b:Source>
  <b:Source>
    <b:Tag>Chr22</b:Tag>
    <b:SourceType>JournalArticle</b:SourceType>
    <b:Guid>{B2603035-6D11-402C-B777-74665461FDD0}</b:Guid>
    <b:Author>
      <b:Author>
        <b:NameList>
          <b:Person>
            <b:Last>Blundell</b:Last>
            <b:First>Christopher</b:First>
          </b:Person>
        </b:NameList>
      </b:Author>
    </b:Author>
    <b:Title>A Scoping Review of the Application of the SAMR Model in Research</b:Title>
    <b:JournalName>Computers and Education Open</b:JournalName>
    <b:Year>2022</b:Year>
    <b:Pages>100093</b:Pages>
    <b:Volume>3</b:Volume>
    <b:Issue>1</b:Issue>
    <b:RefOrder>53</b:RefOrder>
  </b:Source>
  <b:Source>
    <b:Tag>Kat19</b:Tag>
    <b:SourceType>InternetSite</b:SourceType>
    <b:Guid>{8B327CD1-56AC-4811-831F-9366566E620D}</b:Guid>
    <b:Title>The Scholarly Teacher</b:Title>
    <b:Year>2019</b:Year>
    <b:Author>
      <b:Author>
        <b:NameList>
          <b:Person>
            <b:Last>Smith</b:Last>
            <b:First>Kathryn</b:First>
          </b:Person>
        </b:NameList>
      </b:Author>
    </b:Author>
    <b:YearAccessed>2023</b:YearAccessed>
    <b:MonthAccessed>November</b:MonthAccessed>
    <b:DayAccessed>27</b:DayAccessed>
    <b:URL>https://www.scholarlyteacher.com/post/purposefully-incorporating-technology-into-the-classroom-using-the-samr-model</b:URL>
    <b:RefOrder>54</b:RefOrder>
  </b:Source>
  <b:Source>
    <b:Tag>Nya19</b:Tag>
    <b:SourceType>JournalArticle</b:SourceType>
    <b:Guid>{C28815F1-D85A-4DCE-BB70-5704B62971D0}</b:Guid>
    <b:Title>The use of Technology Integration SAMR Model in Teaching English</b:Title>
    <b:Year>2019</b:Year>
    <b:Author>
      <b:Author>
        <b:NameList>
          <b:Person>
            <b:Last>Suryani</b:Last>
            <b:First>Nyayu</b:First>
          </b:Person>
        </b:NameList>
      </b:Author>
    </b:Author>
    <b:JournalName>IDEAS Journal on English Language. Teaching and Learning Linguistics and Literature</b:JournalName>
    <b:Pages>43-47</b:Pages>
    <b:Volume>7</b:Volume>
    <b:Issue>1</b:Issue>
    <b:RefOrder>55</b:RefOrder>
  </b:Source>
  <b:Source>
    <b:Tag>Jiw21</b:Tag>
    <b:SourceType>JournalArticle</b:SourceType>
    <b:Guid>{1A8FF3FA-5098-4538-953F-FB26F273B3E4}</b:Guid>
    <b:Author>
      <b:Author>
        <b:NameList>
          <b:Person>
            <b:Last>Bajracharya</b:Last>
            <b:First>Jiwak</b:First>
          </b:Person>
        </b:NameList>
      </b:Author>
    </b:Author>
    <b:Title>Technology Integration Models and Frameworks in Teaching and Training</b:Title>
    <b:JournalName>Journal of Training and Development</b:JournalName>
    <b:Year>2021</b:Year>
    <b:Pages>3-11</b:Pages>
    <b:Volume>6</b:Volume>
    <b:Issue>1</b:Issue>
    <b:RefOrder>56</b:RefOrder>
  </b:Source>
  <b:Source>
    <b:Tag>Ann211</b:Tag>
    <b:SourceType>JournalArticle</b:SourceType>
    <b:Guid>{8E4238F8-FD5B-411D-8CF4-96D106E316D1}</b:Guid>
    <b:Author>
      <b:Author>
        <b:NameList>
          <b:Person>
            <b:Last>Reich</b:Last>
            <b:First>Ann</b:First>
          </b:Person>
        </b:NameList>
      </b:Author>
    </b:Author>
    <b:Title>Using Technology Integration Frameworks in Vocational Education and Training</b:Title>
    <b:JournalName>International Journal of Training Research</b:JournalName>
    <b:Year>2021</b:Year>
    <b:Pages>93-106</b:Pages>
    <b:Volume>19</b:Volume>
    <b:Issue>2</b:Issue>
    <b:RefOrder>57</b:RefOrder>
  </b:Source>
  <b:Source>
    <b:Tag>Zia21</b:Tag>
    <b:SourceType>JournalArticle</b:SourceType>
    <b:Guid>{BA8641A1-DD8F-470E-B538-6CECCE34C3F2}</b:Guid>
    <b:Author>
      <b:Author>
        <b:NameList>
          <b:Person>
            <b:Last>Rehman</b:Last>
            <b:First>Zia</b:First>
          </b:Person>
        </b:NameList>
      </b:Author>
    </b:Author>
    <b:Title>The SAMR Model and Bloom's Taxonomy as a Framework for Evaluating Technology Integration at University Level</b:Title>
    <b:JournalName>Global Educational Studies</b:JournalName>
    <b:Year>2021</b:Year>
    <b:Pages>1-11</b:Pages>
    <b:Volume>6</b:Volume>
    <b:Issue>4</b:Issue>
    <b:RefOrder>58</b:RefOrder>
  </b:Source>
  <b:Source>
    <b:Tag>Eri16</b:Tag>
    <b:SourceType>JournalArticle</b:SourceType>
    <b:Guid>{3D4387A2-932D-42FE-B9A0-8BC1F4DBFDDB}</b:Guid>
    <b:Author>
      <b:Author>
        <b:NameList>
          <b:Person>
            <b:Last>Hamilton</b:Last>
            <b:First>Erica</b:First>
          </b:Person>
        </b:NameList>
      </b:Author>
    </b:Author>
    <b:Title>The Substitution Augmentation Modification Redefinition (SAMR) Model: A Critical Review and Suggestions for its use</b:Title>
    <b:JournalName>Tech Trends</b:JournalName>
    <b:Year>2016</b:Year>
    <b:Pages>433-441</b:Pages>
    <b:Volume>60</b:Volume>
    <b:Issue>1</b:Issue>
    <b:RefOrder>59</b:RefOrder>
  </b:Source>
  <b:Source>
    <b:Tag>Der11</b:Tag>
    <b:SourceType>JournalArticle</b:SourceType>
    <b:Guid>{60C81884-AC97-4FB6-83F1-AC6AA0DE2AAE}</b:Guid>
    <b:Author>
      <b:Author>
        <b:NameList>
          <b:Person>
            <b:Last>Donnelly</b:Last>
            <b:First>Dermot</b:First>
          </b:Person>
        </b:NameList>
      </b:Author>
    </b:Author>
    <b:Title>A Framework for Teachers Integration of ICT into their Classroom Practice</b:Title>
    <b:JournalName>Computers and Education</b:JournalName>
    <b:Year>2011</b:Year>
    <b:Pages>1469-1483</b:Pages>
    <b:Volume>57</b:Volume>
    <b:Issue>2</b:Issue>
    <b:RefOrder>60</b:RefOrder>
  </b:Source>
  <b:Source>
    <b:Tag>Moh221</b:Tag>
    <b:SourceType>JournalArticle</b:SourceType>
    <b:Guid>{F79A358C-A96B-4B30-9205-0ADDAC95040A}</b:Guid>
    <b:Author>
      <b:Author>
        <b:NameList>
          <b:Person>
            <b:Last>Elmaadaway</b:Last>
            <b:First>Mohammed</b:First>
          </b:Person>
        </b:NameList>
      </b:Author>
    </b:Author>
    <b:Title>In-service Teachers TPACK Development through an Adaptive E-Learning Environment (ALE)</b:Title>
    <b:JournalName>Education and Information Technologies</b:JournalName>
    <b:Year>2022</b:Year>
    <b:Pages>8273-8298</b:Pages>
    <b:Volume>28</b:Volume>
    <b:Issue>1</b:Issue>
    <b:RefOrder>61</b:RefOrder>
  </b:Source>
  <b:Source>
    <b:Tag>Cas21</b:Tag>
    <b:SourceType>JournalArticle</b:SourceType>
    <b:Guid>{A2EDA4B9-F406-4E96-BB54-A76A06D2EF8D}</b:Guid>
    <b:Author>
      <b:Author>
        <b:NameList>
          <b:Person>
            <b:Last>Peiris</b:Last>
            <b:First>Casey</b:First>
          </b:Person>
        </b:NameList>
      </b:Author>
    </b:Author>
    <b:Title>Classroom Movement Breaks Reduce Sedentary Behavior and Increase Concentration, Alertness and Enjoyment during University Classes: A Mixed-Methods Feasibility Study</b:Title>
    <b:JournalName>International Journal of Environmental Research and Public Health </b:JournalName>
    <b:Year>2021</b:Year>
    <b:Pages>5589</b:Pages>
    <b:Volume>18</b:Volume>
    <b:Issue>11</b:Issue>
    <b:RefOrder>62</b:RefOrder>
  </b:Source>
  <b:Source>
    <b:Tag>Dim17</b:Tag>
    <b:SourceType>JournalArticle</b:SourceType>
    <b:Guid>{22C31147-0595-42C5-9293-CB3A9EB31ABD}</b:Guid>
    <b:Author>
      <b:Author>
        <b:NameList>
          <b:Person>
            <b:Last>Goshevski</b:Last>
            <b:First>Dimitar</b:First>
          </b:Person>
        </b:NameList>
      </b:Author>
    </b:Author>
    <b:Title>A Review of Gamification Platforms for Higher Education</b:Title>
    <b:JournalName>Proceedings of the 8th Balkan Conference in Informatics</b:JournalName>
    <b:Year>2017</b:Year>
    <b:Pages>1-6</b:Pages>
    <b:Volume>28</b:Volume>
    <b:Issue>1</b:Issue>
    <b:RefOrder>63</b:RefOrder>
  </b:Source>
  <b:Source>
    <b:Tag>Yao16</b:Tag>
    <b:SourceType>JournalArticle</b:SourceType>
    <b:Guid>{56105E00-4D71-474D-B0C2-D8BF29CCB915}</b:Guid>
    <b:Author>
      <b:Author>
        <b:NameList>
          <b:Person>
            <b:Last>Sung</b:Last>
            <b:First>Yao</b:First>
          </b:Person>
        </b:NameList>
      </b:Author>
    </b:Author>
    <b:Title>The Effects of Integrating Mobile Devices with Teaching and Learning on Students Learning Performance: A Meta-analysis and Research Synthesis </b:Title>
    <b:JournalName>Computers and Education</b:JournalName>
    <b:Year>2016</b:Year>
    <b:Pages>252-275</b:Pages>
    <b:Volume>94</b:Volume>
    <b:Issue>1</b:Issue>
    <b:RefOrder>64</b:RefOrder>
  </b:Source>
  <b:Source>
    <b:Tag>Lis19</b:Tag>
    <b:SourceType>JournalArticle</b:SourceType>
    <b:Guid>{3E249808-BCAB-48A2-9CA7-A6B2A124C742}</b:Guid>
    <b:Author>
      <b:Author>
        <b:NameList>
          <b:Person>
            <b:Last>Putz</b:Last>
            <b:First>Lisa</b:First>
          </b:Person>
        </b:NameList>
      </b:Author>
    </b:Author>
    <b:Title>Increasing Knowledge Retention through Gamification Workshops: Findings from a Longitudinal Study and Identification of Moderating Variables </b:Title>
    <b:JournalName>Proceedings of the 52nd Hawaii International Conference on System Sciences</b:JournalName>
    <b:Year>2019</b:Year>
    <b:Pages>1456-1465</b:Pages>
    <b:Volume>2</b:Volume>
    <b:Issue>6</b:Issue>
    <b:RefOrder>65</b:RefOrder>
  </b:Source>
  <b:Source>
    <b:Tag>Alf20</b:Tag>
    <b:SourceType>JournalArticle</b:SourceType>
    <b:Guid>{054252C7-081F-47DE-AF11-826BD23BE8D0}</b:Guid>
    <b:Author>
      <b:Author>
        <b:NameList>
          <b:Person>
            <b:Last>Wang</b:Last>
            <b:First>Alf</b:First>
          </b:Person>
        </b:NameList>
      </b:Author>
    </b:Author>
    <b:Title>The Effect of using Kahoot: for Learning - A Literature Review</b:Title>
    <b:JournalName>Computers and Education</b:JournalName>
    <b:Year>2020</b:Year>
    <b:Pages>103818</b:Pages>
    <b:Volume>149</b:Volume>
    <b:Issue>1</b:Issue>
    <b:RefOrder>66</b:RefOrder>
  </b:Source>
  <b:Source>
    <b:Tag>She18</b:Tag>
    <b:SourceType>JournalArticle</b:SourceType>
    <b:Guid>{2F4AFEE9-7E77-4779-AEA2-49834F1CCC78}</b:Guid>
    <b:Author>
      <b:Author>
        <b:NameList>
          <b:Person>
            <b:Last>Licorish</b:Last>
            <b:First>Sherlock</b:First>
          </b:Person>
        </b:NameList>
      </b:Author>
    </b:Author>
    <b:Title>Students Perception of Kahoot's Influence on Teaching and Learning</b:Title>
    <b:JournalName>Research and Practice in Technology Enhanced Learning</b:JournalName>
    <b:Year>2018</b:Year>
    <b:Pages>1-23</b:Pages>
    <b:Volume>13</b:Volume>
    <b:Issue>9</b:Issue>
    <b:RefOrder>67</b:RefOrder>
  </b:Source>
  <b:Source>
    <b:Tag>Gui11</b:Tag>
    <b:SourceType>JournalArticle</b:SourceType>
    <b:Guid>{1BD4424D-5B1C-458F-AEC2-7A2CE1A54B08}</b:Guid>
    <b:Author>
      <b:Author>
        <b:NameList>
          <b:Person>
            <b:Last>Schwerdt</b:Last>
            <b:First>Guido</b:First>
          </b:Person>
        </b:NameList>
      </b:Author>
    </b:Author>
    <b:Title>Is Traditional Teaching really all that bad? A Within-student Between-subject Approach</b:Title>
    <b:JournalName>Economics of Education Review</b:JournalName>
    <b:Year>2011</b:Year>
    <b:Pages>365-379</b:Pages>
    <b:Volume>30</b:Volume>
    <b:Issue>2</b:Issue>
    <b:RefOrder>68</b:RefOrder>
  </b:Source>
  <b:Source>
    <b:Tag>Zam23</b:Tag>
    <b:SourceType>JournalArticle</b:SourceType>
    <b:Guid>{C76EC65D-0D0B-400C-A644-2B1B4DE780AC}</b:Guid>
    <b:Author>
      <b:Author>
        <b:NameList>
          <b:Person>
            <b:Last>Zainuddin</b:Last>
            <b:First>Zamzami</b:First>
          </b:Person>
        </b:NameList>
      </b:Author>
    </b:Author>
    <b:Title>Integrating Ease of use and Affordable Gamification Based Instruction into a Remote Learning Environment</b:Title>
    <b:JournalName>Asia Pacific Education Review</b:JournalName>
    <b:Year>2023</b:Year>
    <b:Pages>1-12</b:Pages>
    <b:Volume>7</b:Volume>
    <b:Issue>4</b:Issue>
    <b:RefOrder>69</b:RefOrder>
  </b:Source>
  <b:Source>
    <b:Tag>Mel23</b:Tag>
    <b:SourceType>JournalArticle</b:SourceType>
    <b:Guid>{DE1990C8-F567-4F5D-939A-378F2DEABBDF}</b:Guid>
    <b:Author>
      <b:Author>
        <b:NameList>
          <b:Person>
            <b:Last>Grabner-Hagen</b:Last>
            <b:First>Melisa</b:First>
          </b:Person>
        </b:NameList>
      </b:Author>
    </b:Author>
    <b:Title>From Badges to Boss Challenges: Gamification through need Supporting Scaffolded Design to Instruct and Motivate Elementary Learners</b:Title>
    <b:JournalName>Computers and Education Open</b:JournalName>
    <b:Year>2023</b:Year>
    <b:Pages>100131</b:Pages>
    <b:Volume>4</b:Volume>
    <b:Issue>1</b:Issue>
    <b:RefOrder>70</b:RefOrder>
  </b:Source>
  <b:Source>
    <b:Tag>Car20</b:Tag>
    <b:SourceType>JournalArticle</b:SourceType>
    <b:Guid>{8BA1566C-95CE-4085-AC81-D16ABC900EB8}</b:Guid>
    <b:Author>
      <b:Author>
        <b:NameList>
          <b:Person>
            <b:Last>Gonzalez</b:Last>
            <b:First>Carina</b:First>
          </b:Person>
        </b:NameList>
      </b:Author>
    </b:Author>
    <b:Title>The Limits of Gamification</b:Title>
    <b:JournalName>International Journal of Research into New Media Technologies</b:JournalName>
    <b:Year>2020</b:Year>
    <b:Pages>1-18</b:Pages>
    <b:Volume>27</b:Volume>
    <b:Issue>3</b:Issue>
    <b:RefOrder>71</b:RefOrder>
  </b:Source>
  <b:Source>
    <b:Tag>Mar22</b:Tag>
    <b:SourceType>JournalArticle</b:SourceType>
    <b:Guid>{96E6689A-273A-41AF-8D80-CA4E29AA65AC}</b:Guid>
    <b:Author>
      <b:Author>
        <b:NameList>
          <b:Person>
            <b:Last>Riar</b:Last>
            <b:First>Marc</b:First>
          </b:Person>
        </b:NameList>
      </b:Author>
    </b:Author>
    <b:Title>Gamification of Cooperation: A Framework, Literature Review and Future Research Agenda</b:Title>
    <b:JournalName>International Journal of Information Management</b:JournalName>
    <b:Year>2022</b:Year>
    <b:Pages>102549</b:Pages>
    <b:Volume>67</b:Volume>
    <b:Issue>2</b:Issue>
    <b:RefOrder>72</b:RefOrder>
  </b:Source>
  <b:Source>
    <b:Tag>Sun20</b:Tag>
    <b:SourceType>JournalArticle</b:SourceType>
    <b:Guid>{FC3053D7-CBCC-4FF6-98C3-D9375F0116AC}</b:Guid>
    <b:Author>
      <b:Author>
        <b:NameList>
          <b:Person>
            <b:Last>Cheon</b:Last>
            <b:First>Sung</b:First>
          </b:Person>
        </b:NameList>
      </b:Author>
    </b:Author>
    <b:Title>When Teachers Learn how to Provide Classroom Structure in an Autonomy Supportive Way: Benefits to Teachers and their Students</b:Title>
    <b:JournalName>Teaching and Teacher Education</b:JournalName>
    <b:Year>2020</b:Year>
    <b:Pages>103004</b:Pages>
    <b:Volume>90</b:Volume>
    <b:Issue>3</b:Issue>
    <b:RefOrder>73</b:RefOrder>
  </b:Source>
  <b:Source>
    <b:Tag>Jer22</b:Tag>
    <b:SourceType>JournalArticle</b:SourceType>
    <b:Guid>{6FBA4236-5876-4A02-8703-B53D30301E5D}</b:Guid>
    <b:Author>
      <b:Author>
        <b:NameList>
          <b:Person>
            <b:Last>Conner</b:Last>
            <b:First>Jerusha</b:First>
          </b:Person>
        </b:NameList>
      </b:Author>
    </b:Author>
    <b:Title>The Relationship between Student Voice and Student Engagement in Urban High Schools</b:Title>
    <b:JournalName>The Urban Review</b:JournalName>
    <b:Year>2022</b:Year>
    <b:Pages>755-774</b:Pages>
    <b:Volume>54</b:Volume>
    <b:Issue>1</b:Issue>
    <b:RefOrder>74</b:RefOrder>
  </b:Source>
  <b:Source>
    <b:Tag>Rac20</b:Tag>
    <b:SourceType>JournalArticle</b:SourceType>
    <b:Guid>{751D335B-1242-46BB-9FB6-34C9B3F850B5}</b:Guid>
    <b:Author>
      <b:Author>
        <b:NameList>
          <b:Person>
            <b:Last>Staddon</b:Last>
            <b:First>Rachel</b:First>
          </b:Person>
        </b:NameList>
      </b:Author>
    </b:Author>
    <b:Title>Bringing Technology to the Mature Classroom: Age Differences in use and Attitudes</b:Title>
    <b:JournalName>International Journal of Education Technology in Higher Education</b:JournalName>
    <b:Year>2020</b:Year>
    <b:Pages>1-20</b:Pages>
    <b:Volume>17</b:Volume>
    <b:Issue>11</b:Issue>
    <b:RefOrder>75</b:RefOrder>
  </b:Source>
  <b:Source>
    <b:Tag>Lau22</b:Tag>
    <b:SourceType>JournalArticle</b:SourceType>
    <b:Guid>{8D30F5A7-03C9-4C7F-BFC5-C5FA511EC930}</b:Guid>
    <b:Author>
      <b:Author>
        <b:NameList>
          <b:Person>
            <b:Last>Goegan</b:Last>
            <b:First>Lauren</b:First>
          </b:Person>
        </b:NameList>
      </b:Author>
    </b:Author>
    <b:Title>Just a Little Healthy Competition: Teacher Perceptions of Competition and Social Comparison in the Classroom</b:Title>
    <b:JournalName>Canadian Journal of School Psychology</b:JournalName>
    <b:Year>2022</b:Year>
    <b:Pages>394-405</b:Pages>
    <b:Volume>37</b:Volume>
    <b:Issue>4</b:Issue>
    <b:RefOrder>76</b:RefOrder>
  </b:Source>
  <b:Source>
    <b:Tag>Han20</b:Tag>
    <b:SourceType>JournalArticle</b:SourceType>
    <b:Guid>{0EE585AF-13AF-4750-9CBA-37C2D10D4155}</b:Guid>
    <b:Author>
      <b:Author>
        <b:NameList>
          <b:Person>
            <b:Last>Long</b:Last>
            <b:First>Hannah</b:First>
          </b:Person>
        </b:NameList>
      </b:Author>
    </b:Author>
    <b:Title>Optimising the Value of the Critical Appraisal Skills Programme (CASP) Tool for Quality Appraisal in Qualitative Evidence Synthesis</b:Title>
    <b:JournalName>Research Methods in Medicine and Health Sciences</b:JournalName>
    <b:Year>2020</b:Year>
    <b:Pages>31-42</b:Pages>
    <b:Volume>1</b:Volume>
    <b:Issue>1</b:Issue>
    <b:RefOrder>1</b:RefOrder>
  </b:Source>
  <b:Source>
    <b:Tag>Shu19</b:Tag>
    <b:SourceType>JournalArticle</b:SourceType>
    <b:Guid>{DA2EE7AF-DE10-4136-AA29-21A5A4609A39}</b:Guid>
    <b:Author>
      <b:Author>
        <b:NameList>
          <b:Person>
            <b:Last>Chiu</b:Last>
            <b:First>Shui</b:First>
          </b:Person>
        </b:NameList>
      </b:Author>
    </b:Author>
    <b:Title>Innovative Experiencial Learning Experience: Pedagogical Adopting Kolbs Learning Cycle at Higher Education in Hong Kong</b:Title>
    <b:JournalName>Cogent Education</b:JournalName>
    <b:Year>2019</b:Year>
    <b:Pages>1-16</b:Pages>
    <b:Volume>6</b:Volume>
    <b:Issue>1</b:Issu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FB3361-31FD-4324-9417-F2B8C81E7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7851</Words>
  <Characters>44757</Characters>
  <Application>Microsoft Office Word</Application>
  <DocSecurity>0</DocSecurity>
  <Lines>372</Lines>
  <Paragraphs>105</Paragraphs>
  <ScaleCrop>false</ScaleCrop>
  <HeadingPairs>
    <vt:vector size="2" baseType="variant">
      <vt:variant>
        <vt:lpstr>Title</vt:lpstr>
      </vt:variant>
      <vt:variant>
        <vt:i4>1</vt:i4>
      </vt:variant>
    </vt:vector>
  </HeadingPairs>
  <TitlesOfParts>
    <vt:vector size="1" baseType="lpstr">
      <vt:lpstr>A critical evaluation of the role of digital innovation in professional practice</vt:lpstr>
    </vt:vector>
  </TitlesOfParts>
  <Company>University of Wales trinity saint david</Company>
  <LinksUpToDate>false</LinksUpToDate>
  <CharactersWithSpaces>52503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role of digital innovation in professional practice</dc:title>
  <dc:subject>PGCE/PCET Module ECPT6006</dc:subject>
  <dc:creator>By Keith Davies - 2005889</dc:creator>
  <cp:lastModifiedBy>Sian Davies</cp:lastModifiedBy>
  <cp:revision>3</cp:revision>
  <dcterms:created xsi:type="dcterms:W3CDTF">2023-12-06T15:56:00Z</dcterms:created>
  <dcterms:modified xsi:type="dcterms:W3CDTF">2023-12-06T15:57:00Z</dcterms:modified>
</cp:coreProperties>
</file>