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BFA3C" w14:textId="4204F25A" w:rsidR="00292F8B" w:rsidRPr="00F9203D" w:rsidRDefault="00292F8B" w:rsidP="008C6333">
      <w:pPr>
        <w:spacing w:line="360" w:lineRule="auto"/>
        <w:jc w:val="center"/>
        <w:rPr>
          <w:b/>
          <w:bCs/>
        </w:rPr>
      </w:pPr>
      <w:r w:rsidRPr="00F9203D">
        <w:rPr>
          <w:b/>
          <w:bCs/>
        </w:rPr>
        <w:t>Module Name: Health, Wellbeing and Sustainable Development</w:t>
      </w:r>
    </w:p>
    <w:p w14:paraId="5734B81B" w14:textId="5D2B9FAB" w:rsidR="00241BB7" w:rsidRPr="00F9203D" w:rsidRDefault="00292F8B" w:rsidP="008C6333">
      <w:pPr>
        <w:spacing w:line="360" w:lineRule="auto"/>
        <w:jc w:val="center"/>
        <w:rPr>
          <w:b/>
          <w:bCs/>
        </w:rPr>
      </w:pPr>
      <w:r w:rsidRPr="00F9203D">
        <w:rPr>
          <w:b/>
          <w:bCs/>
        </w:rPr>
        <w:t>Module code: BMHP6030</w:t>
      </w:r>
    </w:p>
    <w:p w14:paraId="68AC064D" w14:textId="5B872E00" w:rsidR="00292F8B" w:rsidRPr="00F9203D" w:rsidRDefault="00292F8B" w:rsidP="008C6333">
      <w:pPr>
        <w:spacing w:line="360" w:lineRule="auto"/>
        <w:jc w:val="center"/>
        <w:rPr>
          <w:b/>
          <w:bCs/>
        </w:rPr>
      </w:pPr>
      <w:r w:rsidRPr="00F9203D">
        <w:rPr>
          <w:b/>
          <w:bCs/>
        </w:rPr>
        <w:t>Student Name</w:t>
      </w:r>
      <w:r w:rsidR="008C6333">
        <w:rPr>
          <w:b/>
          <w:bCs/>
        </w:rPr>
        <w:t xml:space="preserve">: </w:t>
      </w:r>
      <w:r w:rsidR="008C6333" w:rsidRPr="008C6333">
        <w:rPr>
          <w:b/>
          <w:bCs/>
        </w:rPr>
        <w:t>Gabriela Emilia Gheorghe</w:t>
      </w:r>
    </w:p>
    <w:p w14:paraId="541CFCFB" w14:textId="141D899C" w:rsidR="00292F8B" w:rsidRDefault="00292F8B" w:rsidP="008C6333">
      <w:pPr>
        <w:spacing w:line="360" w:lineRule="auto"/>
        <w:jc w:val="center"/>
        <w:rPr>
          <w:b/>
          <w:bCs/>
        </w:rPr>
      </w:pPr>
      <w:r w:rsidRPr="00F9203D">
        <w:rPr>
          <w:b/>
          <w:bCs/>
        </w:rPr>
        <w:t>Student I</w:t>
      </w:r>
      <w:r w:rsidR="005B20A9">
        <w:rPr>
          <w:b/>
          <w:bCs/>
        </w:rPr>
        <w:t>D</w:t>
      </w:r>
      <w:r w:rsidR="008C6333">
        <w:rPr>
          <w:b/>
          <w:bCs/>
        </w:rPr>
        <w:t xml:space="preserve">: </w:t>
      </w:r>
      <w:r w:rsidR="005B20A9">
        <w:rPr>
          <w:b/>
          <w:bCs/>
        </w:rPr>
        <w:t>2310506</w:t>
      </w:r>
    </w:p>
    <w:p w14:paraId="02C31FAE" w14:textId="12F5C516" w:rsidR="00B85E3E" w:rsidRDefault="005B20A9" w:rsidP="008C6333">
      <w:pPr>
        <w:spacing w:line="360" w:lineRule="auto"/>
        <w:jc w:val="center"/>
        <w:rPr>
          <w:b/>
          <w:bCs/>
        </w:rPr>
      </w:pPr>
      <w:r>
        <w:rPr>
          <w:b/>
          <w:bCs/>
        </w:rPr>
        <w:t xml:space="preserve"> </w:t>
      </w:r>
      <w:r w:rsidR="00B85E3E" w:rsidRPr="00B85E3E">
        <w:rPr>
          <w:b/>
          <w:bCs/>
        </w:rPr>
        <w:t>Assignment</w:t>
      </w:r>
      <w:r w:rsidR="00B85E3E">
        <w:rPr>
          <w:b/>
          <w:bCs/>
        </w:rPr>
        <w:t xml:space="preserve"> </w:t>
      </w:r>
      <w:r w:rsidR="00B85E3E" w:rsidRPr="00B85E3E">
        <w:rPr>
          <w:b/>
          <w:bCs/>
        </w:rPr>
        <w:t>Title:</w:t>
      </w:r>
      <w:r w:rsidR="00B85E3E">
        <w:rPr>
          <w:b/>
          <w:bCs/>
        </w:rPr>
        <w:t xml:space="preserve"> </w:t>
      </w:r>
      <w:r w:rsidR="00B85E3E" w:rsidRPr="00B85E3E">
        <w:rPr>
          <w:b/>
          <w:bCs/>
        </w:rPr>
        <w:t>Component 2: Written</w:t>
      </w:r>
      <w:r w:rsidR="00B85E3E">
        <w:rPr>
          <w:b/>
          <w:bCs/>
        </w:rPr>
        <w:t xml:space="preserve"> </w:t>
      </w:r>
      <w:r w:rsidR="00B85E3E" w:rsidRPr="00B85E3E">
        <w:rPr>
          <w:b/>
          <w:bCs/>
        </w:rPr>
        <w:t>Assignment (Report)</w:t>
      </w:r>
    </w:p>
    <w:p w14:paraId="34F977B4" w14:textId="6172017D" w:rsidR="00F9203D" w:rsidRDefault="00F9203D" w:rsidP="00921653">
      <w:pPr>
        <w:spacing w:line="360" w:lineRule="auto"/>
        <w:jc w:val="both"/>
        <w:rPr>
          <w:b/>
          <w:bCs/>
        </w:rPr>
      </w:pPr>
      <w:r>
        <w:rPr>
          <w:b/>
          <w:bCs/>
        </w:rPr>
        <w:br w:type="page"/>
      </w:r>
    </w:p>
    <w:p w14:paraId="2A617533" w14:textId="4E467B73" w:rsidR="00F9203D" w:rsidRDefault="00F9203D" w:rsidP="00921653">
      <w:pPr>
        <w:pStyle w:val="Heading1"/>
        <w:spacing w:line="360" w:lineRule="auto"/>
      </w:pPr>
      <w:r w:rsidRPr="00F9203D">
        <w:lastRenderedPageBreak/>
        <w:t xml:space="preserve">Introduction </w:t>
      </w:r>
    </w:p>
    <w:p w14:paraId="2D4D75F2" w14:textId="4691481B" w:rsidR="00E10536" w:rsidRPr="00E10536" w:rsidRDefault="00E10536" w:rsidP="00B33A31">
      <w:pPr>
        <w:spacing w:line="360" w:lineRule="auto"/>
        <w:jc w:val="both"/>
      </w:pPr>
      <w:r w:rsidRPr="00E10536">
        <w:t>The concepts of health and wellbeing are intertwined and have an impact on individual and community quality of life and sustainable development</w:t>
      </w:r>
      <w:r w:rsidR="00C117D5">
        <w:t xml:space="preserve"> (</w:t>
      </w:r>
      <w:r w:rsidR="00C117D5" w:rsidRPr="00C117D5">
        <w:t>Mumford</w:t>
      </w:r>
      <w:r w:rsidR="00C117D5">
        <w:t xml:space="preserve"> et al., 2023). </w:t>
      </w:r>
      <w:r w:rsidRPr="00E10536">
        <w:t xml:space="preserve">The World Health </w:t>
      </w:r>
      <w:r w:rsidR="00C117D5">
        <w:t>Organisation</w:t>
      </w:r>
      <w:r w:rsidRPr="00E10536">
        <w:t xml:space="preserve"> (WHO, 2024) defines health as ‘a state of complete physical, mental and social wellbeing and not merely the absence of disease or infirmity'. Wellbeing is about people living healthy, productive and fulfilling lives and fulfilling their personal, social and health objectives. Sustainable development is about "doing no harm" and is defined as the ability to satisfy needs without reducing the capacity of future generations to do so (United Nations, 2024). In 2015, the Sustainable Development Goals (SDGs) were launched by the United Nations to solve social, economic and environmental problems all over the world. SDG 3 is one of these goals, and it is to ensure healthy lives and promote wellbeing at all ages. SDG 10 is all about inequalities within and between countrie</w:t>
      </w:r>
      <w:r w:rsidR="00000507">
        <w:t>s</w:t>
      </w:r>
      <w:r w:rsidR="006E33A2">
        <w:t>,</w:t>
      </w:r>
      <w:r w:rsidR="00000507">
        <w:t xml:space="preserve"> and these </w:t>
      </w:r>
      <w:r w:rsidRPr="00E10536">
        <w:t>goals are closely related</w:t>
      </w:r>
      <w:r w:rsidR="00C117D5">
        <w:t>,</w:t>
      </w:r>
      <w:r w:rsidRPr="00E10536">
        <w:t xml:space="preserve"> as the quality of health is frequently associated with social exclusion</w:t>
      </w:r>
      <w:r w:rsidR="00B33A31">
        <w:t xml:space="preserve"> (</w:t>
      </w:r>
      <w:r w:rsidR="00B33A31" w:rsidRPr="00B33A31">
        <w:t xml:space="preserve">Bhandari, 2024). </w:t>
      </w:r>
      <w:r w:rsidR="006E33A2">
        <w:t xml:space="preserve">The </w:t>
      </w:r>
      <w:r w:rsidRPr="00E10536">
        <w:t>unequal access to health care services, which in turn are associated with poverty. The report further assesses the national and local health initiatives in the United Kingdom and recommends ways in which the existing policy and practice can be enhanced.</w:t>
      </w:r>
    </w:p>
    <w:p w14:paraId="449EE354" w14:textId="1FA9CB5D" w:rsidR="00F9203D" w:rsidRDefault="00F9203D" w:rsidP="00921653">
      <w:pPr>
        <w:pStyle w:val="Heading1"/>
        <w:spacing w:line="360" w:lineRule="auto"/>
      </w:pPr>
      <w:r w:rsidRPr="00F9203D">
        <w:t xml:space="preserve">Sustainable Development Goals and Health </w:t>
      </w:r>
    </w:p>
    <w:p w14:paraId="168C9A57" w14:textId="637672BE" w:rsidR="00132F00" w:rsidRPr="00132F00" w:rsidRDefault="00F67632" w:rsidP="00113343">
      <w:pPr>
        <w:spacing w:line="360" w:lineRule="auto"/>
        <w:jc w:val="both"/>
      </w:pPr>
      <w:r w:rsidRPr="00F67632">
        <w:t>The SDGs are 17 global targets to build a fairer, healthier and more sustainable world by 2030. They were introduced by the United Nations to solve some of the biggest problems facing the world, such as poverty, inequality, climate change and poor health outcomes. The aim of the goals is to get everyone, from individuals to businesses, communities and governments, working towards sustainable social and economic development. Health is an important component of sustainable development because healthy populations are important to the economic growth, education and stability of society</w:t>
      </w:r>
      <w:r w:rsidR="00B33A31">
        <w:t xml:space="preserve"> (</w:t>
      </w:r>
      <w:r w:rsidR="00B33A31" w:rsidRPr="00B33A31">
        <w:t>Sarwar</w:t>
      </w:r>
      <w:r w:rsidR="00B33A31">
        <w:t xml:space="preserve"> et al., 2021). </w:t>
      </w:r>
      <w:r w:rsidRPr="00F67632">
        <w:t xml:space="preserve">Inadequate health can lead to decreased productivity, higher health care expenses, and fewer opportunities for self-improvement. </w:t>
      </w:r>
      <w:r w:rsidR="00B33A31" w:rsidRPr="00F67632">
        <w:t>Thus,</w:t>
      </w:r>
      <w:r w:rsidRPr="00F67632">
        <w:t xml:space="preserve"> public health is a component of broader sustainable development goals. The Social Determinants of Health Model created by Dahlgren and Whitehead stresses that education, employment, housing and social factors affect health outcomes</w:t>
      </w:r>
      <w:r w:rsidR="00C7006C">
        <w:t xml:space="preserve"> (</w:t>
      </w:r>
      <w:r w:rsidR="00C7006C" w:rsidRPr="00C7006C">
        <w:t xml:space="preserve">Dahlgren, Whitehead, 2021). </w:t>
      </w:r>
      <w:r w:rsidR="00C7006C" w:rsidRPr="00F67632">
        <w:t>The same</w:t>
      </w:r>
      <w:r w:rsidRPr="00F67632">
        <w:t xml:space="preserve">, the Ottawa Charter for Health Promotion stresses the need to establish health-promoting environments and to increase community action to </w:t>
      </w:r>
      <w:r w:rsidRPr="00F67632">
        <w:lastRenderedPageBreak/>
        <w:t>improve health. Healthcare services alone cannot be used to improve health</w:t>
      </w:r>
      <w:r w:rsidR="002928E7">
        <w:t xml:space="preserve"> and </w:t>
      </w:r>
      <w:r w:rsidRPr="00F67632">
        <w:t>in poverty tend to have less access to housing, education and employment opportunities</w:t>
      </w:r>
      <w:r w:rsidR="00113343">
        <w:t xml:space="preserve"> (</w:t>
      </w:r>
      <w:r w:rsidR="00113343" w:rsidRPr="00113343">
        <w:t>Guerra</w:t>
      </w:r>
      <w:r w:rsidR="00113343">
        <w:t xml:space="preserve"> et al., 2024). </w:t>
      </w:r>
      <w:r w:rsidRPr="00F67632">
        <w:t>All these factors contribute to health inequalities and to overall wellbeing. Thus, if a country wants to be considered as a sustainable development country, it has to focus on the inequality of society and the improvement of health care in addition.</w:t>
      </w:r>
    </w:p>
    <w:p w14:paraId="48455496" w14:textId="4658D30B" w:rsidR="00F9203D" w:rsidRPr="00F9203D" w:rsidRDefault="00F9203D" w:rsidP="00921653">
      <w:pPr>
        <w:pStyle w:val="Heading1"/>
        <w:spacing w:line="360" w:lineRule="auto"/>
      </w:pPr>
      <w:r w:rsidRPr="00F9203D">
        <w:t xml:space="preserve">Analysis of SDG 3: Good Health and Wellbeing </w:t>
      </w:r>
    </w:p>
    <w:p w14:paraId="656B6D7A" w14:textId="1B686973" w:rsidR="006A6ABB" w:rsidRDefault="00F67632" w:rsidP="00E14D10">
      <w:pPr>
        <w:spacing w:line="360" w:lineRule="auto"/>
        <w:jc w:val="both"/>
      </w:pPr>
      <w:r w:rsidRPr="00F67632">
        <w:t>SDG 3 is about healthy lives and promotion of wellbeing for all people of all ages, gender and backgrounds</w:t>
      </w:r>
      <w:r w:rsidR="006A6ABB">
        <w:t xml:space="preserve"> (</w:t>
      </w:r>
      <w:proofErr w:type="spellStart"/>
      <w:r w:rsidR="006A6ABB" w:rsidRPr="006A6ABB">
        <w:t>Lakioti</w:t>
      </w:r>
      <w:proofErr w:type="spellEnd"/>
      <w:r w:rsidR="006A6ABB">
        <w:t xml:space="preserve"> et al., 2025). </w:t>
      </w:r>
      <w:r w:rsidRPr="00F67632">
        <w:t>Some of the milestones that are required to achieve the goal include universal health coverage, reducing maternal mortality, reducing child mortality rates and controlling communicable diseases. It also seeks to advance mental health services, prevention of non-communicable disease mortality and bolster the mental health workforce throughout the world. SDG 3 has made a significant contribution to public health at the global level. Vaccination programmes, disease prevention programmes and access to health care have been supported by the World Health Organi</w:t>
      </w:r>
      <w:r w:rsidR="005D70A9">
        <w:t>s</w:t>
      </w:r>
      <w:r w:rsidRPr="00F67632">
        <w:t>ation in numerous countries</w:t>
      </w:r>
      <w:r w:rsidR="00E14D10">
        <w:t xml:space="preserve"> (</w:t>
      </w:r>
      <w:r w:rsidR="00E14D10" w:rsidRPr="00E14D10">
        <w:t>Lindstrand</w:t>
      </w:r>
      <w:r w:rsidR="00E14D10">
        <w:t xml:space="preserve"> et al., 2021). </w:t>
      </w:r>
      <w:r w:rsidRPr="00F67632">
        <w:t xml:space="preserve">Vaccination programmes have saved child lives and lowered mortality rates from vaccine-preventable diseases worldwide. </w:t>
      </w:r>
    </w:p>
    <w:p w14:paraId="56C7FA4D" w14:textId="77777777" w:rsidR="00A612FF" w:rsidRDefault="00F67632" w:rsidP="00180C2B">
      <w:pPr>
        <w:spacing w:line="360" w:lineRule="auto"/>
        <w:jc w:val="both"/>
      </w:pPr>
      <w:r w:rsidRPr="00F67632">
        <w:t>The COVID-19 pandemic underscored the value of robust health care systems and international collaboration and public health preparedness</w:t>
      </w:r>
      <w:r w:rsidR="00180C2B">
        <w:t xml:space="preserve"> (</w:t>
      </w:r>
      <w:r w:rsidR="00180C2B" w:rsidRPr="00180C2B">
        <w:t>Assefa</w:t>
      </w:r>
      <w:r w:rsidR="00180C2B">
        <w:t xml:space="preserve"> et al., 2022)</w:t>
      </w:r>
      <w:r w:rsidR="00180C2B" w:rsidRPr="00180C2B">
        <w:t>.</w:t>
      </w:r>
      <w:r w:rsidRPr="00F67632">
        <w:t xml:space="preserve"> Over the last few decades, there has been improvement in global life expectancy, which reflects progress in health outcomes globally. Even though </w:t>
      </w:r>
      <w:r w:rsidR="006A6ABB" w:rsidRPr="00F67632">
        <w:t>this progress</w:t>
      </w:r>
      <w:r w:rsidRPr="00F67632">
        <w:t xml:space="preserve"> </w:t>
      </w:r>
      <w:r w:rsidR="006A6ABB" w:rsidRPr="00F67632">
        <w:t>has</w:t>
      </w:r>
      <w:r w:rsidRPr="00F67632">
        <w:t xml:space="preserve"> been made, there are still health disparities between developed and developing nations. The shortage of health professionals, access to medical resources and poor quality of health infrastructure is still a problem in many </w:t>
      </w:r>
      <w:r w:rsidR="006A6ABB" w:rsidRPr="00F67632">
        <w:t>low-income</w:t>
      </w:r>
      <w:r w:rsidRPr="00F67632">
        <w:t xml:space="preserve"> countries. These hurdles impede the effort to provide universal health coverage and health outcomes that are equitable. </w:t>
      </w:r>
    </w:p>
    <w:p w14:paraId="1BFFA0F4" w14:textId="0D99458D" w:rsidR="006E48D9" w:rsidRDefault="00F67632" w:rsidP="00180C2B">
      <w:pPr>
        <w:spacing w:line="360" w:lineRule="auto"/>
        <w:jc w:val="both"/>
      </w:pPr>
      <w:r w:rsidRPr="00F67632">
        <w:t xml:space="preserve">In the UK, SDG 3 is addressed in various ways, including through government policies and health programs. The NHS Long Term Plan is about preventing ill health and intervening early, and making health care more accessible. The national </w:t>
      </w:r>
      <w:r w:rsidR="009840FD">
        <w:t>immunisation</w:t>
      </w:r>
      <w:r w:rsidRPr="00F67632">
        <w:t xml:space="preserve"> programs have been effective in decreasing transmissible diseases and in immunizing the vulnerable groups. There has been a reduction in smoking rates through smoking </w:t>
      </w:r>
      <w:r w:rsidRPr="00F67632">
        <w:lastRenderedPageBreak/>
        <w:t xml:space="preserve">cessation programmes and obesity strategies are looking to promote a healthier lifestyle. The government has also paid more attention to mental health services and support for the community. Birmingham, at a local level, illustrates progress towards SDG 3 objectives. Community health programmes encourage physical activity, healthy diet and mental health. </w:t>
      </w:r>
    </w:p>
    <w:p w14:paraId="1518308E" w14:textId="4BF17ACB" w:rsidR="00F9203D" w:rsidRPr="00F9203D" w:rsidRDefault="00F67632" w:rsidP="00AA538E">
      <w:pPr>
        <w:spacing w:line="360" w:lineRule="auto"/>
        <w:jc w:val="both"/>
      </w:pPr>
      <w:r w:rsidRPr="00F67632">
        <w:t>Local authorities collaborate with health services to tackle health inequalities and facilitate access to key services</w:t>
      </w:r>
      <w:r w:rsidR="009840FD">
        <w:t xml:space="preserve"> (</w:t>
      </w:r>
      <w:proofErr w:type="spellStart"/>
      <w:r w:rsidR="009840FD" w:rsidRPr="009840FD">
        <w:t>Alderwick</w:t>
      </w:r>
      <w:proofErr w:type="spellEnd"/>
      <w:r w:rsidR="009840FD">
        <w:t xml:space="preserve"> et al., 2024). </w:t>
      </w:r>
      <w:r w:rsidRPr="00F67632">
        <w:t>Healthy behaviours are promoted in the community through mental health support services and public health campaigns. There have been significant improvements, but there are still some problems to be solved. The ongoing health service staffing crisis is also having a detrimental effect on the health sector</w:t>
      </w:r>
      <w:r w:rsidR="00AA538E">
        <w:t xml:space="preserve"> (</w:t>
      </w:r>
      <w:r w:rsidR="00AA538E" w:rsidRPr="00AA538E">
        <w:t>Davis</w:t>
      </w:r>
      <w:r w:rsidR="00AA538E">
        <w:t xml:space="preserve"> et al., 2022). </w:t>
      </w:r>
      <w:r w:rsidRPr="00F67632">
        <w:t>Long waiting times impact on the patient's experience and outcomes. Mental health services are becoming more and more in demand as resources become scarce due to limited finances. There are also disparities in health between communities and regions. Thus, there is a need to further develop this to make sure that everyone can access health care equally in the UK.</w:t>
      </w:r>
    </w:p>
    <w:p w14:paraId="5C0B8390" w14:textId="3A3DC9D2" w:rsidR="00F9203D" w:rsidRDefault="00F9203D" w:rsidP="00921653">
      <w:pPr>
        <w:pStyle w:val="Heading1"/>
        <w:spacing w:line="360" w:lineRule="auto"/>
      </w:pPr>
      <w:r w:rsidRPr="00D367C2">
        <w:t xml:space="preserve">Analysis of SDG 10: Reduced Inequalities </w:t>
      </w:r>
    </w:p>
    <w:p w14:paraId="598DA935" w14:textId="249B189B" w:rsidR="00F67632" w:rsidRDefault="00F67632" w:rsidP="0096059A">
      <w:pPr>
        <w:spacing w:line="360" w:lineRule="auto"/>
        <w:jc w:val="both"/>
      </w:pPr>
      <w:r w:rsidRPr="00F67632">
        <w:t>SDG 10 targets inequalities and social inclusion in all different sectors of society</w:t>
      </w:r>
      <w:r w:rsidR="00692C9A">
        <w:t xml:space="preserve"> and the </w:t>
      </w:r>
      <w:r w:rsidRPr="00F67632">
        <w:t>aim is to decrease income inequalities</w:t>
      </w:r>
      <w:r w:rsidR="0096059A">
        <w:t xml:space="preserve"> (</w:t>
      </w:r>
      <w:r w:rsidR="0096059A" w:rsidRPr="0096059A">
        <w:t xml:space="preserve">Bhandari, 2024). </w:t>
      </w:r>
      <w:r w:rsidR="0096059A">
        <w:t xml:space="preserve">To </w:t>
      </w:r>
      <w:r w:rsidRPr="00F67632">
        <w:t xml:space="preserve">enhance health and education services, promote equal opportunities and advance social inclusion of the less privileged. The importance of inequality reduction is that inequitable societies tend to have less healthy societies and less overall wellbeing. Health inequalities have a profound impact on people and populations. Residents of low-income communities may also have a lower life expectancy, increased prevalence of chronic disease, and lower mental health status. Poor access to health care, healthy homes and jobs can lead to poor health outcomes and lower quality of life. Health inequalities are a large public health problem in the United Kingdom. There are substantial inequalities between rich and poor </w:t>
      </w:r>
      <w:r w:rsidR="00333EF7" w:rsidRPr="00F67632">
        <w:t>neighbourhoods</w:t>
      </w:r>
      <w:r w:rsidRPr="00F67632">
        <w:t xml:space="preserve"> in terms of life expectancy and health outcomes. There can also be inequalities and inequities in access to health care for ethnic minorities. Poor housing, food insecurity, and limited education are all pathways by which poverty remains a determinant of poor health. Job insecurity and low earnings also fuel health inequities between areas.</w:t>
      </w:r>
    </w:p>
    <w:p w14:paraId="79E4ED02" w14:textId="0FB60F61" w:rsidR="00C41DC0" w:rsidRDefault="00C41DC0" w:rsidP="00921653">
      <w:pPr>
        <w:pStyle w:val="Heading2"/>
        <w:spacing w:line="360" w:lineRule="auto"/>
        <w:jc w:val="both"/>
      </w:pPr>
      <w:r w:rsidRPr="00C41DC0">
        <w:lastRenderedPageBreak/>
        <w:t>Local Examples and Critical Evaluation of SDG 10</w:t>
      </w:r>
    </w:p>
    <w:p w14:paraId="0090EB00" w14:textId="2E7DF504" w:rsidR="00921653" w:rsidRDefault="00921653" w:rsidP="00921653">
      <w:pPr>
        <w:spacing w:line="360" w:lineRule="auto"/>
        <w:jc w:val="both"/>
      </w:pPr>
      <w:r>
        <w:t>Despite a few programmes to improve health, Birmingham is one of those cities experiencing inequalities. Obesity, unemployment and long-term health conditions are common in many deprived neighbourhoods and are more likely to be found there than in wealthier areas. This is also the case in these communities where people may have limited access to good housing, education and employment opportunities, leading to a reduction in healthy life expectancy. Birmingham City Council implements a range of community wellbeing programmes and healthy lifestyle campaigns, in partnership with the NHS and local organisations, to work towards improving public health, and targeted support for vulnerable groups.</w:t>
      </w:r>
    </w:p>
    <w:p w14:paraId="3E31886E" w14:textId="52941D9A" w:rsidR="00C41DC0" w:rsidRPr="00C41DC0" w:rsidRDefault="00921653" w:rsidP="00921653">
      <w:pPr>
        <w:spacing w:line="360" w:lineRule="auto"/>
        <w:jc w:val="both"/>
      </w:pPr>
      <w:r>
        <w:t>SDG 10 has led to a number of positive outcomes in the United Kingdom. The Equality Act 2010 aims to prevent discrimination and to promote equality of opportunity in employment, education and healthcare. The NHS has also put in place specific initiatives to tackle inequalities in health by making services more available to disadvantaged groups. But there are still significant issues to be addressed. Health disparities persist across the country, including regionally and due to inadequate funding, and to critical ethnic health inequalities. This, in turn, requires more investment from the government, improved partnership working and long-term policies to effectively tackle inequalities in order to improve health and wellbeing sustainably.</w:t>
      </w:r>
    </w:p>
    <w:p w14:paraId="792E806C" w14:textId="77777777" w:rsidR="00F67632" w:rsidRDefault="00F9203D" w:rsidP="00921653">
      <w:pPr>
        <w:pStyle w:val="Heading1"/>
        <w:spacing w:line="360" w:lineRule="auto"/>
      </w:pPr>
      <w:r w:rsidRPr="00D367C2">
        <w:t xml:space="preserve">Evaluation of National and Local Health and Wellbeing Initiatives </w:t>
      </w:r>
    </w:p>
    <w:p w14:paraId="28646A61" w14:textId="77777777" w:rsidR="00237EE2" w:rsidRDefault="00924D7C" w:rsidP="00A25C49">
      <w:pPr>
        <w:spacing w:line="360" w:lineRule="auto"/>
        <w:jc w:val="both"/>
      </w:pPr>
      <w:r w:rsidRPr="00924D7C">
        <w:t xml:space="preserve">The NHS Long Term Plan is one key national plan in place to help support health and wellbeing. The strategy is </w:t>
      </w:r>
      <w:proofErr w:type="spellStart"/>
      <w:r w:rsidRPr="00924D7C">
        <w:t>centered</w:t>
      </w:r>
      <w:proofErr w:type="spellEnd"/>
      <w:r w:rsidRPr="00924D7C">
        <w:t xml:space="preserve"> on disease prevention, digital innovation in healthcare, enhanced mental health services and integrated healthcare delivery. The plan is designed to help deliver more personalised care and ease the strain on hospitals and emergency services. There have been some good things that have come from the NHS Long Term Plan. The use of digital in health care has enhanced access to health care services. Increased investment in mental health services has increased the capacity to provide care to vulnerable populations</w:t>
      </w:r>
      <w:r w:rsidR="00A25C49">
        <w:t xml:space="preserve"> (</w:t>
      </w:r>
      <w:proofErr w:type="spellStart"/>
      <w:r w:rsidR="00A25C49" w:rsidRPr="00A25C49">
        <w:t>Erku</w:t>
      </w:r>
      <w:proofErr w:type="spellEnd"/>
      <w:r w:rsidR="00A25C49">
        <w:t xml:space="preserve"> et al., 2023)</w:t>
      </w:r>
      <w:r w:rsidR="00A25C49" w:rsidRPr="00A25C49">
        <w:t>.</w:t>
      </w:r>
      <w:r w:rsidRPr="00924D7C">
        <w:t xml:space="preserve"> Prevention programmes have promoted a healthier lifestyle and lessened the risk of smoking and obesity. But there are some hurdles to implementation. Labor shortages remain a strain on healthcare. Budgetary pressures do not provide enough funds for organisations to build up services effectively. The aging population is putting additional strain on healthcare services as the need for care will continue to rise. The national </w:t>
      </w:r>
      <w:r w:rsidRPr="00924D7C">
        <w:lastRenderedPageBreak/>
        <w:t xml:space="preserve">policy of the Health and Care Act 2022 is another major piece of legislation. The bill will seek to enhance coordination between health care providers and local governments. ICS supports population health management and </w:t>
      </w:r>
      <w:r w:rsidR="00237EE2" w:rsidRPr="00924D7C">
        <w:t>promotes</w:t>
      </w:r>
      <w:r w:rsidRPr="00924D7C">
        <w:t xml:space="preserve"> coordinated service delivery. </w:t>
      </w:r>
    </w:p>
    <w:p w14:paraId="3CB8A812" w14:textId="17764727" w:rsidR="00F67632" w:rsidRPr="00F67632" w:rsidRDefault="00924D7C" w:rsidP="00BA508E">
      <w:pPr>
        <w:spacing w:line="360" w:lineRule="auto"/>
        <w:jc w:val="both"/>
      </w:pPr>
      <w:r w:rsidRPr="00924D7C">
        <w:t>Despite the impact of the policy on partnership working, issues of funding, staffing and the uniformity of its application in various areas still need to be addressed</w:t>
      </w:r>
      <w:r w:rsidR="00BA508E">
        <w:t xml:space="preserve"> (</w:t>
      </w:r>
      <w:proofErr w:type="spellStart"/>
      <w:r w:rsidR="00BA508E" w:rsidRPr="00BA508E">
        <w:t>Ocloo</w:t>
      </w:r>
      <w:proofErr w:type="spellEnd"/>
      <w:r w:rsidR="00BA508E">
        <w:t xml:space="preserve"> et al., 2021). </w:t>
      </w:r>
      <w:r w:rsidRPr="00924D7C">
        <w:t xml:space="preserve">At the local level Birmingham's Public Health Strategy is about tackling health inequalities at a local level with </w:t>
      </w:r>
      <w:r w:rsidR="00237EE2" w:rsidRPr="00924D7C">
        <w:t>community-based</w:t>
      </w:r>
      <w:r w:rsidRPr="00924D7C">
        <w:t xml:space="preserve"> interventions. The approach encourages people to adopt a healthy lifestyle and engage in physical activity, eating well, and mental wellbeing. Local authority, health and voluntary organisations are involved in partnerships to deliver the programme. Local initiatives have led to some level of success. CHWs have raised awareness of healthful behaviour and participation in well-being programs. Increased support networks for vulnerable populations as a result of local partnerships. But with restricted budgets and growing demand, service delivery and sustainability remain a challenge. Local initiatives tend to be more targeted in their support and tend to be in response to community needs, whereas national initiatives tend to provide more resources and policy direction. National and local organisations continue to need to work together effectively for better health and less inequalities.</w:t>
      </w:r>
    </w:p>
    <w:p w14:paraId="431A984A" w14:textId="3165CEC2" w:rsidR="00F9203D" w:rsidRDefault="00F9203D" w:rsidP="00921653">
      <w:pPr>
        <w:pStyle w:val="Heading1"/>
        <w:spacing w:line="360" w:lineRule="auto"/>
      </w:pPr>
      <w:r w:rsidRPr="00F9203D">
        <w:t xml:space="preserve">Recommendations for Improvement </w:t>
      </w:r>
    </w:p>
    <w:p w14:paraId="2C09BA32" w14:textId="252EE113" w:rsidR="00924D7C" w:rsidRPr="00924D7C" w:rsidRDefault="00924D7C" w:rsidP="00921653">
      <w:pPr>
        <w:spacing w:line="360" w:lineRule="auto"/>
        <w:jc w:val="both"/>
      </w:pPr>
      <w:r w:rsidRPr="00924D7C">
        <w:t xml:space="preserve">The first of all is to invest more in preventative healthcare services. Early intervention can lower the burden of disease and cost of health care over a lifetime significantly. Second, there is a need to expand community mental health services to meet growing demand and to make vulnerable people in the community more easily accessible. Better mental health services can contribute to wellbeing, and to lessening social inequalities. Third, there should be dedicated funding for impoverished communities with substandard health outcomes. Regional inequalities and accessibility of healthcare can be reduced with the use of additional resources. Fourth, digitized health-care services need to be more accessible to disadvantaged sector members. Access to healthcare will be facilitated through training programmes and enhanced digital infrastructure. Fifth, more effective collaboration between the NHS, local authorities and community groups should be promoted. Coordinated and cooperative strategies can increase the effectiveness of service coordination and facilitate better </w:t>
      </w:r>
      <w:r w:rsidRPr="00924D7C">
        <w:lastRenderedPageBreak/>
        <w:t>health interventions. These recommendations can help to deliver SDG 3 and SDG 10 targets and can underpin improvements in public health and wellbeing that are sustainable.</w:t>
      </w:r>
    </w:p>
    <w:p w14:paraId="4B6BA51E" w14:textId="5C08518F" w:rsidR="00F9203D" w:rsidRDefault="00F9203D" w:rsidP="00921653">
      <w:pPr>
        <w:pStyle w:val="Heading1"/>
        <w:spacing w:line="360" w:lineRule="auto"/>
      </w:pPr>
      <w:r w:rsidRPr="00F9203D">
        <w:t xml:space="preserve">Conclusion </w:t>
      </w:r>
    </w:p>
    <w:p w14:paraId="1E155C40" w14:textId="2B8C7D73" w:rsidR="00924D7C" w:rsidRDefault="00B779C4" w:rsidP="00921653">
      <w:pPr>
        <w:spacing w:line="360" w:lineRule="auto"/>
        <w:jc w:val="both"/>
      </w:pPr>
      <w:r w:rsidRPr="00B779C4">
        <w:t>Health, wellbeing and sustainable development go hand in hand and are vital to developing healthier societies. Access to health and SDG 10 are important drivers of addressing inequalities. There is considerable progress in the world and within the UK, however various issues</w:t>
      </w:r>
      <w:r>
        <w:t>,</w:t>
      </w:r>
      <w:r w:rsidRPr="00B779C4">
        <w:t xml:space="preserve"> including workforce shortages, health inequalities and funding pressures remain to be a factor in outcomes. Positive outcomes have been achieved through national and local programmes, but there is still work to be done; Ongoing investments, partnerships and policy formulation based on evidence will facilitate improved health and equity in communities and enable long-term sustainable development goals to be achieved.</w:t>
      </w:r>
    </w:p>
    <w:p w14:paraId="22844837" w14:textId="47D32179" w:rsidR="00796E97" w:rsidRPr="00924D7C" w:rsidRDefault="00796E97" w:rsidP="00796E97">
      <w:pPr>
        <w:spacing w:line="278" w:lineRule="auto"/>
        <w:jc w:val="left"/>
      </w:pPr>
      <w:r>
        <w:br w:type="page"/>
      </w:r>
    </w:p>
    <w:p w14:paraId="4197D2B8" w14:textId="1C2ABA01" w:rsidR="00F9203D" w:rsidRDefault="009D7ABA" w:rsidP="00921653">
      <w:pPr>
        <w:pStyle w:val="Heading1"/>
        <w:spacing w:line="360" w:lineRule="auto"/>
      </w:pPr>
      <w:r>
        <w:lastRenderedPageBreak/>
        <w:t>References</w:t>
      </w:r>
      <w:r w:rsidR="00223BAE">
        <w:t xml:space="preserve"> </w:t>
      </w:r>
    </w:p>
    <w:p w14:paraId="3DFB1437" w14:textId="4BE1F1F4" w:rsidR="007B4975" w:rsidRDefault="007B4975" w:rsidP="007B4975">
      <w:pPr>
        <w:spacing w:line="360" w:lineRule="auto"/>
        <w:ind w:left="720" w:hanging="720"/>
        <w:jc w:val="both"/>
      </w:pPr>
      <w:r w:rsidRPr="007B4975">
        <w:t xml:space="preserve">Guerra, S., Roope, L. S., </w:t>
      </w:r>
      <w:r w:rsidR="000D10BE">
        <w:t xml:space="preserve">and </w:t>
      </w:r>
      <w:proofErr w:type="spellStart"/>
      <w:r w:rsidRPr="007B4975">
        <w:t>Tsiachristas</w:t>
      </w:r>
      <w:proofErr w:type="spellEnd"/>
      <w:r w:rsidRPr="007B4975">
        <w:t>, A. (2024). Assessing the relationship between coverage of essential health services and poverty levels in low-and middle-income countries. </w:t>
      </w:r>
      <w:r w:rsidRPr="007B4975">
        <w:rPr>
          <w:i/>
          <w:iCs/>
        </w:rPr>
        <w:t>Health policy and planning</w:t>
      </w:r>
      <w:r w:rsidRPr="007B4975">
        <w:t>, </w:t>
      </w:r>
      <w:r w:rsidRPr="007B4975">
        <w:rPr>
          <w:i/>
          <w:iCs/>
        </w:rPr>
        <w:t>39</w:t>
      </w:r>
      <w:r w:rsidRPr="007B4975">
        <w:t xml:space="preserve">(2), </w:t>
      </w:r>
      <w:r w:rsidR="00596671">
        <w:t>pp.</w:t>
      </w:r>
      <w:r w:rsidRPr="007B4975">
        <w:t>156-167.</w:t>
      </w:r>
    </w:p>
    <w:p w14:paraId="708E2918" w14:textId="684D1988" w:rsidR="007B4975" w:rsidRDefault="007B4975" w:rsidP="007B4975">
      <w:pPr>
        <w:spacing w:line="360" w:lineRule="auto"/>
        <w:ind w:left="720" w:hanging="720"/>
        <w:jc w:val="both"/>
      </w:pPr>
      <w:r w:rsidRPr="007B4975">
        <w:t xml:space="preserve">Dahlgren, G., </w:t>
      </w:r>
      <w:r w:rsidR="000D10BE">
        <w:t xml:space="preserve">and </w:t>
      </w:r>
      <w:r w:rsidRPr="007B4975">
        <w:t>Whitehead, M. (2021). The Dahlgren-Whitehead model of health determinants: 30 years on and still chasing rainbows. </w:t>
      </w:r>
      <w:r w:rsidRPr="007B4975">
        <w:rPr>
          <w:i/>
          <w:iCs/>
        </w:rPr>
        <w:t>Public health</w:t>
      </w:r>
      <w:r w:rsidRPr="007B4975">
        <w:t>, </w:t>
      </w:r>
      <w:r w:rsidRPr="007B4975">
        <w:rPr>
          <w:i/>
          <w:iCs/>
        </w:rPr>
        <w:t>199</w:t>
      </w:r>
      <w:r w:rsidRPr="007B4975">
        <w:t xml:space="preserve">, </w:t>
      </w:r>
      <w:r w:rsidR="00716E9E">
        <w:t>pp.</w:t>
      </w:r>
      <w:r w:rsidRPr="007B4975">
        <w:t>20-24.</w:t>
      </w:r>
    </w:p>
    <w:p w14:paraId="7C7DC10D" w14:textId="63C10FA6" w:rsidR="007B4975" w:rsidRDefault="007B4975" w:rsidP="007B4975">
      <w:pPr>
        <w:spacing w:line="360" w:lineRule="auto"/>
        <w:ind w:left="720" w:hanging="720"/>
        <w:jc w:val="both"/>
      </w:pPr>
      <w:r w:rsidRPr="007B4975">
        <w:t xml:space="preserve">Sarwar, S., </w:t>
      </w:r>
      <w:proofErr w:type="spellStart"/>
      <w:r w:rsidRPr="007B4975">
        <w:t>Streimikiene</w:t>
      </w:r>
      <w:proofErr w:type="spellEnd"/>
      <w:r w:rsidRPr="007B4975">
        <w:t xml:space="preserve">, D., Waheed, R., </w:t>
      </w:r>
      <w:r w:rsidR="000D10BE">
        <w:t xml:space="preserve">and </w:t>
      </w:r>
      <w:proofErr w:type="spellStart"/>
      <w:r w:rsidRPr="007B4975">
        <w:t>Mighri</w:t>
      </w:r>
      <w:proofErr w:type="spellEnd"/>
      <w:r w:rsidRPr="007B4975">
        <w:t>, Z. (2021). Revisiting the empirical relationship among the main targets of sustainable development: Growth, education, health and carbon emissions. </w:t>
      </w:r>
      <w:r w:rsidRPr="007B4975">
        <w:rPr>
          <w:i/>
          <w:iCs/>
        </w:rPr>
        <w:t>Sustainable Development</w:t>
      </w:r>
      <w:r w:rsidRPr="007B4975">
        <w:t>, </w:t>
      </w:r>
      <w:r w:rsidRPr="007B4975">
        <w:rPr>
          <w:i/>
          <w:iCs/>
        </w:rPr>
        <w:t>29</w:t>
      </w:r>
      <w:r w:rsidRPr="007B4975">
        <w:t xml:space="preserve">(2), </w:t>
      </w:r>
      <w:r w:rsidR="00535F0B">
        <w:t>pp.</w:t>
      </w:r>
      <w:r w:rsidRPr="007B4975">
        <w:t>419-440.</w:t>
      </w:r>
    </w:p>
    <w:p w14:paraId="11BA8006" w14:textId="0D8AAF34" w:rsidR="007B4975" w:rsidRDefault="007B4975" w:rsidP="007B4975">
      <w:pPr>
        <w:spacing w:line="360" w:lineRule="auto"/>
        <w:ind w:left="720" w:hanging="720"/>
        <w:jc w:val="both"/>
      </w:pPr>
      <w:r w:rsidRPr="007B4975">
        <w:t xml:space="preserve">Bhandari, M. P. (2024). What is next for the sustainable development goals, what are the challenges concerning SDG 10—reduced </w:t>
      </w:r>
      <w:proofErr w:type="gramStart"/>
      <w:r w:rsidRPr="007B4975">
        <w:t>inequalities?.</w:t>
      </w:r>
      <w:proofErr w:type="gramEnd"/>
      <w:r w:rsidRPr="007B4975">
        <w:t> </w:t>
      </w:r>
      <w:r w:rsidRPr="007B4975">
        <w:rPr>
          <w:i/>
          <w:iCs/>
        </w:rPr>
        <w:t>Sustainable Earth Reviews</w:t>
      </w:r>
      <w:r w:rsidRPr="007B4975">
        <w:t>, </w:t>
      </w:r>
      <w:r w:rsidRPr="007B4975">
        <w:rPr>
          <w:i/>
          <w:iCs/>
        </w:rPr>
        <w:t>7</w:t>
      </w:r>
      <w:r w:rsidRPr="007B4975">
        <w:t xml:space="preserve">(1), </w:t>
      </w:r>
      <w:r w:rsidR="00817B60">
        <w:t>p.</w:t>
      </w:r>
      <w:r w:rsidRPr="007B4975">
        <w:t>23.</w:t>
      </w:r>
    </w:p>
    <w:p w14:paraId="43F858C7" w14:textId="72FC8D99" w:rsidR="007B4975" w:rsidRDefault="007B4975" w:rsidP="007B4975">
      <w:pPr>
        <w:spacing w:line="360" w:lineRule="auto"/>
        <w:ind w:left="720" w:hanging="720"/>
        <w:jc w:val="both"/>
      </w:pPr>
      <w:r w:rsidRPr="007B4975">
        <w:t xml:space="preserve">Mumford, E. L., Martinez, D. J., </w:t>
      </w:r>
      <w:proofErr w:type="spellStart"/>
      <w:r w:rsidRPr="007B4975">
        <w:t>Tyance</w:t>
      </w:r>
      <w:proofErr w:type="spellEnd"/>
      <w:r w:rsidRPr="007B4975">
        <w:t xml:space="preserve">-Hassell, K., Cook, A., Hansen, G. R., Labonté, R., ... </w:t>
      </w:r>
      <w:r w:rsidR="000D10BE">
        <w:t xml:space="preserve">and </w:t>
      </w:r>
      <w:r w:rsidRPr="007B4975">
        <w:t>Parrish-Sprowl, J. (2023). Evolution and expansion of the One Health approach to promote sustainable and resilient health and well-being: A call to action. </w:t>
      </w:r>
      <w:r w:rsidRPr="007B4975">
        <w:rPr>
          <w:i/>
          <w:iCs/>
        </w:rPr>
        <w:t>Frontiers in public health</w:t>
      </w:r>
      <w:r w:rsidRPr="007B4975">
        <w:t>, </w:t>
      </w:r>
      <w:r w:rsidRPr="007B4975">
        <w:rPr>
          <w:i/>
          <w:iCs/>
        </w:rPr>
        <w:t>10</w:t>
      </w:r>
      <w:r w:rsidRPr="007B4975">
        <w:t xml:space="preserve">, </w:t>
      </w:r>
      <w:r w:rsidR="00AF4FF7">
        <w:t>p.</w:t>
      </w:r>
      <w:r w:rsidRPr="007B4975">
        <w:t>1056459.</w:t>
      </w:r>
    </w:p>
    <w:p w14:paraId="1405A839" w14:textId="79159C72" w:rsidR="00FC3DAA" w:rsidRDefault="00FC3DAA" w:rsidP="00FC3DAA">
      <w:pPr>
        <w:spacing w:line="360" w:lineRule="auto"/>
        <w:ind w:left="720" w:hanging="720"/>
        <w:jc w:val="both"/>
      </w:pPr>
      <w:r w:rsidRPr="00FC3DAA">
        <w:t xml:space="preserve">Bhandari, M. P. (2024). What is next for the sustainable development goals, what are the challenges concerning SDG 10—reduced </w:t>
      </w:r>
      <w:proofErr w:type="gramStart"/>
      <w:r w:rsidRPr="00FC3DAA">
        <w:t>inequalities?.</w:t>
      </w:r>
      <w:proofErr w:type="gramEnd"/>
      <w:r w:rsidRPr="00FC3DAA">
        <w:t> </w:t>
      </w:r>
      <w:r w:rsidRPr="00FC3DAA">
        <w:rPr>
          <w:i/>
          <w:iCs/>
        </w:rPr>
        <w:t>Sustainable Earth Reviews</w:t>
      </w:r>
      <w:r w:rsidRPr="00FC3DAA">
        <w:t>, </w:t>
      </w:r>
      <w:r w:rsidRPr="00FC3DAA">
        <w:rPr>
          <w:i/>
          <w:iCs/>
        </w:rPr>
        <w:t>7</w:t>
      </w:r>
      <w:r w:rsidRPr="00FC3DAA">
        <w:t xml:space="preserve">(1), </w:t>
      </w:r>
      <w:r w:rsidR="00821D7B">
        <w:t>p.</w:t>
      </w:r>
      <w:r w:rsidRPr="00FC3DAA">
        <w:t>23.</w:t>
      </w:r>
    </w:p>
    <w:p w14:paraId="58CE6988" w14:textId="1058EB4A" w:rsidR="00FC3DAA" w:rsidRDefault="00FC3DAA" w:rsidP="00FC3DAA">
      <w:pPr>
        <w:spacing w:line="360" w:lineRule="auto"/>
        <w:ind w:left="720" w:hanging="720"/>
        <w:jc w:val="both"/>
      </w:pPr>
      <w:r w:rsidRPr="00FC3DAA">
        <w:t xml:space="preserve">Davis, B., Bankhead-Kendall, B. K., </w:t>
      </w:r>
      <w:r w:rsidR="000D10BE">
        <w:t xml:space="preserve">and </w:t>
      </w:r>
      <w:r w:rsidRPr="00FC3DAA">
        <w:t>Dumas, R. P. (2022). A review of COVID-19’s impact on modern medical systems from a health organization management perspective. </w:t>
      </w:r>
      <w:r w:rsidRPr="00FC3DAA">
        <w:rPr>
          <w:i/>
          <w:iCs/>
        </w:rPr>
        <w:t>Health and technology</w:t>
      </w:r>
      <w:r w:rsidRPr="00FC3DAA">
        <w:t>, </w:t>
      </w:r>
      <w:r w:rsidRPr="00FC3DAA">
        <w:rPr>
          <w:i/>
          <w:iCs/>
        </w:rPr>
        <w:t>12</w:t>
      </w:r>
      <w:r w:rsidRPr="00FC3DAA">
        <w:t xml:space="preserve">(4), </w:t>
      </w:r>
      <w:r w:rsidR="009A3E40">
        <w:t>pp.</w:t>
      </w:r>
      <w:r w:rsidRPr="00FC3DAA">
        <w:t>815-824.</w:t>
      </w:r>
    </w:p>
    <w:p w14:paraId="30145708" w14:textId="344C7659" w:rsidR="00FC3DAA" w:rsidRDefault="00FC3DAA" w:rsidP="00FC3DAA">
      <w:pPr>
        <w:spacing w:line="360" w:lineRule="auto"/>
        <w:ind w:left="720" w:hanging="720"/>
        <w:jc w:val="both"/>
      </w:pPr>
      <w:proofErr w:type="spellStart"/>
      <w:r w:rsidRPr="00FC3DAA">
        <w:t>Alderwick</w:t>
      </w:r>
      <w:proofErr w:type="spellEnd"/>
      <w:r w:rsidRPr="00FC3DAA">
        <w:t xml:space="preserve">, H., Hutchings, A., </w:t>
      </w:r>
      <w:r w:rsidR="000D10BE">
        <w:t xml:space="preserve">and </w:t>
      </w:r>
      <w:r w:rsidRPr="00FC3DAA">
        <w:t>Mays, N. (2024). Cross-sector collaboration to reduce health inequalities: a qualitative study of local collaboration between health care, social services, and other sectors under health system reforms in England. </w:t>
      </w:r>
      <w:r w:rsidRPr="00FC3DAA">
        <w:rPr>
          <w:i/>
          <w:iCs/>
        </w:rPr>
        <w:t>BMC Public Health</w:t>
      </w:r>
      <w:r w:rsidRPr="00FC3DAA">
        <w:t>, </w:t>
      </w:r>
      <w:r w:rsidRPr="00FC3DAA">
        <w:rPr>
          <w:i/>
          <w:iCs/>
        </w:rPr>
        <w:t>24</w:t>
      </w:r>
      <w:r w:rsidRPr="00FC3DAA">
        <w:t xml:space="preserve">(1), </w:t>
      </w:r>
      <w:r w:rsidR="00173E88">
        <w:t>p.</w:t>
      </w:r>
      <w:r w:rsidRPr="00FC3DAA">
        <w:t>2613.</w:t>
      </w:r>
    </w:p>
    <w:p w14:paraId="34E3BB90" w14:textId="4984AE94" w:rsidR="00FC3DAA" w:rsidRDefault="00FC3DAA" w:rsidP="00FC3DAA">
      <w:pPr>
        <w:spacing w:line="360" w:lineRule="auto"/>
        <w:ind w:left="720" w:hanging="720"/>
        <w:jc w:val="both"/>
      </w:pPr>
      <w:r w:rsidRPr="00FC3DAA">
        <w:lastRenderedPageBreak/>
        <w:t xml:space="preserve">Assefa, Y., Gilks, C. F., Reid, S., van de Pas, R., Gete, D. G., </w:t>
      </w:r>
      <w:r w:rsidR="000D10BE">
        <w:t>and</w:t>
      </w:r>
      <w:r w:rsidRPr="00FC3DAA">
        <w:t xml:space="preserve"> Van Damme, W. (2022). Analysis of the COVID-19 pandemic: lessons towards a more effective response to public health emergencies. </w:t>
      </w:r>
      <w:r w:rsidRPr="00FC3DAA">
        <w:rPr>
          <w:i/>
          <w:iCs/>
        </w:rPr>
        <w:t>Globalization and health</w:t>
      </w:r>
      <w:r w:rsidRPr="00FC3DAA">
        <w:t>, </w:t>
      </w:r>
      <w:r w:rsidRPr="00FC3DAA">
        <w:rPr>
          <w:i/>
          <w:iCs/>
        </w:rPr>
        <w:t>18</w:t>
      </w:r>
      <w:r w:rsidRPr="00FC3DAA">
        <w:t xml:space="preserve">(1), </w:t>
      </w:r>
      <w:r w:rsidR="00C37849">
        <w:t>p.</w:t>
      </w:r>
      <w:r w:rsidRPr="00FC3DAA">
        <w:t>10.</w:t>
      </w:r>
    </w:p>
    <w:p w14:paraId="2C85EF11" w14:textId="54C3FD99" w:rsidR="00FC3DAA" w:rsidRDefault="00FC3DAA" w:rsidP="00FC3DAA">
      <w:pPr>
        <w:spacing w:line="360" w:lineRule="auto"/>
        <w:ind w:left="720" w:hanging="720"/>
        <w:jc w:val="both"/>
      </w:pPr>
      <w:r w:rsidRPr="00FC3DAA">
        <w:t xml:space="preserve">Lindstrand, A., Cherian, T., Chang-Blanc, D., Feikin, D., </w:t>
      </w:r>
      <w:r w:rsidR="000D10BE">
        <w:t xml:space="preserve">and </w:t>
      </w:r>
      <w:r w:rsidRPr="00FC3DAA">
        <w:t>O’Brien, K. L. (2021). The world of immunization: achievements, challenges, and strategic vision for the next decade. </w:t>
      </w:r>
      <w:r w:rsidRPr="00FC3DAA">
        <w:rPr>
          <w:i/>
          <w:iCs/>
        </w:rPr>
        <w:t>The Journal of infectious diseases</w:t>
      </w:r>
      <w:r w:rsidRPr="00FC3DAA">
        <w:t>, </w:t>
      </w:r>
      <w:r w:rsidRPr="00FC3DAA">
        <w:rPr>
          <w:i/>
          <w:iCs/>
        </w:rPr>
        <w:t>224</w:t>
      </w:r>
      <w:r w:rsidRPr="00FC3DAA">
        <w:t xml:space="preserve">(Supplement_4), </w:t>
      </w:r>
      <w:r w:rsidR="00FA1963">
        <w:t>pp.</w:t>
      </w:r>
      <w:r w:rsidR="00C37849">
        <w:t xml:space="preserve"> </w:t>
      </w:r>
      <w:r w:rsidRPr="00FC3DAA">
        <w:t>S452-S467.</w:t>
      </w:r>
    </w:p>
    <w:p w14:paraId="05190153" w14:textId="06567EC2" w:rsidR="00FC3DAA" w:rsidRDefault="00FC3DAA" w:rsidP="00FC3DAA">
      <w:pPr>
        <w:spacing w:line="360" w:lineRule="auto"/>
        <w:ind w:left="720" w:hanging="720"/>
        <w:jc w:val="both"/>
      </w:pPr>
      <w:proofErr w:type="spellStart"/>
      <w:r w:rsidRPr="00FC3DAA">
        <w:t>Lakioti</w:t>
      </w:r>
      <w:proofErr w:type="spellEnd"/>
      <w:r w:rsidRPr="00FC3DAA">
        <w:t xml:space="preserve">, E., Pagonis, N., </w:t>
      </w:r>
      <w:proofErr w:type="spellStart"/>
      <w:r w:rsidRPr="00FC3DAA">
        <w:t>Flegkas</w:t>
      </w:r>
      <w:proofErr w:type="spellEnd"/>
      <w:r w:rsidRPr="00FC3DAA">
        <w:t xml:space="preserve">, D., Itziou, A., Moustakas, K., </w:t>
      </w:r>
      <w:r w:rsidR="000D10BE">
        <w:t xml:space="preserve">and </w:t>
      </w:r>
      <w:proofErr w:type="spellStart"/>
      <w:r w:rsidRPr="00FC3DAA">
        <w:t>Karayannis</w:t>
      </w:r>
      <w:proofErr w:type="spellEnd"/>
      <w:r w:rsidRPr="00FC3DAA">
        <w:t>, V. (2025). Social factors and policies promoting good health and well-being as a sustainable development goal: current achievements and future pathways. </w:t>
      </w:r>
      <w:r w:rsidRPr="00FC3DAA">
        <w:rPr>
          <w:i/>
          <w:iCs/>
        </w:rPr>
        <w:t>Sustainability</w:t>
      </w:r>
      <w:r w:rsidRPr="00FC3DAA">
        <w:t>, </w:t>
      </w:r>
      <w:r w:rsidRPr="00FC3DAA">
        <w:rPr>
          <w:i/>
          <w:iCs/>
        </w:rPr>
        <w:t>17</w:t>
      </w:r>
      <w:r w:rsidRPr="00FC3DAA">
        <w:t xml:space="preserve">(11), </w:t>
      </w:r>
      <w:r w:rsidR="00D847F9">
        <w:t>p.</w:t>
      </w:r>
      <w:r w:rsidRPr="00FC3DAA">
        <w:t>5063.</w:t>
      </w:r>
    </w:p>
    <w:p w14:paraId="4973F9A8" w14:textId="2505309A" w:rsidR="005E44B8" w:rsidRDefault="005E44B8" w:rsidP="005E44B8">
      <w:pPr>
        <w:spacing w:line="360" w:lineRule="auto"/>
        <w:ind w:left="720" w:hanging="720"/>
        <w:jc w:val="both"/>
      </w:pPr>
      <w:proofErr w:type="spellStart"/>
      <w:r w:rsidRPr="005E44B8">
        <w:t>Ocloo</w:t>
      </w:r>
      <w:proofErr w:type="spellEnd"/>
      <w:r w:rsidRPr="005E44B8">
        <w:t xml:space="preserve">, J., Garfield, S., Franklin, B. D., </w:t>
      </w:r>
      <w:r w:rsidR="000D10BE">
        <w:t xml:space="preserve">and </w:t>
      </w:r>
      <w:r w:rsidRPr="005E44B8">
        <w:t>Dawson, S. (2021). Exploring the theory, barriers and enablers for patient and public involvement across health, social care and patient safety: a systematic review of reviews. </w:t>
      </w:r>
      <w:r w:rsidRPr="005E44B8">
        <w:rPr>
          <w:i/>
          <w:iCs/>
        </w:rPr>
        <w:t>Health research policy and systems</w:t>
      </w:r>
      <w:r w:rsidRPr="005E44B8">
        <w:t>, </w:t>
      </w:r>
      <w:r w:rsidRPr="005E44B8">
        <w:rPr>
          <w:i/>
          <w:iCs/>
        </w:rPr>
        <w:t>19</w:t>
      </w:r>
      <w:r w:rsidRPr="005E44B8">
        <w:t xml:space="preserve">(1), </w:t>
      </w:r>
      <w:r w:rsidR="000D10BE">
        <w:t>p.</w:t>
      </w:r>
      <w:r w:rsidRPr="005E44B8">
        <w:t>8.</w:t>
      </w:r>
    </w:p>
    <w:p w14:paraId="4A554788" w14:textId="77777777" w:rsidR="005E44B8" w:rsidRDefault="005E44B8" w:rsidP="005E44B8">
      <w:pPr>
        <w:spacing w:line="360" w:lineRule="auto"/>
        <w:ind w:left="720" w:hanging="720"/>
        <w:jc w:val="both"/>
      </w:pPr>
    </w:p>
    <w:p w14:paraId="3055F00B" w14:textId="77777777" w:rsidR="005E44B8" w:rsidRDefault="005E44B8" w:rsidP="005E44B8">
      <w:pPr>
        <w:spacing w:line="360" w:lineRule="auto"/>
        <w:ind w:left="720" w:hanging="720"/>
        <w:jc w:val="both"/>
      </w:pPr>
    </w:p>
    <w:p w14:paraId="40F28E9B" w14:textId="77777777" w:rsidR="00B972E0" w:rsidRDefault="00B972E0" w:rsidP="00FC3DAA">
      <w:pPr>
        <w:spacing w:line="360" w:lineRule="auto"/>
        <w:ind w:left="720" w:hanging="720"/>
        <w:jc w:val="both"/>
      </w:pPr>
    </w:p>
    <w:p w14:paraId="70CADEB9" w14:textId="77777777" w:rsidR="00FC3DAA" w:rsidRDefault="00FC3DAA" w:rsidP="00FC3DAA">
      <w:pPr>
        <w:spacing w:line="360" w:lineRule="auto"/>
        <w:ind w:left="720" w:hanging="720"/>
        <w:jc w:val="both"/>
      </w:pPr>
    </w:p>
    <w:p w14:paraId="130C998E" w14:textId="77777777" w:rsidR="00C92A69" w:rsidRDefault="00C92A69" w:rsidP="007B4975">
      <w:pPr>
        <w:spacing w:line="360" w:lineRule="auto"/>
        <w:ind w:left="720" w:hanging="720"/>
        <w:jc w:val="both"/>
      </w:pPr>
    </w:p>
    <w:p w14:paraId="2AA2BE3D" w14:textId="77777777" w:rsidR="007B4975" w:rsidRPr="007B4975" w:rsidRDefault="007B4975" w:rsidP="007B4975">
      <w:pPr>
        <w:jc w:val="both"/>
      </w:pPr>
    </w:p>
    <w:sectPr w:rsidR="007B4975" w:rsidRPr="007B497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651C"/>
    <w:multiLevelType w:val="multilevel"/>
    <w:tmpl w:val="6CA4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4B47"/>
    <w:multiLevelType w:val="multilevel"/>
    <w:tmpl w:val="6F52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1135B"/>
    <w:multiLevelType w:val="multilevel"/>
    <w:tmpl w:val="9758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34C40"/>
    <w:multiLevelType w:val="multilevel"/>
    <w:tmpl w:val="F794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B5383"/>
    <w:multiLevelType w:val="multilevel"/>
    <w:tmpl w:val="0E2E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602F2E"/>
    <w:multiLevelType w:val="multilevel"/>
    <w:tmpl w:val="446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45800"/>
    <w:multiLevelType w:val="multilevel"/>
    <w:tmpl w:val="979C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502BFF"/>
    <w:multiLevelType w:val="multilevel"/>
    <w:tmpl w:val="9984F1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ADF4361"/>
    <w:multiLevelType w:val="multilevel"/>
    <w:tmpl w:val="2EC0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F8612A"/>
    <w:multiLevelType w:val="multilevel"/>
    <w:tmpl w:val="FAAE89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E8D7003"/>
    <w:multiLevelType w:val="multilevel"/>
    <w:tmpl w:val="1050511A"/>
    <w:lvl w:ilvl="0">
      <w:start w:val="1"/>
      <w:numFmt w:val="decimal"/>
      <w:pStyle w:val="Heading1"/>
      <w:lvlText w:val="%1"/>
      <w:lvlJc w:val="left"/>
      <w:pPr>
        <w:ind w:left="432" w:hanging="432"/>
      </w:pPr>
      <w:rPr>
        <w:b/>
        <w:bCs/>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3C52E69"/>
    <w:multiLevelType w:val="multilevel"/>
    <w:tmpl w:val="4276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4674C2"/>
    <w:multiLevelType w:val="multilevel"/>
    <w:tmpl w:val="2EEC8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4F5581"/>
    <w:multiLevelType w:val="multilevel"/>
    <w:tmpl w:val="2178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9A15B1"/>
    <w:multiLevelType w:val="multilevel"/>
    <w:tmpl w:val="D71A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1E3517"/>
    <w:multiLevelType w:val="multilevel"/>
    <w:tmpl w:val="FB78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0B0693"/>
    <w:multiLevelType w:val="multilevel"/>
    <w:tmpl w:val="D9F4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46897"/>
    <w:multiLevelType w:val="multilevel"/>
    <w:tmpl w:val="70A4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4B02A5"/>
    <w:multiLevelType w:val="multilevel"/>
    <w:tmpl w:val="41EC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C86043"/>
    <w:multiLevelType w:val="multilevel"/>
    <w:tmpl w:val="5266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BE1F5A"/>
    <w:multiLevelType w:val="multilevel"/>
    <w:tmpl w:val="0C66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436E3B"/>
    <w:multiLevelType w:val="multilevel"/>
    <w:tmpl w:val="31BC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A4E2B"/>
    <w:multiLevelType w:val="multilevel"/>
    <w:tmpl w:val="1CCA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9005E"/>
    <w:multiLevelType w:val="multilevel"/>
    <w:tmpl w:val="A1CEC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E263A5"/>
    <w:multiLevelType w:val="multilevel"/>
    <w:tmpl w:val="17547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85631F"/>
    <w:multiLevelType w:val="multilevel"/>
    <w:tmpl w:val="D8B6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B47D9E"/>
    <w:multiLevelType w:val="multilevel"/>
    <w:tmpl w:val="DF3A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2E6E2B"/>
    <w:multiLevelType w:val="multilevel"/>
    <w:tmpl w:val="8D9E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1886247">
    <w:abstractNumId w:val="9"/>
  </w:num>
  <w:num w:numId="2" w16cid:durableId="1845511408">
    <w:abstractNumId w:val="7"/>
  </w:num>
  <w:num w:numId="3" w16cid:durableId="1014768013">
    <w:abstractNumId w:val="8"/>
  </w:num>
  <w:num w:numId="4" w16cid:durableId="415516575">
    <w:abstractNumId w:val="13"/>
  </w:num>
  <w:num w:numId="5" w16cid:durableId="1093824317">
    <w:abstractNumId w:val="19"/>
  </w:num>
  <w:num w:numId="6" w16cid:durableId="1847211205">
    <w:abstractNumId w:val="15"/>
  </w:num>
  <w:num w:numId="7" w16cid:durableId="1007827962">
    <w:abstractNumId w:val="5"/>
  </w:num>
  <w:num w:numId="8" w16cid:durableId="1798645815">
    <w:abstractNumId w:val="6"/>
  </w:num>
  <w:num w:numId="9" w16cid:durableId="1656108715">
    <w:abstractNumId w:val="1"/>
  </w:num>
  <w:num w:numId="10" w16cid:durableId="653416265">
    <w:abstractNumId w:val="24"/>
  </w:num>
  <w:num w:numId="11" w16cid:durableId="2098554004">
    <w:abstractNumId w:val="17"/>
  </w:num>
  <w:num w:numId="12" w16cid:durableId="2095468028">
    <w:abstractNumId w:val="11"/>
  </w:num>
  <w:num w:numId="13" w16cid:durableId="43913932">
    <w:abstractNumId w:val="26"/>
  </w:num>
  <w:num w:numId="14" w16cid:durableId="1536119886">
    <w:abstractNumId w:val="14"/>
  </w:num>
  <w:num w:numId="15" w16cid:durableId="1369915622">
    <w:abstractNumId w:val="25"/>
  </w:num>
  <w:num w:numId="16" w16cid:durableId="326330605">
    <w:abstractNumId w:val="0"/>
  </w:num>
  <w:num w:numId="17" w16cid:durableId="667057099">
    <w:abstractNumId w:val="2"/>
  </w:num>
  <w:num w:numId="18" w16cid:durableId="2063215224">
    <w:abstractNumId w:val="22"/>
  </w:num>
  <w:num w:numId="19" w16cid:durableId="548496158">
    <w:abstractNumId w:val="27"/>
  </w:num>
  <w:num w:numId="20" w16cid:durableId="1488591595">
    <w:abstractNumId w:val="12"/>
  </w:num>
  <w:num w:numId="21" w16cid:durableId="765225429">
    <w:abstractNumId w:val="23"/>
  </w:num>
  <w:num w:numId="22" w16cid:durableId="630598961">
    <w:abstractNumId w:val="21"/>
  </w:num>
  <w:num w:numId="23" w16cid:durableId="1834756662">
    <w:abstractNumId w:val="18"/>
  </w:num>
  <w:num w:numId="24" w16cid:durableId="996690432">
    <w:abstractNumId w:val="3"/>
  </w:num>
  <w:num w:numId="25" w16cid:durableId="1539658906">
    <w:abstractNumId w:val="4"/>
  </w:num>
  <w:num w:numId="26" w16cid:durableId="150368669">
    <w:abstractNumId w:val="20"/>
  </w:num>
  <w:num w:numId="27" w16cid:durableId="272712997">
    <w:abstractNumId w:val="16"/>
  </w:num>
  <w:num w:numId="28" w16cid:durableId="1230429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F8B"/>
    <w:rsid w:val="00000507"/>
    <w:rsid w:val="00015F45"/>
    <w:rsid w:val="000D10BE"/>
    <w:rsid w:val="00113343"/>
    <w:rsid w:val="00132F00"/>
    <w:rsid w:val="00173E88"/>
    <w:rsid w:val="00180C2B"/>
    <w:rsid w:val="00223BAE"/>
    <w:rsid w:val="00237EE2"/>
    <w:rsid w:val="00241BB7"/>
    <w:rsid w:val="00290622"/>
    <w:rsid w:val="002928E7"/>
    <w:rsid w:val="00292F8B"/>
    <w:rsid w:val="002E5BBD"/>
    <w:rsid w:val="00333EF7"/>
    <w:rsid w:val="00463C35"/>
    <w:rsid w:val="00535F0B"/>
    <w:rsid w:val="00596671"/>
    <w:rsid w:val="005B20A9"/>
    <w:rsid w:val="005D70A9"/>
    <w:rsid w:val="005E05FD"/>
    <w:rsid w:val="005E44B8"/>
    <w:rsid w:val="00641149"/>
    <w:rsid w:val="00692C9A"/>
    <w:rsid w:val="006A6ABB"/>
    <w:rsid w:val="006E33A2"/>
    <w:rsid w:val="006E48D9"/>
    <w:rsid w:val="00716E9E"/>
    <w:rsid w:val="00770E37"/>
    <w:rsid w:val="00796E97"/>
    <w:rsid w:val="007B4975"/>
    <w:rsid w:val="007C4335"/>
    <w:rsid w:val="00817B60"/>
    <w:rsid w:val="00821D7B"/>
    <w:rsid w:val="008C6333"/>
    <w:rsid w:val="008E7E0B"/>
    <w:rsid w:val="00921653"/>
    <w:rsid w:val="00924D7C"/>
    <w:rsid w:val="00935453"/>
    <w:rsid w:val="0096059A"/>
    <w:rsid w:val="009840FD"/>
    <w:rsid w:val="009A3E40"/>
    <w:rsid w:val="009A3FB9"/>
    <w:rsid w:val="009D7ABA"/>
    <w:rsid w:val="00A25C49"/>
    <w:rsid w:val="00A612FF"/>
    <w:rsid w:val="00A8746E"/>
    <w:rsid w:val="00AA538E"/>
    <w:rsid w:val="00AD2CA1"/>
    <w:rsid w:val="00AF4FF7"/>
    <w:rsid w:val="00B33A31"/>
    <w:rsid w:val="00B453F8"/>
    <w:rsid w:val="00B779C4"/>
    <w:rsid w:val="00B85E3E"/>
    <w:rsid w:val="00B972E0"/>
    <w:rsid w:val="00BA508E"/>
    <w:rsid w:val="00C117D5"/>
    <w:rsid w:val="00C37849"/>
    <w:rsid w:val="00C41DC0"/>
    <w:rsid w:val="00C7006C"/>
    <w:rsid w:val="00C92A69"/>
    <w:rsid w:val="00CF6EF0"/>
    <w:rsid w:val="00D367C2"/>
    <w:rsid w:val="00D847F9"/>
    <w:rsid w:val="00E10536"/>
    <w:rsid w:val="00E14D10"/>
    <w:rsid w:val="00E270BD"/>
    <w:rsid w:val="00F67632"/>
    <w:rsid w:val="00F9203D"/>
    <w:rsid w:val="00FA1963"/>
    <w:rsid w:val="00FC3D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E804E"/>
  <w15:chartTrackingRefBased/>
  <w15:docId w15:val="{87EE60DB-A8D0-4096-AC5B-88261F6FC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7C2"/>
    <w:pPr>
      <w:spacing w:line="480" w:lineRule="auto"/>
      <w:jc w:val="right"/>
    </w:pPr>
    <w:rPr>
      <w:rFonts w:ascii="Arial" w:hAnsi="Arial"/>
      <w:szCs w:val="22"/>
    </w:rPr>
  </w:style>
  <w:style w:type="paragraph" w:styleId="Heading1">
    <w:name w:val="heading 1"/>
    <w:basedOn w:val="Normal"/>
    <w:next w:val="Normal"/>
    <w:link w:val="Heading1Char"/>
    <w:autoRedefine/>
    <w:uiPriority w:val="9"/>
    <w:qFormat/>
    <w:rsid w:val="00E10536"/>
    <w:pPr>
      <w:keepNext/>
      <w:keepLines/>
      <w:numPr>
        <w:numId w:val="28"/>
      </w:numPr>
      <w:spacing w:before="240" w:after="0"/>
      <w:jc w:val="both"/>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367C2"/>
    <w:pPr>
      <w:keepNext/>
      <w:keepLines/>
      <w:numPr>
        <w:ilvl w:val="1"/>
        <w:numId w:val="28"/>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F6EF0"/>
    <w:pPr>
      <w:keepNext/>
      <w:keepLines/>
      <w:numPr>
        <w:ilvl w:val="2"/>
        <w:numId w:val="28"/>
      </w:numPr>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292F8B"/>
    <w:pPr>
      <w:keepNext/>
      <w:keepLines/>
      <w:numPr>
        <w:ilvl w:val="3"/>
        <w:numId w:val="28"/>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2F8B"/>
    <w:pPr>
      <w:keepNext/>
      <w:keepLines/>
      <w:numPr>
        <w:ilvl w:val="4"/>
        <w:numId w:val="28"/>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92F8B"/>
    <w:pPr>
      <w:keepNext/>
      <w:keepLines/>
      <w:numPr>
        <w:ilvl w:val="5"/>
        <w:numId w:val="28"/>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2F8B"/>
    <w:pPr>
      <w:keepNext/>
      <w:keepLines/>
      <w:numPr>
        <w:ilvl w:val="6"/>
        <w:numId w:val="28"/>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2F8B"/>
    <w:pPr>
      <w:keepNext/>
      <w:keepLines/>
      <w:numPr>
        <w:ilvl w:val="7"/>
        <w:numId w:val="28"/>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2F8B"/>
    <w:pPr>
      <w:keepNext/>
      <w:keepLines/>
      <w:numPr>
        <w:ilvl w:val="8"/>
        <w:numId w:val="28"/>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536"/>
    <w:rPr>
      <w:rFonts w:ascii="Arial" w:eastAsiaTheme="majorEastAsia" w:hAnsi="Arial" w:cstheme="majorBidi"/>
      <w:b/>
      <w:szCs w:val="32"/>
    </w:rPr>
  </w:style>
  <w:style w:type="character" w:customStyle="1" w:styleId="Heading2Char">
    <w:name w:val="Heading 2 Char"/>
    <w:basedOn w:val="DefaultParagraphFont"/>
    <w:link w:val="Heading2"/>
    <w:uiPriority w:val="9"/>
    <w:rsid w:val="00D367C2"/>
    <w:rPr>
      <w:rFonts w:ascii="Arial" w:eastAsiaTheme="majorEastAsia" w:hAnsi="Arial" w:cstheme="majorBidi"/>
      <w:b/>
      <w:szCs w:val="26"/>
    </w:rPr>
  </w:style>
  <w:style w:type="paragraph" w:styleId="Title">
    <w:name w:val="Title"/>
    <w:basedOn w:val="Heading3"/>
    <w:next w:val="Normal"/>
    <w:link w:val="TitleChar"/>
    <w:uiPriority w:val="10"/>
    <w:qFormat/>
    <w:rsid w:val="00241BB7"/>
    <w:pPr>
      <w:contextualSpacing/>
    </w:pPr>
    <w:rPr>
      <w:b w:val="0"/>
      <w:spacing w:val="-10"/>
      <w:kern w:val="28"/>
      <w:szCs w:val="56"/>
    </w:rPr>
  </w:style>
  <w:style w:type="character" w:customStyle="1" w:styleId="TitleChar">
    <w:name w:val="Title Char"/>
    <w:basedOn w:val="DefaultParagraphFont"/>
    <w:link w:val="Title"/>
    <w:uiPriority w:val="10"/>
    <w:rsid w:val="00241BB7"/>
    <w:rPr>
      <w:rFonts w:ascii="Times New Roman" w:eastAsiaTheme="majorEastAsia" w:hAnsi="Times New Roman" w:cstheme="majorBidi"/>
      <w:b/>
      <w:color w:val="2F5496" w:themeColor="accent1" w:themeShade="BF"/>
      <w:spacing w:val="-10"/>
      <w:kern w:val="28"/>
      <w:szCs w:val="56"/>
    </w:rPr>
  </w:style>
  <w:style w:type="character" w:customStyle="1" w:styleId="Heading3Char">
    <w:name w:val="Heading 3 Char"/>
    <w:basedOn w:val="DefaultParagraphFont"/>
    <w:link w:val="Heading3"/>
    <w:uiPriority w:val="9"/>
    <w:rsid w:val="00CF6EF0"/>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292F8B"/>
    <w:rPr>
      <w:rFonts w:eastAsiaTheme="majorEastAsia" w:cstheme="majorBidi"/>
      <w:i/>
      <w:iCs/>
      <w:color w:val="2F5496" w:themeColor="accent1" w:themeShade="BF"/>
      <w:szCs w:val="22"/>
    </w:rPr>
  </w:style>
  <w:style w:type="character" w:customStyle="1" w:styleId="Heading5Char">
    <w:name w:val="Heading 5 Char"/>
    <w:basedOn w:val="DefaultParagraphFont"/>
    <w:link w:val="Heading5"/>
    <w:uiPriority w:val="9"/>
    <w:semiHidden/>
    <w:rsid w:val="00292F8B"/>
    <w:rPr>
      <w:rFonts w:eastAsiaTheme="majorEastAsia" w:cstheme="majorBidi"/>
      <w:color w:val="2F5496" w:themeColor="accent1" w:themeShade="BF"/>
      <w:szCs w:val="22"/>
    </w:rPr>
  </w:style>
  <w:style w:type="character" w:customStyle="1" w:styleId="Heading6Char">
    <w:name w:val="Heading 6 Char"/>
    <w:basedOn w:val="DefaultParagraphFont"/>
    <w:link w:val="Heading6"/>
    <w:uiPriority w:val="9"/>
    <w:semiHidden/>
    <w:rsid w:val="00292F8B"/>
    <w:rPr>
      <w:rFonts w:eastAsiaTheme="majorEastAsia" w:cstheme="majorBidi"/>
      <w:i/>
      <w:iCs/>
      <w:color w:val="595959" w:themeColor="text1" w:themeTint="A6"/>
      <w:szCs w:val="22"/>
    </w:rPr>
  </w:style>
  <w:style w:type="character" w:customStyle="1" w:styleId="Heading7Char">
    <w:name w:val="Heading 7 Char"/>
    <w:basedOn w:val="DefaultParagraphFont"/>
    <w:link w:val="Heading7"/>
    <w:uiPriority w:val="9"/>
    <w:semiHidden/>
    <w:rsid w:val="00292F8B"/>
    <w:rPr>
      <w:rFonts w:eastAsiaTheme="majorEastAsia" w:cstheme="majorBidi"/>
      <w:color w:val="595959" w:themeColor="text1" w:themeTint="A6"/>
      <w:szCs w:val="22"/>
    </w:rPr>
  </w:style>
  <w:style w:type="character" w:customStyle="1" w:styleId="Heading8Char">
    <w:name w:val="Heading 8 Char"/>
    <w:basedOn w:val="DefaultParagraphFont"/>
    <w:link w:val="Heading8"/>
    <w:uiPriority w:val="9"/>
    <w:semiHidden/>
    <w:rsid w:val="00292F8B"/>
    <w:rPr>
      <w:rFonts w:eastAsiaTheme="majorEastAsia" w:cstheme="majorBidi"/>
      <w:i/>
      <w:iCs/>
      <w:color w:val="272727" w:themeColor="text1" w:themeTint="D8"/>
      <w:szCs w:val="22"/>
    </w:rPr>
  </w:style>
  <w:style w:type="character" w:customStyle="1" w:styleId="Heading9Char">
    <w:name w:val="Heading 9 Char"/>
    <w:basedOn w:val="DefaultParagraphFont"/>
    <w:link w:val="Heading9"/>
    <w:uiPriority w:val="9"/>
    <w:semiHidden/>
    <w:rsid w:val="00292F8B"/>
    <w:rPr>
      <w:rFonts w:eastAsiaTheme="majorEastAsia" w:cstheme="majorBidi"/>
      <w:color w:val="272727" w:themeColor="text1" w:themeTint="D8"/>
      <w:szCs w:val="22"/>
    </w:rPr>
  </w:style>
  <w:style w:type="paragraph" w:styleId="Subtitle">
    <w:name w:val="Subtitle"/>
    <w:basedOn w:val="Normal"/>
    <w:next w:val="Normal"/>
    <w:link w:val="SubtitleChar"/>
    <w:uiPriority w:val="11"/>
    <w:qFormat/>
    <w:rsid w:val="00292F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F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F8B"/>
    <w:pPr>
      <w:spacing w:before="160"/>
      <w:jc w:val="center"/>
    </w:pPr>
    <w:rPr>
      <w:i/>
      <w:iCs/>
      <w:color w:val="404040" w:themeColor="text1" w:themeTint="BF"/>
    </w:rPr>
  </w:style>
  <w:style w:type="character" w:customStyle="1" w:styleId="QuoteChar">
    <w:name w:val="Quote Char"/>
    <w:basedOn w:val="DefaultParagraphFont"/>
    <w:link w:val="Quote"/>
    <w:uiPriority w:val="29"/>
    <w:rsid w:val="00292F8B"/>
    <w:rPr>
      <w:rFonts w:ascii="Times New Roman" w:hAnsi="Times New Roman"/>
      <w:i/>
      <w:iCs/>
      <w:color w:val="404040" w:themeColor="text1" w:themeTint="BF"/>
      <w:szCs w:val="22"/>
    </w:rPr>
  </w:style>
  <w:style w:type="paragraph" w:styleId="ListParagraph">
    <w:name w:val="List Paragraph"/>
    <w:basedOn w:val="Normal"/>
    <w:uiPriority w:val="34"/>
    <w:qFormat/>
    <w:rsid w:val="00292F8B"/>
    <w:pPr>
      <w:ind w:left="720"/>
      <w:contextualSpacing/>
    </w:pPr>
  </w:style>
  <w:style w:type="character" w:styleId="IntenseEmphasis">
    <w:name w:val="Intense Emphasis"/>
    <w:basedOn w:val="DefaultParagraphFont"/>
    <w:uiPriority w:val="21"/>
    <w:qFormat/>
    <w:rsid w:val="00292F8B"/>
    <w:rPr>
      <w:i/>
      <w:iCs/>
      <w:color w:val="2F5496" w:themeColor="accent1" w:themeShade="BF"/>
    </w:rPr>
  </w:style>
  <w:style w:type="paragraph" w:styleId="IntenseQuote">
    <w:name w:val="Intense Quote"/>
    <w:basedOn w:val="Normal"/>
    <w:next w:val="Normal"/>
    <w:link w:val="IntenseQuoteChar"/>
    <w:uiPriority w:val="30"/>
    <w:qFormat/>
    <w:rsid w:val="00292F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2F8B"/>
    <w:rPr>
      <w:rFonts w:ascii="Times New Roman" w:hAnsi="Times New Roman"/>
      <w:i/>
      <w:iCs/>
      <w:color w:val="2F5496" w:themeColor="accent1" w:themeShade="BF"/>
      <w:szCs w:val="22"/>
    </w:rPr>
  </w:style>
  <w:style w:type="character" w:styleId="IntenseReference">
    <w:name w:val="Intense Reference"/>
    <w:basedOn w:val="DefaultParagraphFont"/>
    <w:uiPriority w:val="32"/>
    <w:qFormat/>
    <w:rsid w:val="00292F8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1</dc:creator>
  <cp:keywords/>
  <dc:description/>
  <cp:lastModifiedBy>Gabriela Emilia Gheorghe (2310506)</cp:lastModifiedBy>
  <cp:revision>2</cp:revision>
  <dcterms:created xsi:type="dcterms:W3CDTF">2026-07-18T20:48:00Z</dcterms:created>
  <dcterms:modified xsi:type="dcterms:W3CDTF">2026-07-18T20:48:00Z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f71d9bd8-e550-48af-9261-080c2a1dfb80</vt:lpwstr>
  </property>
</Properties>
</file>