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C231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4FDE65EB" wp14:editId="21F8CE33">
                <wp:extent cx="302260" cy="302260"/>
                <wp:effectExtent l="0" t="0" r="0" b="0"/>
                <wp:docPr id="13"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9B811A" id="Rectangle 13"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1B3BF96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 </w:t>
      </w:r>
    </w:p>
    <w:p w14:paraId="66DBFDD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 </w:t>
      </w:r>
    </w:p>
    <w:p w14:paraId="20A72DD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36"/>
          <w:szCs w:val="36"/>
          <w14:ligatures w14:val="none"/>
        </w:rPr>
        <w:t>Programme: BA (Hons) Leadership and Management Skills for the Workplace</w:t>
      </w:r>
    </w:p>
    <w:p w14:paraId="4896D5D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36"/>
          <w:szCs w:val="36"/>
          <w14:ligatures w14:val="none"/>
        </w:rPr>
        <w:t>Module: Strategic Management for SMEs</w:t>
      </w:r>
    </w:p>
    <w:p w14:paraId="5D977F09" w14:textId="77777777" w:rsidR="00317202" w:rsidRDefault="00317202" w:rsidP="00317202">
      <w:pPr>
        <w:spacing w:after="0" w:line="324" w:lineRule="atLeast"/>
        <w:rPr>
          <w:rFonts w:ascii="-webkit-standard" w:hAnsi="-webkit-standard" w:cs="Times New Roman"/>
          <w:color w:val="000000"/>
          <w:kern w:val="0"/>
          <w:sz w:val="36"/>
          <w:szCs w:val="36"/>
          <w14:ligatures w14:val="none"/>
        </w:rPr>
      </w:pPr>
      <w:r w:rsidRPr="00317202">
        <w:rPr>
          <w:rFonts w:ascii="-webkit-standard" w:hAnsi="-webkit-standard" w:cs="Times New Roman"/>
          <w:color w:val="000000"/>
          <w:kern w:val="0"/>
          <w:sz w:val="36"/>
          <w:szCs w:val="36"/>
          <w14:ligatures w14:val="none"/>
        </w:rPr>
        <w:t>Module code: BMSW6104 </w:t>
      </w:r>
    </w:p>
    <w:p w14:paraId="62B9D253" w14:textId="77777777" w:rsidR="00B14D55" w:rsidRDefault="00105BF0" w:rsidP="00317202">
      <w:pPr>
        <w:spacing w:after="0" w:line="324" w:lineRule="atLeast"/>
        <w:rPr>
          <w:rFonts w:ascii="-webkit-standard" w:hAnsi="-webkit-standard" w:cs="Times New Roman"/>
          <w:color w:val="000000"/>
          <w:kern w:val="0"/>
          <w:sz w:val="36"/>
          <w:szCs w:val="36"/>
          <w14:ligatures w14:val="none"/>
        </w:rPr>
      </w:pPr>
      <w:r>
        <w:rPr>
          <w:rFonts w:ascii="-webkit-standard" w:hAnsi="-webkit-standard" w:cs="Times New Roman"/>
          <w:color w:val="000000"/>
          <w:kern w:val="0"/>
          <w:sz w:val="36"/>
          <w:szCs w:val="36"/>
          <w14:ligatures w14:val="none"/>
        </w:rPr>
        <w:t>Amma-harar marlie Russell Young</w:t>
      </w:r>
      <w:r w:rsidR="00B14D55">
        <w:rPr>
          <w:rFonts w:ascii="-webkit-standard" w:hAnsi="-webkit-standard" w:cs="Times New Roman"/>
          <w:color w:val="000000"/>
          <w:kern w:val="0"/>
          <w:sz w:val="36"/>
          <w:szCs w:val="36"/>
          <w14:ligatures w14:val="none"/>
        </w:rPr>
        <w:t xml:space="preserve"> </w:t>
      </w:r>
    </w:p>
    <w:p w14:paraId="33EBE671" w14:textId="4E27AA37" w:rsidR="00105BF0" w:rsidRPr="00317202" w:rsidRDefault="00B14D55" w:rsidP="00317202">
      <w:pPr>
        <w:spacing w:after="0" w:line="324" w:lineRule="atLeast"/>
        <w:rPr>
          <w:rFonts w:ascii="-webkit-standard" w:hAnsi="-webkit-standard" w:cs="Times New Roman"/>
          <w:color w:val="000000"/>
          <w:kern w:val="0"/>
          <w:sz w:val="27"/>
          <w:szCs w:val="27"/>
          <w14:ligatures w14:val="none"/>
        </w:rPr>
      </w:pPr>
      <w:r>
        <w:rPr>
          <w:rFonts w:ascii="-webkit-standard" w:hAnsi="-webkit-standard" w:cs="Times New Roman"/>
          <w:color w:val="000000"/>
          <w:kern w:val="0"/>
          <w:sz w:val="36"/>
          <w:szCs w:val="36"/>
          <w14:ligatures w14:val="none"/>
        </w:rPr>
        <w:t>1808757</w:t>
      </w:r>
    </w:p>
    <w:p w14:paraId="17F170DC" w14:textId="77777777" w:rsidR="00317202" w:rsidRPr="00317202" w:rsidRDefault="00317202" w:rsidP="00317202">
      <w:pPr>
        <w:spacing w:before="360" w:after="0" w:line="240" w:lineRule="auto"/>
        <w:jc w:val="both"/>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610B4E98" wp14:editId="09D315C8">
                <wp:extent cx="302260" cy="302260"/>
                <wp:effectExtent l="0" t="0" r="0" b="0"/>
                <wp:docPr id="12"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3A10EB" id="Rectangle 12"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248373AD" w14:textId="77777777" w:rsidR="00317202" w:rsidRPr="00317202" w:rsidRDefault="00317202" w:rsidP="00317202">
      <w:pPr>
        <w:spacing w:before="360" w:after="0" w:line="324" w:lineRule="atLeast"/>
        <w:jc w:val="both"/>
        <w:rPr>
          <w:rFonts w:ascii="-webkit-standard" w:hAnsi="-webkit-standard" w:cs="Times New Roman"/>
          <w:color w:val="000000"/>
          <w:kern w:val="0"/>
          <w:sz w:val="27"/>
          <w:szCs w:val="27"/>
          <w14:ligatures w14:val="none"/>
        </w:rPr>
      </w:pPr>
      <w:bookmarkStart w:id="0" w:name="_Toc156092562"/>
      <w:bookmarkEnd w:id="0"/>
      <w:r w:rsidRPr="00317202">
        <w:rPr>
          <w:rFonts w:ascii="-webkit-standard" w:hAnsi="-webkit-standard" w:cs="Times New Roman"/>
          <w:b/>
          <w:bCs/>
          <w:color w:val="000000"/>
          <w:kern w:val="0"/>
          <w:sz w:val="32"/>
          <w:szCs w:val="32"/>
          <w14:ligatures w14:val="none"/>
        </w:rPr>
        <w:t>Introduction</w:t>
      </w:r>
    </w:p>
    <w:p w14:paraId="61F97FD3"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This is especially true for small and medium-sized enterprises (SMEs) since, many of them, rely to a great extent on strategic management to guide them through the numerous ups and downs of the years ahead (Chittithaworn et al., 2011).The objective of this study is to develop a long-term business plan for “TechSprint Solutions,” an excited business that appropriately captures the vibe of the SME world in the UK.</w:t>
      </w:r>
    </w:p>
    <w:p w14:paraId="3BA9A289"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1" w:name="_Toc156092563"/>
      <w:bookmarkEnd w:id="1"/>
      <w:r w:rsidRPr="00317202">
        <w:rPr>
          <w:rFonts w:ascii="-webkit-standard" w:hAnsi="-webkit-standard" w:cs="Times New Roman"/>
          <w:b/>
          <w:bCs/>
          <w:color w:val="000000"/>
          <w:kern w:val="0"/>
          <w:sz w:val="30"/>
          <w:szCs w:val="30"/>
          <w14:ligatures w14:val="none"/>
        </w:rPr>
        <w:t>Selection of TechSprint Solutions</w:t>
      </w:r>
    </w:p>
    <w:p w14:paraId="75CD364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has been chosen because it is an interesting SME from the UK sector. SMEs are the core foundation of the British economy to drive innovation and employment. TechSprint Solutions embodies the fundamental attributes of a small to medium-sized company (SME): agile operations, limited resources and a special entrepreneurial spirit. Focused on TechSprint Solutions, this article aims to provide workable advice that relates to the particular issues faced by such companies, so that the outcomes can be applicable and relevant to an assortment of similar companies.</w:t>
      </w:r>
    </w:p>
    <w:p w14:paraId="5CA88A86"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2" w:name="_Toc156092564"/>
      <w:bookmarkEnd w:id="2"/>
      <w:r w:rsidRPr="00317202">
        <w:rPr>
          <w:rFonts w:ascii="-webkit-standard" w:hAnsi="-webkit-standard" w:cs="Times New Roman"/>
          <w:b/>
          <w:bCs/>
          <w:color w:val="000000"/>
          <w:kern w:val="0"/>
          <w:sz w:val="30"/>
          <w:szCs w:val="30"/>
          <w14:ligatures w14:val="none"/>
        </w:rPr>
        <w:t>Theoretical Models, Tools, and Techniques</w:t>
      </w:r>
    </w:p>
    <w:p w14:paraId="48D7283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present work is aimed at providing an explanation of a wide company plan relying on a range of conceptual models, tools and methods. As part of this strategic study, the VRIN model, the 9 M model, and Porter’s Value Chain Model will be applied in order to analyse the internal assets of and skills of TechSprint Solutions in detail. At the same time, some external factors will be considered with the SLEPT model and PESTEL to analyse the market situation in full. The industry analysis will make use of the Porter’s Five Forces Model to gauge the competitive marketplace in which TechSprint Solutions operates.</w:t>
      </w:r>
    </w:p>
    <w:p w14:paraId="012DE72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lastRenderedPageBreak/>
        <w:t>For well evaluating business strategy choices or possibilities, prominent models such as the Ansoff Matrix, Porter’s Generic Strategies, and the BCG Matrix will be employed. The practicality of these considered choices will then be evaluated using the Appropriateness Feasibility, and Acceptability (SFA) framework. The acceptability for suggested goals will be further clarified through stakeholder evaluation using Mendelow's Stakeholder Matrix.</w:t>
      </w:r>
    </w:p>
    <w:p w14:paraId="59086BBF"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3" w:name="_Toc156092565"/>
      <w:bookmarkEnd w:id="3"/>
      <w:r w:rsidRPr="00317202">
        <w:rPr>
          <w:rFonts w:ascii="-webkit-standard" w:hAnsi="-webkit-standard" w:cs="Times New Roman"/>
          <w:b/>
          <w:bCs/>
          <w:color w:val="000000"/>
          <w:kern w:val="0"/>
          <w:sz w:val="30"/>
          <w:szCs w:val="30"/>
          <w14:ligatures w14:val="none"/>
        </w:rPr>
        <w:t>Structure of the Report</w:t>
      </w:r>
    </w:p>
    <w:p w14:paraId="331A764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There will be two main portions to this report. The strategic planning process, including the strategic analysis (SWOT) and strategic growth options/choices/action points, will be covered in depth in the first part. Incorporating strategic implementation, monitoring, &amp; evaluation, conclusions and suggestions will be presented in the second part.</w:t>
      </w:r>
    </w:p>
    <w:p w14:paraId="19383259"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4" w:name="_Toc156092566"/>
      <w:bookmarkEnd w:id="4"/>
      <w:r w:rsidRPr="00317202">
        <w:rPr>
          <w:rFonts w:ascii="-webkit-standard" w:hAnsi="-webkit-standard" w:cs="Times New Roman"/>
          <w:b/>
          <w:bCs/>
          <w:color w:val="000000"/>
          <w:kern w:val="0"/>
          <w:sz w:val="30"/>
          <w:szCs w:val="30"/>
          <w14:ligatures w14:val="none"/>
        </w:rPr>
        <w:t>Expected Outcome for TechSprint Solutions</w:t>
      </w:r>
    </w:p>
    <w:p w14:paraId="1BF04EC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development of an effective and long-lasting company strategy that complements TechSprint Solutions' current focus on strategy is the expected result of this comprehensive investigation. The report's strategic proposals ought to take into account growth and development possibilities in addition to resolving the difficulties SMEs have while putting strategic directives into practice (Christensen, 1997). The research project seeks to support TechSprint Solutions' long-term viability and sustainability in the ever-changing business environment by offering an unambiguous path forward. The strategic position, potential for growth, and stakeholder dynamics of TechSprint Solutions will be thoroughly investigated in the parts that follow, and we'll conclude with an outline for the company's strategic formulation and implementation.</w:t>
      </w:r>
    </w:p>
    <w:p w14:paraId="6D0B2F50" w14:textId="77777777" w:rsidR="00317202" w:rsidRPr="00317202" w:rsidRDefault="00317202" w:rsidP="00317202">
      <w:pPr>
        <w:spacing w:before="360" w:after="0" w:line="324" w:lineRule="atLeast"/>
        <w:jc w:val="both"/>
        <w:rPr>
          <w:rFonts w:ascii="-webkit-standard" w:hAnsi="-webkit-standard" w:cs="Times New Roman"/>
          <w:color w:val="000000"/>
          <w:kern w:val="0"/>
          <w:sz w:val="27"/>
          <w:szCs w:val="27"/>
          <w14:ligatures w14:val="none"/>
        </w:rPr>
      </w:pPr>
      <w:bookmarkStart w:id="5" w:name="_Toc156092567"/>
      <w:bookmarkEnd w:id="5"/>
      <w:r w:rsidRPr="00317202">
        <w:rPr>
          <w:rFonts w:ascii="-webkit-standard" w:hAnsi="-webkit-standard" w:cs="Times New Roman"/>
          <w:b/>
          <w:bCs/>
          <w:color w:val="000000"/>
          <w:kern w:val="0"/>
          <w:sz w:val="32"/>
          <w:szCs w:val="32"/>
          <w14:ligatures w14:val="none"/>
        </w:rPr>
        <w:t>Part 1. Strategic Analysis (SWOT)</w:t>
      </w:r>
    </w:p>
    <w:p w14:paraId="6122F60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In this section, This study will actually delve into a comprehensive analysis of TechSprint Solutions, combining insights from various strategic models and tools to discern both internal and external dynamics. This multifaceted examination aims to unveil the company's strengths, weaknesses, opportunities, and threats (SWOT), providing a solid foundation for strategic decision-making.</w:t>
      </w:r>
    </w:p>
    <w:p w14:paraId="1545BFB8"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6" w:name="_Toc156092568"/>
      <w:bookmarkEnd w:id="6"/>
      <w:r w:rsidRPr="00317202">
        <w:rPr>
          <w:rFonts w:ascii="-webkit-standard" w:hAnsi="-webkit-standard" w:cs="Times New Roman"/>
          <w:b/>
          <w:bCs/>
          <w:color w:val="000000"/>
          <w:kern w:val="0"/>
          <w:sz w:val="30"/>
          <w:szCs w:val="30"/>
          <w14:ligatures w14:val="none"/>
        </w:rPr>
        <w:t>1.1 Internal Analysis</w:t>
      </w:r>
    </w:p>
    <w:p w14:paraId="2FD8A068"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Internal analysis is actually a pivotal phase in sympathetic the distinctive competences and possessions that drive a corporation's competitive advantage (Covin &amp; Slevin, 1989).</w:t>
      </w:r>
    </w:p>
    <w:p w14:paraId="248E6FDA"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7" w:name="_Toc156092569"/>
      <w:bookmarkEnd w:id="7"/>
      <w:r w:rsidRPr="00317202">
        <w:rPr>
          <w:rFonts w:ascii="Cambria" w:hAnsi="Cambria" w:cs="Times New Roman"/>
          <w:b/>
          <w:bCs/>
          <w:color w:val="000000"/>
          <w:kern w:val="0"/>
          <w:sz w:val="27"/>
          <w:szCs w:val="27"/>
          <w14:ligatures w14:val="none"/>
        </w:rPr>
        <w:t>VRIN Model:</w:t>
      </w:r>
    </w:p>
    <w:p w14:paraId="0765CF4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 xml:space="preserve">The VRIN model very much serves as a critical lens through which to analyse TechSprint Solutions' internal resources and it </w:t>
      </w:r>
      <w:r w:rsidRPr="00317202">
        <w:rPr>
          <w:rFonts w:ascii="-webkit-standard" w:hAnsi="-webkit-standard" w:cs="Times New Roman"/>
          <w:color w:val="000000"/>
          <w:kern w:val="0"/>
          <w:sz w:val="27"/>
          <w:szCs w:val="27"/>
          <w14:ligatures w14:val="none"/>
        </w:rPr>
        <w:lastRenderedPageBreak/>
        <w:t>also providing understandings into their strategic importance for sustained competitive advantage (Davenport et al., 2010).</w:t>
      </w:r>
    </w:p>
    <w:p w14:paraId="67CD5212"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01F7571A" wp14:editId="08D531D4">
                <wp:extent cx="302260" cy="30226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315678" id="Rectangle 1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4AD26BBB"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VRIN Model</w:t>
      </w:r>
    </w:p>
    <w:p w14:paraId="057BD40E"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(Prahalad &amp; Hamel, 1990).</w:t>
      </w:r>
    </w:p>
    <w:p w14:paraId="7A82DEDF"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Value</w:t>
      </w:r>
      <w:r w:rsidRPr="00317202">
        <w:rPr>
          <w:rFonts w:ascii="-webkit-standard" w:hAnsi="-webkit-standard" w:cs="Times New Roman"/>
          <w:color w:val="000000"/>
          <w:kern w:val="0"/>
          <w:sz w:val="27"/>
          <w:szCs w:val="27"/>
          <w14:ligatures w14:val="none"/>
        </w:rPr>
        <w:t>: In-house technologies are one of the greatest resources of TechSprint Solutions. This technological asset is counted as an enormous boost in the value and makes possible for the business to compete in the marketplace with its unique and innovative solutions. The technology goes hand in hand with the consumers’ needs as it addresses the ever--changing consumer wants and at the same time enhances the overall value proposition (Davidsson &amp; Wiklund, 1997).</w:t>
      </w:r>
    </w:p>
    <w:p w14:paraId="09ACFD4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Rarity:</w:t>
      </w:r>
      <w:r w:rsidRPr="00317202">
        <w:rPr>
          <w:rFonts w:ascii="-webkit-standard" w:hAnsi="-webkit-standard" w:cs="Times New Roman"/>
          <w:color w:val="000000"/>
          <w:kern w:val="0"/>
          <w:sz w:val="27"/>
          <w:szCs w:val="27"/>
          <w14:ligatures w14:val="none"/>
        </w:rPr>
        <w:t> Rarity of the unique technology of TechSprint Technologies also strengthens its strategic position. TechSprint Solutions has some competitive advantages which are rare so it is hard for the competitors to copy them (Jansen et al., 2006).</w:t>
      </w:r>
    </w:p>
    <w:p w14:paraId="4C7D9F21"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Inimitability:</w:t>
      </w:r>
      <w:r w:rsidRPr="00317202">
        <w:rPr>
          <w:rFonts w:ascii="-webkit-standard" w:hAnsi="-webkit-standard" w:cs="Times New Roman"/>
          <w:color w:val="000000"/>
          <w:kern w:val="0"/>
          <w:sz w:val="27"/>
          <w:szCs w:val="27"/>
          <w14:ligatures w14:val="none"/>
        </w:rPr>
        <w:t> The uniqueness of the technology that only the is a highlight of the challenges faced by the rivals when they attempt to imitate or replace it. TechSprint Solutions’ technology is difficult to replicate due to its advanced algorithms, unique partnerships, or specific knowledge(Sharma &amp; Chrisman, 1999). This is an impediment to copying that makes its competitive advantage last longer.</w:t>
      </w:r>
    </w:p>
    <w:p w14:paraId="0A4E8504"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Non-Substitutability:</w:t>
      </w:r>
      <w:r w:rsidRPr="00317202">
        <w:rPr>
          <w:rFonts w:ascii="-webkit-standard" w:hAnsi="-webkit-standard" w:cs="Times New Roman"/>
          <w:color w:val="000000"/>
          <w:kern w:val="0"/>
          <w:sz w:val="27"/>
          <w:szCs w:val="27"/>
          <w14:ligatures w14:val="none"/>
        </w:rPr>
        <w:t> Private, the indispensability of the technology only reconfirms its place as a private asset. TechSprint Solutions’ technology sets a differentiated solution that is hard to successfully replace in a market where unique offers are important (Davenport et al., 2010). This characteristic enhances the material’s capacity to offer a consistent competitive position over a long time.</w:t>
      </w:r>
    </w:p>
    <w:p w14:paraId="01519DA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 </w:t>
      </w:r>
    </w:p>
    <w:p w14:paraId="331905A7"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 </w:t>
      </w:r>
    </w:p>
    <w:p w14:paraId="61FA9B2E"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8" w:name="_Toc156092570"/>
      <w:bookmarkEnd w:id="8"/>
      <w:r w:rsidRPr="00317202">
        <w:rPr>
          <w:rFonts w:ascii="Cambria" w:hAnsi="Cambria" w:cs="Times New Roman"/>
          <w:b/>
          <w:bCs/>
          <w:color w:val="000000"/>
          <w:kern w:val="0"/>
          <w:sz w:val="27"/>
          <w:szCs w:val="27"/>
          <w14:ligatures w14:val="none"/>
        </w:rPr>
        <w:t>9 M Model:</w:t>
      </w:r>
    </w:p>
    <w:p w14:paraId="66200BF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9 M Model actually gives an overall picture regarding the evaluation of different dimensions of TechSprint Solutions’ working model which gives a clear view of the areas that affect the company’s competitiveness (Duhigg, 2012).</w:t>
      </w:r>
    </w:p>
    <w:p w14:paraId="7676DEB6"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75E53A07" wp14:editId="75F00F39">
                <wp:extent cx="302260" cy="302260"/>
                <wp:effectExtent l="0" t="0" r="0" b="0"/>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CF8067" id="Rectangle 10"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494AD4DE"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9 M Model</w:t>
      </w:r>
    </w:p>
    <w:p w14:paraId="56D51FF0"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(Ries, 2011).</w:t>
      </w:r>
    </w:p>
    <w:p w14:paraId="49372B7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Money:</w:t>
      </w:r>
      <w:r w:rsidRPr="00317202">
        <w:rPr>
          <w:rFonts w:ascii="-webkit-standard" w:hAnsi="-webkit-standard" w:cs="Times New Roman"/>
          <w:color w:val="000000"/>
          <w:kern w:val="0"/>
          <w:sz w:val="27"/>
          <w:szCs w:val="27"/>
          <w14:ligatures w14:val="none"/>
        </w:rPr>
        <w:t xml:space="preserve"> TechSprint Solutions’ financial brilliance is revealed by the process of careful analysis of its financial resources. As far as the financial activities of the company are concerned, the company effectively manages its finances, </w:t>
      </w:r>
      <w:r w:rsidRPr="00317202">
        <w:rPr>
          <w:rFonts w:ascii="-webkit-standard" w:hAnsi="-webkit-standard" w:cs="Times New Roman"/>
          <w:color w:val="000000"/>
          <w:kern w:val="0"/>
          <w:sz w:val="27"/>
          <w:szCs w:val="27"/>
          <w14:ligatures w14:val="none"/>
        </w:rPr>
        <w:lastRenderedPageBreak/>
        <w:t>makes prudent investments, and has sustainable revenue streams that by and large make the company financially sound and resilient in the market arena (Dweck, 2006).</w:t>
      </w:r>
    </w:p>
    <w:p w14:paraId="648BD9B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Manpower:</w:t>
      </w:r>
      <w:r w:rsidRPr="00317202">
        <w:rPr>
          <w:rFonts w:ascii="-webkit-standard" w:hAnsi="-webkit-standard" w:cs="Times New Roman"/>
          <w:color w:val="000000"/>
          <w:kern w:val="0"/>
          <w:sz w:val="27"/>
          <w:szCs w:val="27"/>
          <w14:ligatures w14:val="none"/>
        </w:rPr>
        <w:t> The company’s determination to employ and retain only the best staff reflects its focus on innovation and quality provision of services. The human capital equipped with various knowledge increases the company’s comparative advantage.</w:t>
      </w:r>
    </w:p>
    <w:p w14:paraId="642CE92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Material:</w:t>
      </w:r>
      <w:r w:rsidRPr="00317202">
        <w:rPr>
          <w:rFonts w:ascii="-webkit-standard" w:hAnsi="-webkit-standard" w:cs="Times New Roman"/>
          <w:color w:val="000000"/>
          <w:kern w:val="0"/>
          <w:sz w:val="27"/>
          <w:szCs w:val="27"/>
          <w14:ligatures w14:val="none"/>
        </w:rPr>
        <w:t> TechSprint Solutions effectively manages material resources. Whether it’s the intelligent use of physical assets or the use of technologies that are at the cutting edge, the firm’s approach to utilising material resources is consistent with industry’s best practice, and enhances efficiency in operations and cost effectiveness (Duhigg, 2012).</w:t>
      </w:r>
    </w:p>
    <w:p w14:paraId="29F92734"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Market:</w:t>
      </w:r>
      <w:r w:rsidRPr="00317202">
        <w:rPr>
          <w:rFonts w:ascii="-webkit-standard" w:hAnsi="-webkit-standard" w:cs="Times New Roman"/>
          <w:color w:val="000000"/>
          <w:kern w:val="0"/>
          <w:sz w:val="27"/>
          <w:szCs w:val="27"/>
          <w14:ligatures w14:val="none"/>
        </w:rPr>
        <w:t> The understanding of the market dynamics by TechSprint Solutions makes the latter competitive in the market. The company is well-positioned within the industry as its market intelligence, customer-centric approach, and adaptive strategies enable it to identify and capitalize on new opportunities.</w:t>
      </w:r>
    </w:p>
    <w:p w14:paraId="5661CBE8"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Management</w:t>
      </w:r>
      <w:r w:rsidRPr="00317202">
        <w:rPr>
          <w:rFonts w:ascii="-webkit-standard" w:hAnsi="-webkit-standard" w:cs="Times New Roman"/>
          <w:color w:val="000000"/>
          <w:kern w:val="0"/>
          <w:sz w:val="27"/>
          <w:szCs w:val="27"/>
          <w14:ligatures w14:val="none"/>
        </w:rPr>
        <w:t>: Overall competitiveness at TechSprint Solutions depends on effective leadership and strategic management. The management at the company is equipped with a visionary approach, and their role is to guide the organisation through different market scenarios that are always dynamic, ensuring that the company remains adaptable and sustainable in the long term (Eisenhardt, 1989).</w:t>
      </w:r>
    </w:p>
    <w:p w14:paraId="00D8713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Motivation:</w:t>
      </w:r>
      <w:r w:rsidRPr="00317202">
        <w:rPr>
          <w:rFonts w:ascii="-webkit-standard" w:hAnsi="-webkit-standard" w:cs="Times New Roman"/>
          <w:color w:val="000000"/>
          <w:kern w:val="0"/>
          <w:sz w:val="27"/>
          <w:szCs w:val="27"/>
          <w14:ligatures w14:val="none"/>
        </w:rPr>
        <w:t> The motivation of the workforce also demonstrates TechSprint Solutions employee-centric culture. A motivated team of employees increases productivity, innovation, and customer satisfaction directly impacting the company’s competitive advantages. Employee motivation also helps to create a favourable workplace culture that draws and retains the best people.</w:t>
      </w:r>
    </w:p>
    <w:p w14:paraId="0A7B9D47"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Machinery:</w:t>
      </w:r>
      <w:r w:rsidRPr="00317202">
        <w:rPr>
          <w:rFonts w:ascii="-webkit-standard" w:hAnsi="-webkit-standard" w:cs="Times New Roman"/>
          <w:color w:val="000000"/>
          <w:kern w:val="0"/>
          <w:sz w:val="27"/>
          <w:szCs w:val="27"/>
          <w14:ligatures w14:val="none"/>
        </w:rPr>
        <w:t> This commitment of TechSprint Solutions to keep up with the latest technological advancements is demonstrated by the use of machinery and technological infrastructure (Eisenhardt &amp; Martin, 2000). Cutting edge machines and equipment bolster the workforce, which in return delivers efficient service and maintains a technological edge for gains.</w:t>
      </w:r>
    </w:p>
    <w:p w14:paraId="434D67E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Method:</w:t>
      </w:r>
      <w:r w:rsidRPr="00317202">
        <w:rPr>
          <w:rFonts w:ascii="-webkit-standard" w:hAnsi="-webkit-standard" w:cs="Times New Roman"/>
          <w:color w:val="000000"/>
          <w:kern w:val="0"/>
          <w:sz w:val="27"/>
          <w:szCs w:val="27"/>
          <w14:ligatures w14:val="none"/>
        </w:rPr>
        <w:t> The methods actually very much employed in TechSprint Solutions' operations reflect efficiency and effectiveness or likewise (Sharma &amp; Chrisman, 1999). Here, Standardised processes, agile methodologies, or a commitment to continuous improvement contribute to streamlined operations, reducing costs and enhancing overall competitiveness and so on.</w:t>
      </w:r>
    </w:p>
    <w:p w14:paraId="0B98470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Measurement:</w:t>
      </w:r>
      <w:r w:rsidRPr="00317202">
        <w:rPr>
          <w:rFonts w:ascii="-webkit-standard" w:hAnsi="-webkit-standard" w:cs="Times New Roman"/>
          <w:color w:val="000000"/>
          <w:kern w:val="0"/>
          <w:sz w:val="27"/>
          <w:szCs w:val="27"/>
          <w14:ligatures w14:val="none"/>
        </w:rPr>
        <w:t> The well efficient use of time is a critical component of TechSprint Solutions' competitiveness. The optimisation of workflows, adherence to deadlines, besides a proactive approach to project timelines underscore the company's commitment to delivering high-quality services in a timely manner or similar to that (Duhigg, 2012).</w:t>
      </w:r>
    </w:p>
    <w:p w14:paraId="6BEA811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lastRenderedPageBreak/>
        <w:t>In brief, the 9 M Model analysis especially unveils TechSprint Solutions' prowess in managing various facets of its operations and so on. The company's financial astuteness, skilled workforce, technological prowess, or commitment to efficiency collectively contributes to its overall competitiveness within the dynamic landscape of technology services or likewise aspects.</w:t>
      </w:r>
    </w:p>
    <w:p w14:paraId="1E66E7C9"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9" w:name="_Toc156092571"/>
      <w:bookmarkEnd w:id="9"/>
      <w:r w:rsidRPr="00317202">
        <w:rPr>
          <w:rFonts w:ascii="Cambria" w:hAnsi="Cambria" w:cs="Times New Roman"/>
          <w:b/>
          <w:bCs/>
          <w:color w:val="000000"/>
          <w:kern w:val="0"/>
          <w:sz w:val="27"/>
          <w:szCs w:val="27"/>
          <w14:ligatures w14:val="none"/>
        </w:rPr>
        <w:t>Porter’s Value Chain Model:</w:t>
      </w:r>
    </w:p>
    <w:p w14:paraId="6CD6C5B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Value Chain Model by Porter serves as a strategic disc sectioning to deconstruct TechSprint Solutions’ activities to identify areas of brilliance and explain the key competencies that significantly add to the overall value proposition of the company (Eisenhardt &amp; Schoonhoven, 1990).</w:t>
      </w:r>
    </w:p>
    <w:p w14:paraId="066CB49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Technology Development:</w:t>
      </w:r>
      <w:r w:rsidRPr="00317202">
        <w:rPr>
          <w:rFonts w:ascii="-webkit-standard" w:hAnsi="-webkit-standard" w:cs="Times New Roman"/>
          <w:color w:val="000000"/>
          <w:kern w:val="0"/>
          <w:sz w:val="27"/>
          <w:szCs w:val="27"/>
          <w14:ligatures w14:val="none"/>
        </w:rPr>
        <w:t> The company is innovative, investing in R&amp;D to maintain its leadership in the realm of technological progression. This emphasis not only guarantees ongoing product and service improvement but also establishes TechSprint Solutions as an industry pioneer (Eisenhardt &amp; Tabrizi, 1995).</w:t>
      </w:r>
    </w:p>
    <w:p w14:paraId="13589891"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Customer Service:</w:t>
      </w:r>
      <w:r w:rsidRPr="00317202">
        <w:rPr>
          <w:rFonts w:ascii="-webkit-standard" w:hAnsi="-webkit-standard" w:cs="Times New Roman"/>
          <w:color w:val="000000"/>
          <w:kern w:val="0"/>
          <w:sz w:val="27"/>
          <w:szCs w:val="27"/>
          <w14:ligatures w14:val="none"/>
        </w:rPr>
        <w:t> The commitment to providing excellent customer service is another key aspect of TechSprint Solutions’ value chain. Company is very good at understanding and responding to client needs, building long-lasting relationships and thus providing satisfaction to the client throughout the process of engagement (Dweck, 2006). This customer-centric approach not only promotes a customer’s loyalty to the company, but also significantly increase the general value provided by this company.</w:t>
      </w:r>
    </w:p>
    <w:p w14:paraId="48E19D6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Primary Functions:</w:t>
      </w:r>
      <w:r w:rsidRPr="00317202">
        <w:rPr>
          <w:rFonts w:ascii="-webkit-standard" w:hAnsi="-webkit-standard" w:cs="Times New Roman"/>
          <w:color w:val="000000"/>
          <w:kern w:val="0"/>
          <w:sz w:val="27"/>
          <w:szCs w:val="27"/>
          <w14:ligatures w14:val="none"/>
        </w:rPr>
        <w:t> Along with these core competencies at TechSprint Solutions, the primary functions of the firm within the value chain, such as inbound and outbound logistics, operations, marketing and sales, harmoniously support the delivery of quality products and services to the market (Teece, 2018).</w:t>
      </w:r>
    </w:p>
    <w:p w14:paraId="125FA6F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Support Functions:</w:t>
      </w:r>
      <w:r w:rsidRPr="00317202">
        <w:rPr>
          <w:rFonts w:ascii="-webkit-standard" w:hAnsi="-webkit-standard" w:cs="Times New Roman"/>
          <w:color w:val="000000"/>
          <w:kern w:val="0"/>
          <w:sz w:val="27"/>
          <w:szCs w:val="27"/>
          <w14:ligatures w14:val="none"/>
        </w:rPr>
        <w:t> Support functions such as procurement, human resource management, and technology infrastructure also contribute to the operational efficiency and effectiveness of the company, thereby offering a strong platform for the primary functions to flourish (Gibson &amp; Birkinshaw, 2004).</w:t>
      </w:r>
    </w:p>
    <w:p w14:paraId="7A95674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All in all, Porter’s Value Chain Model highlights the company’s strengths in technology development and customer service, showing us how these competencies are strategically linked to the overall value chain at TechSprint Solutions(Eisenhardt &amp; Schoonhoven, 1990).These unique strengths not only help make the company competitive but also help in making it a provider of unique and valued offerings in the ever-evolving world of technology services.</w:t>
      </w:r>
    </w:p>
    <w:p w14:paraId="50A84AA3"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10" w:name="_Toc156092572"/>
      <w:bookmarkEnd w:id="10"/>
      <w:r w:rsidRPr="00317202">
        <w:rPr>
          <w:rFonts w:ascii="Cambria" w:hAnsi="Cambria" w:cs="Times New Roman"/>
          <w:b/>
          <w:bCs/>
          <w:color w:val="000000"/>
          <w:kern w:val="0"/>
          <w:sz w:val="27"/>
          <w:szCs w:val="27"/>
          <w14:ligatures w14:val="none"/>
        </w:rPr>
        <w:t>Benchmarking:</w:t>
      </w:r>
    </w:p>
    <w:p w14:paraId="6344377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 xml:space="preserve">In essence, benchmarking is a strategic tool that enables TechSprint Solutions to evaluate and benchmark its performance against the industry’s standards and competitors. It gives a detailed understanding of how the company places </w:t>
      </w:r>
      <w:r w:rsidRPr="00317202">
        <w:rPr>
          <w:rFonts w:ascii="-webkit-standard" w:hAnsi="-webkit-standard" w:cs="Times New Roman"/>
          <w:color w:val="000000"/>
          <w:kern w:val="0"/>
          <w:sz w:val="27"/>
          <w:szCs w:val="27"/>
          <w14:ligatures w14:val="none"/>
        </w:rPr>
        <w:lastRenderedPageBreak/>
        <w:t>itself in the turbulent waters of the technology services sector(Grant, 2012). Strengths enable the company to reinforce and broaden its competitive advantages while weaknesses become signs for improvement or consolidation strategic initiatives.</w:t>
      </w:r>
    </w:p>
    <w:p w14:paraId="4B0FB6E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A thorough research of financial indicators, an operational efficiency, and scores of clients’ satisfaction is an important part of benchmarking. For example, if TechSprint Solutions outperforms the industry in any of these areas, it is a sign of competitive advantage it could leverage even further growth(Teece, 2018). On the positive side, pinpointing the weaknesses where this company has scored below par would help in concentrating on boosting competitiveness.</w:t>
      </w:r>
    </w:p>
    <w:p w14:paraId="34E989E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For example, if benchmarking reveals that TechSprint Solutions has a superior client satisfaction rate than industry averages, the company can leverage this competitive advantage to boost their sales or promotions and use it as a point of differentiation from competitors or among other things (Hammer &amp; Champy, 1993). On the opposite, if the operational efficiency is recognized as the weak area, the company can use the process improvements or technologies that make the operations easier.</w:t>
      </w:r>
    </w:p>
    <w:p w14:paraId="7E5B1FC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Basically, benchmarking is a dynamic compass that assists TechSprint Solutions to keep improving and changing while developing in an industry that is constantly changing.</w:t>
      </w:r>
    </w:p>
    <w:p w14:paraId="08DFFBFA"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11" w:name="_Toc156092573"/>
      <w:bookmarkEnd w:id="11"/>
      <w:r w:rsidRPr="00317202">
        <w:rPr>
          <w:rFonts w:ascii="Cambria" w:hAnsi="Cambria" w:cs="Times New Roman"/>
          <w:b/>
          <w:bCs/>
          <w:color w:val="000000"/>
          <w:kern w:val="0"/>
          <w:sz w:val="27"/>
          <w:szCs w:val="27"/>
          <w14:ligatures w14:val="none"/>
        </w:rPr>
        <w:t>Balanced Scorecard Model:</w:t>
      </w:r>
    </w:p>
    <w:p w14:paraId="13D26D1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Balanced Scorecard Model offers TechSprint Solutions a comprehensive framework for evaluating its performance across four key perspectives: financial, customer-oriented, processes internal to company operations, and learning and progress (Iansiti &amp; Levien, 2004). This holistic approach guarantees an even and sustainable way to growth as the strategic initiatives of the company coincide with higher-level business goals.</w:t>
      </w:r>
    </w:p>
    <w:p w14:paraId="0AAF682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in the financial perspective estimates its economic performance, ensuring its sustainability in terms of profitability and so on. The firm studies parameters like revenue growth, return on investment, or cost effectivenessand among other aspects (Ireland &amp; Hitt, 2005). By come together on financial metrics, TechSprint Solutions very much gains a clear understanding of its economic strength and the practicability of its business model.</w:t>
      </w:r>
    </w:p>
    <w:p w14:paraId="063AF8AF"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In the customer perspective, the focus should be placed on providing value to clients, on increasing customer satisfaction, and on building loyalty. TechSprint Solutions uses client-oriented performance metrics such as Net Promoter Score (NPS) and customer retention rates to measure how successful the firm is in fulfilling clients’ expectations (Grant, 2016). This perspective ensures that the company remains oriented towards creation of value for its clients, which is a key determinant of sustained competitiveness.</w:t>
      </w:r>
    </w:p>
    <w:p w14:paraId="1F630F9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lastRenderedPageBreak/>
        <w:t>In the internal perspective, the processes are optimised for efficiency and effectiveness. TechSprint Solutions focuses on the critical operational indicators and finds the areas to bemodified and developed (Tushman et al., 1996). The streamlining of internal processes increases overall productivity and lowers costs as well as increasing the competitiveness of the company.</w:t>
      </w:r>
    </w:p>
    <w:p w14:paraId="365AE32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learning and growth perspective accentuates the growth of human and technological capital. TechSprint Solutions makes investments in employee training, skill building, and technological infrastructure for a future-oriented and flexible workforce (Teece, 2018). This view is critical in supporting innovation, staying updated with the latest technology, and positioning the company for future development.</w:t>
      </w:r>
    </w:p>
    <w:p w14:paraId="57C96FA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Balanced Scorecard serves as a strategic case that doesn’t merely evaluate performance, but also engages the company in a well-rounded and resilient future.</w:t>
      </w:r>
    </w:p>
    <w:p w14:paraId="65CDA971"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12" w:name="_Toc156092574"/>
      <w:bookmarkEnd w:id="12"/>
      <w:r w:rsidRPr="00317202">
        <w:rPr>
          <w:rFonts w:ascii="Cambria" w:hAnsi="Cambria" w:cs="Times New Roman"/>
          <w:b/>
          <w:bCs/>
          <w:color w:val="000000"/>
          <w:kern w:val="0"/>
          <w:sz w:val="27"/>
          <w:szCs w:val="27"/>
          <w14:ligatures w14:val="none"/>
        </w:rPr>
        <w:t>Product Life Cycle Model:</w:t>
      </w:r>
    </w:p>
    <w:p w14:paraId="1DEA4858"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product portfolio of TechSprint Solutions fits different stages of life cycle during which tactical strategic approaches differ or something likely to this. The Product Life Cycle Model is a structure which helps to well understand and very well manage these stages, the company’s strategies are adjusted to the specifics of every phase (Kim &amp; Mauborgne, 2005).</w:t>
      </w:r>
    </w:p>
    <w:p w14:paraId="3FE607D9"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1584F5D2" wp14:editId="28D7335C">
                <wp:extent cx="302260" cy="302260"/>
                <wp:effectExtent l="0" t="0" r="0" b="0"/>
                <wp:docPr id="9"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BF7D54" id="Rectangle 9"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76C7EC4A"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Product Life Cycle Model</w:t>
      </w:r>
    </w:p>
    <w:p w14:paraId="6EC0D8A1"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(Zahra &amp; George, 2002).</w:t>
      </w:r>
    </w:p>
    <w:p w14:paraId="77437B2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focuses on innovation or market awareness during the introduction phase where new products or services are being launched and so on. The company very much invests in research and development initiatives in order to develop innovative solutions and carries out marketing activities to create awareness among potential customers and among other things (Gibson &amp; Birkinshaw, 2004).</w:t>
      </w:r>
    </w:p>
    <w:p w14:paraId="72D9030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Here, the products enter the growth phase, strategic focus is very much made on market growth. TechSprint Solutions could actually tackle new geographical markets, aim at different customer segments, or propose a range of products based on increased demand or something like that (Eisenhardt &amp; Schoonhoven, 1990). Increased marketing efforts are made to establish brand identity and gain a larger market share.</w:t>
      </w:r>
    </w:p>
    <w:p w14:paraId="0A5503E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Optimisation is for the maturity phase. TechSprint Solutions is focused on the management of costs and fine-tuning of operational efficiency, along with the search for opportunities to achieve product differentiation or very well aspects like that(Eisenhardt &amp; Tabrizi, 1995). At this point, the company may also opt for product extensions and complimentary offeringsto stay relevant to the market.</w:t>
      </w:r>
    </w:p>
    <w:p w14:paraId="7A82590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lastRenderedPageBreak/>
        <w:t>The decline phase, which seems to be a natural process for some of the products prompts the making of certain strategic decisions about the future of these products. TechSprint Solutions determines whether to discontinue particular offerings, channel resources towards more promising products or invent to rejuvenate faltering products (Kotter, 1995).</w:t>
      </w:r>
    </w:p>
    <w:p w14:paraId="759D50C7"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Knowledge about what stage products are in their life cycle influences resource allocation, marketing emphasis, and the level of innovation needed. TechSprint Solutions‘ strategicapproach to a product life cycle keeps the company one step ahead of the market and adopts is strategies according to the changing needs and demands of clients.</w:t>
      </w:r>
    </w:p>
    <w:p w14:paraId="2F30E532"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13" w:name="_Toc156092575"/>
      <w:bookmarkEnd w:id="13"/>
      <w:r w:rsidRPr="00317202">
        <w:rPr>
          <w:rFonts w:ascii="-webkit-standard" w:hAnsi="-webkit-standard" w:cs="Times New Roman"/>
          <w:b/>
          <w:bCs/>
          <w:color w:val="000000"/>
          <w:kern w:val="0"/>
          <w:sz w:val="30"/>
          <w:szCs w:val="30"/>
          <w14:ligatures w14:val="none"/>
        </w:rPr>
        <w:t>1.2 External Analysis</w:t>
      </w:r>
    </w:p>
    <w:p w14:paraId="01D56F3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External analysis broadens the perspective by well scrutinising macro-environmental factors that influence TechSprint Solutions' operations or similar things like that.</w:t>
      </w:r>
    </w:p>
    <w:p w14:paraId="7418E985"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14" w:name="_Toc156092576"/>
      <w:bookmarkEnd w:id="14"/>
      <w:r w:rsidRPr="00317202">
        <w:rPr>
          <w:rFonts w:ascii="Cambria" w:hAnsi="Cambria" w:cs="Times New Roman"/>
          <w:b/>
          <w:bCs/>
          <w:color w:val="000000"/>
          <w:kern w:val="0"/>
          <w:sz w:val="27"/>
          <w:szCs w:val="27"/>
          <w14:ligatures w14:val="none"/>
        </w:rPr>
        <w:t>PESTEL Model:</w:t>
      </w:r>
    </w:p>
    <w:p w14:paraId="7AC3914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deliberately very much employs the PESTEL analysis, dissecting the external environment through Political, Economic, Social, Technological, Environmental, and Legal lenses and so forth. This systematic examination actually unveils crucial insights into factors shaping the company's operational landscape (Lumpkin &amp; Dess, 2001).</w:t>
      </w:r>
    </w:p>
    <w:p w14:paraId="3BA901DF"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62DA217E" wp14:editId="6543CD24">
                <wp:extent cx="302260" cy="302260"/>
                <wp:effectExtent l="0" t="0" r="0" b="0"/>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89FB71" id="Rectangle 8"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5DB9A0F3"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PESTEL Model</w:t>
      </w:r>
    </w:p>
    <w:p w14:paraId="35607B6C"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(Prahalad &amp; Hamel, 1990).</w:t>
      </w:r>
    </w:p>
    <w:p w14:paraId="516B9C5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Political Factors:</w:t>
      </w:r>
    </w:p>
    <w:p w14:paraId="2859F26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Government policies and regulation are crucial considerations in the context of this particular company. Due to high tax rate, the management of the company has to provide tax to the government which in turn, the profitability is impacted. </w:t>
      </w:r>
    </w:p>
    <w:p w14:paraId="1DB60F4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Economic Factors:</w:t>
      </w:r>
    </w:p>
    <w:p w14:paraId="6C73C0F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Client budgets and demand for technology services are very influenced by macroeconomic conditions. TechSprint Solutions analyses economics changes to adjust strategies in different financial fields (Martin, 2009).</w:t>
      </w:r>
    </w:p>
    <w:p w14:paraId="2FBDF4AF"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Social Factors:</w:t>
      </w:r>
    </w:p>
    <w:p w14:paraId="25609F4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It’s essential to understand cultural trends and societal preferences. TechSprint Solutions tailors its market strategies in relation to social dynamicity so that they resonate with all clientele.</w:t>
      </w:r>
    </w:p>
    <w:p w14:paraId="06CB98D4"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Technological Factors:</w:t>
      </w:r>
    </w:p>
    <w:p w14:paraId="4BB2A04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primarily adheres to high-tech approach to technology. Changing tech landscapes are taken into consideration to enable the company to proactively incorporate innovations into its offerings (Mintzberg &amp; Waters, 1985).</w:t>
      </w:r>
    </w:p>
    <w:p w14:paraId="1EBCBF6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lastRenderedPageBreak/>
        <w:t>Environmental Factors:</w:t>
      </w:r>
    </w:p>
    <w:p w14:paraId="4A06CD6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conducts impact studies on the environment, and it is ensured that operations meet sustainable goals.</w:t>
      </w:r>
    </w:p>
    <w:p w14:paraId="0203724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Legal Factors:</w:t>
      </w:r>
    </w:p>
    <w:p w14:paraId="59435FD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Laws and regulations that affect the operations of TechSprint Solutions include data protection laws and intellectual property laws. The company works within compliance and strategically negotiates the legal field (Hammer &amp; Champy, 1993).</w:t>
      </w:r>
    </w:p>
    <w:p w14:paraId="08C16DD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By doing an in-depth PESTEL analysis, TechSprint Solutions can garner a comprehensive assessment of the external elements and subsequently assist the company in assessing influences, adapt procedures, and increase overall business resilience.</w:t>
      </w:r>
    </w:p>
    <w:p w14:paraId="7FA09A30"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15" w:name="_Toc156092577"/>
      <w:bookmarkEnd w:id="15"/>
      <w:r w:rsidRPr="00317202">
        <w:rPr>
          <w:rFonts w:ascii="Cambria" w:hAnsi="Cambria" w:cs="Times New Roman"/>
          <w:b/>
          <w:bCs/>
          <w:color w:val="000000"/>
          <w:kern w:val="0"/>
          <w:sz w:val="27"/>
          <w:szCs w:val="27"/>
          <w14:ligatures w14:val="none"/>
        </w:rPr>
        <w:t>SLEPT Model:</w:t>
      </w:r>
    </w:p>
    <w:p w14:paraId="4F481AA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SLEPT model is based on TechSprint Solutions’ external analysis with focus on Sociocultural, Legal, Environmental, Political, and Technological factors. This holistic approach makes it possible to perceive and evaluate the business’s environment in a highly differentiated way --- which is so important for forecasting and making wise responses to different impacts (Nambisan &amp; Baron, 2007).</w:t>
      </w:r>
    </w:p>
    <w:p w14:paraId="1C332BD9"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7521CD45" wp14:editId="2CCCBF30">
                <wp:extent cx="302260" cy="302260"/>
                <wp:effectExtent l="0" t="0" r="0" b="0"/>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F7F40C" id="Rectangle 7"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7225D9A1"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SLEPT Model</w:t>
      </w:r>
    </w:p>
    <w:p w14:paraId="311ADF5D"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(Nambisan &amp; Baron, 2007).</w:t>
      </w:r>
    </w:p>
    <w:p w14:paraId="6EF7BF9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Sociocultural Factors:</w:t>
      </w:r>
    </w:p>
    <w:p w14:paraId="317DBE4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This is vital in analysing social and cultural factors. TechSprint Solutions focuses on sociocultural development---to ensure that strategies align with changing tastes and values, in relation to various customer demographics.</w:t>
      </w:r>
    </w:p>
    <w:p w14:paraId="3FFA5D8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Legal Factors:</w:t>
      </w:r>
    </w:p>
    <w:p w14:paraId="02E2B773"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Navigating legal landscapes is critical. The SLEPT model urges TechSprint Solutions to scrutinize legal frameworks to ensure compliance and enable them to be proactive in adapting to changing regulatory environments (Zahra &amp; George, 2002).</w:t>
      </w:r>
    </w:p>
    <w:p w14:paraId="4EA45B1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Environmental Factors:</w:t>
      </w:r>
    </w:p>
    <w:p w14:paraId="12486B6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Environmental considerations are paramount. TechSprint Solutions is the organisation which focuses on the ecological impact of its activities, being attentive to the sustainability frames and trying to find the compromise between business strategies and environmental responsibility (Jansen et al., 2006).</w:t>
      </w:r>
    </w:p>
    <w:p w14:paraId="7F4D7FFF"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Political Factors:</w:t>
      </w:r>
    </w:p>
    <w:p w14:paraId="5B34463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Businesses are seriously normalized by political landscapes. Through the SLEPT model, TechSprint Solutions identifies political dynamics to pre-empt and manoeuvre the influence of potential consequences on its strategic initiatives (Osterwalder &amp; Pigneur, 2010).</w:t>
      </w:r>
    </w:p>
    <w:p w14:paraId="7F7640B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lastRenderedPageBreak/>
        <w:t>Technological Factors:</w:t>
      </w:r>
    </w:p>
    <w:p w14:paraId="769E523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It is necessary to keep pace with technological changes. To gain insights into changing techscapes, TechSprint Solutions uses SLEPT model to help the company integrate innovations and maintain its competitive edge (Eisenhardt &amp; Tabrizi, 1995).</w:t>
      </w:r>
    </w:p>
    <w:p w14:paraId="32C44991"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Through a SLEPT analysis, TechSprint Solutions would gain insight into a broad and sophisticated viewpoint that helps the company foresee and mitigate against a wide range of external forces. This holistic perspective strengthens the company’s strategic approach and adaptive capacity in an unstable business environment.</w:t>
      </w:r>
    </w:p>
    <w:p w14:paraId="2F470DD4"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16" w:name="_Toc156092578"/>
      <w:bookmarkEnd w:id="16"/>
      <w:r w:rsidRPr="00317202">
        <w:rPr>
          <w:rFonts w:ascii="Cambria" w:hAnsi="Cambria" w:cs="Times New Roman"/>
          <w:b/>
          <w:bCs/>
          <w:color w:val="000000"/>
          <w:kern w:val="0"/>
          <w:sz w:val="27"/>
          <w:szCs w:val="27"/>
          <w14:ligatures w14:val="none"/>
        </w:rPr>
        <w:t>Porter’s Five Forces Model:</w:t>
      </w:r>
    </w:p>
    <w:p w14:paraId="53EA42C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has adopted Porter’s Five Forces Model as a strategic compass to evaluate competitive forces within its industry. This detailed analysis involves the bargaining power of buyers and suppliers, the threat of new entrants, the threat of substitutes, and competitive rivalry, with all factors contributing to the competitive positioning of the company (Hambrick &amp; Fredrickson, 2005).</w:t>
      </w:r>
    </w:p>
    <w:p w14:paraId="5D118292"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45CF564D" wp14:editId="3E2E94D9">
                <wp:extent cx="302260" cy="302260"/>
                <wp:effectExtent l="0" t="0" r="0" b="0"/>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9CF3CD" id="Rectangle 6"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03CAFB8D"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Porter’s Five Forces Model</w:t>
      </w:r>
    </w:p>
    <w:p w14:paraId="1D2101E7"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(Osterwalder &amp; Pigneur, 2010).</w:t>
      </w:r>
    </w:p>
    <w:p w14:paraId="1652BEC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Bargaining Power of Buyers:</w:t>
      </w:r>
    </w:p>
    <w:p w14:paraId="7F6EAE0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analyses the power of the clients. It is essential to know what increases a buyer’s bargaining power and what diminishes it, for setting prices and improving reliability of services to satisfy customer requirements (Pink, 2009).</w:t>
      </w:r>
    </w:p>
    <w:p w14:paraId="5417A13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Bargaining Power of Suppliers:</w:t>
      </w:r>
    </w:p>
    <w:p w14:paraId="299127F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Suppliers influence is equally important. TechSprint Solutions identifies variables affecting supplier power that is ensuring its strategic relationships and secure supply chains to help reduce risks (Ireland &amp; Hitt, 2005).</w:t>
      </w:r>
    </w:p>
    <w:p w14:paraId="40B78FF7"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Threat of New Entrants:</w:t>
      </w:r>
    </w:p>
    <w:p w14:paraId="5D1AD10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studies obstacles to entry in its sector. The anticipation of the threat of new competitors helps to formulate strategic answerd such as strengthening brand loyalty or relying on the economies of scale.</w:t>
      </w:r>
    </w:p>
    <w:p w14:paraId="68D181EF"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Threat of Substitutes:</w:t>
      </w:r>
    </w:p>
    <w:p w14:paraId="487294D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It is very important to identify substitutes for its services. Techsprintains focuses strategically against other alternatives to increase differentiation and value, to help reduce the threat of substitutes (Kim &amp; Mauborgne, 2005).</w:t>
      </w:r>
    </w:p>
    <w:p w14:paraId="6EC53FA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Competitive Rivalry:</w:t>
      </w:r>
    </w:p>
    <w:p w14:paraId="2028601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However, the intensity of competition within the industry is crucial. Competition from TechSprint Solutions is evaluated and strategies of the company are revised to be above their counterparts in terms of innovation, cost leadership or differentiation (Martin, 2009).</w:t>
      </w:r>
    </w:p>
    <w:p w14:paraId="47FBD5AF"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17" w:name="_Toc156092579"/>
      <w:bookmarkEnd w:id="17"/>
      <w:r w:rsidRPr="00317202">
        <w:rPr>
          <w:rFonts w:ascii="-webkit-standard" w:hAnsi="-webkit-standard" w:cs="Times New Roman"/>
          <w:b/>
          <w:bCs/>
          <w:color w:val="000000"/>
          <w:kern w:val="0"/>
          <w:sz w:val="30"/>
          <w:szCs w:val="30"/>
          <w14:ligatures w14:val="none"/>
        </w:rPr>
        <w:lastRenderedPageBreak/>
        <w:t>Summarising Findings into SWOT</w:t>
      </w:r>
    </w:p>
    <w:p w14:paraId="2341674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integration of internal and external analyses results developing rather brief SWOT analysis.</w:t>
      </w:r>
    </w:p>
    <w:p w14:paraId="1F24CED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Strengths:</w:t>
      </w:r>
      <w:r w:rsidRPr="00317202">
        <w:rPr>
          <w:rFonts w:ascii="-webkit-standard" w:hAnsi="-webkit-standard" w:cs="Times New Roman"/>
          <w:color w:val="000000"/>
          <w:kern w:val="0"/>
          <w:sz w:val="27"/>
          <w:szCs w:val="27"/>
          <w14:ligatures w14:val="none"/>
        </w:rPr>
        <w:t> TechSprint Solutions has a rich assortment of technologically advanced products supported by a highly educated and motivated team of professionals (Eisenhardt, 1989). Operational efficiency is also a unique strength that contributes to client satisfaction and loyalty.</w:t>
      </w:r>
    </w:p>
    <w:p w14:paraId="621ED33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Weaknesses:</w:t>
      </w:r>
      <w:r w:rsidRPr="00317202">
        <w:rPr>
          <w:rFonts w:ascii="-webkit-standard" w:hAnsi="-webkit-standard" w:cs="Times New Roman"/>
          <w:color w:val="000000"/>
          <w:kern w:val="0"/>
          <w:sz w:val="27"/>
          <w:szCs w:val="27"/>
          <w14:ligatures w14:val="none"/>
        </w:rPr>
        <w:t> The company has issues with regards to inadequate financial resources and a degree of reliance on crucial individuals. Identified gaps in some capabilities may present challenges.</w:t>
      </w:r>
    </w:p>
    <w:p w14:paraId="539A7E2F"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Opportunities:</w:t>
      </w:r>
      <w:r w:rsidRPr="00317202">
        <w:rPr>
          <w:rFonts w:ascii="-webkit-standard" w:hAnsi="-webkit-standard" w:cs="Times New Roman"/>
          <w:color w:val="000000"/>
          <w:kern w:val="0"/>
          <w:sz w:val="27"/>
          <w:szCs w:val="27"/>
          <w14:ligatures w14:val="none"/>
        </w:rPr>
        <w:t> There are undeveloped markets for technology services that have growth potential. Further efforts to enhance the innovation capacities of TechSprint Solutions could involve establishing collaborative partnerships for research and development (Mintzberg &amp; Waters, 1985). Growth can also come from expanding service offerings into uncharted territories.</w:t>
      </w:r>
    </w:p>
    <w:p w14:paraId="68E7C5A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Threats:</w:t>
      </w:r>
      <w:r w:rsidRPr="00317202">
        <w:rPr>
          <w:rFonts w:ascii="-webkit-standard" w:hAnsi="-webkit-standard" w:cs="Times New Roman"/>
          <w:color w:val="000000"/>
          <w:kern w:val="0"/>
          <w:sz w:val="27"/>
          <w:szCs w:val="27"/>
          <w14:ligatures w14:val="none"/>
        </w:rPr>
        <w:t> The speed of technological change is also a major threat due to continuous necessity of adaptation. Market share is challenged by intense competition from larger firms with more extensive resources (Osterwalder &amp; Pigneur, 2010). The demand for technology services may be hampered by economic downturns that affect the client’s budgets.</w:t>
      </w:r>
    </w:p>
    <w:p w14:paraId="1E96D683"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In summary, TechSprint Solutions very much stands at a strategic crossroads. Leveraging its strengths, addressing identified weaknesses, capitalizing on emerging opportunities, or mitigating potential threats are paramount for formulating a robust strategic direction or likely to this. The subsequent sections have been entailed strategic growth choices and stakeholder analyses, synthesizing a roadmap for the SME's future development.</w:t>
      </w:r>
    </w:p>
    <w:p w14:paraId="1BB02B92" w14:textId="77777777" w:rsidR="00317202" w:rsidRPr="00317202" w:rsidRDefault="00317202" w:rsidP="00317202">
      <w:pPr>
        <w:spacing w:before="360" w:after="0" w:line="324" w:lineRule="atLeast"/>
        <w:jc w:val="both"/>
        <w:rPr>
          <w:rFonts w:ascii="-webkit-standard" w:hAnsi="-webkit-standard" w:cs="Times New Roman"/>
          <w:color w:val="000000"/>
          <w:kern w:val="0"/>
          <w:sz w:val="27"/>
          <w:szCs w:val="27"/>
          <w14:ligatures w14:val="none"/>
        </w:rPr>
      </w:pPr>
      <w:bookmarkStart w:id="18" w:name="_Toc156092580"/>
      <w:bookmarkEnd w:id="18"/>
      <w:r w:rsidRPr="00317202">
        <w:rPr>
          <w:rFonts w:ascii="-webkit-standard" w:hAnsi="-webkit-standard" w:cs="Times New Roman"/>
          <w:b/>
          <w:bCs/>
          <w:color w:val="000000"/>
          <w:kern w:val="0"/>
          <w:sz w:val="32"/>
          <w:szCs w:val="32"/>
          <w14:ligatures w14:val="none"/>
        </w:rPr>
        <w:t>Part 2. Strategic growth choices/options/action points</w:t>
      </w:r>
    </w:p>
    <w:p w14:paraId="50843A8F"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19" w:name="_Toc156092581"/>
      <w:bookmarkEnd w:id="19"/>
      <w:r w:rsidRPr="00317202">
        <w:rPr>
          <w:rFonts w:ascii="-webkit-standard" w:hAnsi="-webkit-standard" w:cs="Times New Roman"/>
          <w:b/>
          <w:bCs/>
          <w:color w:val="000000"/>
          <w:kern w:val="0"/>
          <w:sz w:val="30"/>
          <w:szCs w:val="30"/>
          <w14:ligatures w14:val="none"/>
        </w:rPr>
        <w:t>Strategic Growth Choices for TechSprint Solutions</w:t>
      </w:r>
    </w:p>
    <w:p w14:paraId="7BC75477"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In mapping the strategic growth path of TechSprint Solutions we explore different strategic models and each of them present diverse views on the possible direction of the company. Utilising the Ansoff Matrix, Porter’s Generic Strategies, and the BCG Matrix allows for a multi-faceted perspective on strategic option analysis (Pink, 2009). At the same time, the Suitability, Feasibility, and Acceptability (SFA) framework measures the feasibility of these strategic options, to ensure that they are aligned to the organisation’s capacity and objectives. Finally, a Stakeholder Analysis, using Mendelow’s Stakeholder Matrix, determines whether these options are acceptable to those with something at stake in TechSprint Solutions.</w:t>
      </w:r>
    </w:p>
    <w:p w14:paraId="2900553D"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20" w:name="_Toc156092582"/>
      <w:bookmarkEnd w:id="20"/>
      <w:r w:rsidRPr="00317202">
        <w:rPr>
          <w:rFonts w:ascii="Cambria" w:hAnsi="Cambria" w:cs="Times New Roman"/>
          <w:b/>
          <w:bCs/>
          <w:color w:val="000000"/>
          <w:kern w:val="0"/>
          <w:sz w:val="27"/>
          <w:szCs w:val="27"/>
          <w14:ligatures w14:val="none"/>
        </w:rPr>
        <w:t>Ansoff Matrix:</w:t>
      </w:r>
    </w:p>
    <w:p w14:paraId="0CD2D051"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lastRenderedPageBreak/>
        <w:t>The Ansoff Matrix serves as a strategic compass for TechSprint Solutions, presenting four distinctive growth strategies:</w:t>
      </w:r>
    </w:p>
    <w:p w14:paraId="0E8E6E06"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1C11309C" wp14:editId="5A829A1A">
                <wp:extent cx="302260" cy="302260"/>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F2F8B6" id="Rectangle 5"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091F914F"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Ansoff Matrix</w:t>
      </w:r>
    </w:p>
    <w:p w14:paraId="1B162EDC"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(Powell, 1992).</w:t>
      </w:r>
    </w:p>
    <w:p w14:paraId="3D10796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Market Penetration:</w:t>
      </w:r>
    </w:p>
    <w:p w14:paraId="3C0D2E58"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One of the main objectives of TechSprint Solutions is to strengthen its market share through enhancing marketing efforts and broadening the range of available services within the current client categories. This involves achieving market penetration and making customers to engage more in our current markets (Kim &amp; Mauborgne, 2005).</w:t>
      </w:r>
    </w:p>
    <w:p w14:paraId="60B7B0F8"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Market Development:</w:t>
      </w:r>
    </w:p>
    <w:p w14:paraId="020D137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looks forward to new markets or geographies to grow which is considered as very good aspectsfor this company.</w:t>
      </w:r>
    </w:p>
    <w:p w14:paraId="4AB1130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Product Development:</w:t>
      </w:r>
    </w:p>
    <w:p w14:paraId="0634AA8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promises innovation by adopting new services or solutions that smoothly fit into its current product line (Powell, 1992). With this approach, the firm remains a leader in the industry, able to respond to the changing demands of the marketplace and maintain its competitive advantage.</w:t>
      </w:r>
    </w:p>
    <w:p w14:paraId="2D7DB3A3"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Diversification:</w:t>
      </w:r>
    </w:p>
    <w:p w14:paraId="4A61447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is being set to venture into brand new markets or industries entirely. This bold approach may be a result of strategic partnerships or acquisitions, which can enable the company to diversify its offerings and get into uncharted waters for sustainable growth (Prahalad &amp; Hamel, 1990).</w:t>
      </w:r>
    </w:p>
    <w:p w14:paraId="108C5151"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In applying the Ansoff Matrix, TechSprint Solutions steers a strategic path, complementary expansion within current marketplaces, discovering new territories, revolutionising its service portfolio, or potentially diversifying into entirely new domains and among other aspects. This versatile approach positions the company to adapt to dynamic market conditions and secure a resilient path for future growth.</w:t>
      </w:r>
    </w:p>
    <w:p w14:paraId="721839DC"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21" w:name="_Toc156092583"/>
      <w:bookmarkEnd w:id="21"/>
      <w:r w:rsidRPr="00317202">
        <w:rPr>
          <w:rFonts w:ascii="Cambria" w:hAnsi="Cambria" w:cs="Times New Roman"/>
          <w:b/>
          <w:bCs/>
          <w:color w:val="000000"/>
          <w:kern w:val="0"/>
          <w:sz w:val="27"/>
          <w:szCs w:val="27"/>
          <w14:ligatures w14:val="none"/>
        </w:rPr>
        <w:t>Porter’s Generic Strategies:</w:t>
      </w:r>
    </w:p>
    <w:p w14:paraId="267097E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Porter’s Generic Strategies actually offer TechSprint Solutions three distinct paths for achieving besides sustaining a competitive advantage:</w:t>
      </w:r>
    </w:p>
    <w:p w14:paraId="4880FAE5"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5F5EB195" wp14:editId="4ECF8EAC">
                <wp:extent cx="302260" cy="30226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B6B4DD" id="Rectangle 4"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17260BF2"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Porter’s Generic Strategies</w:t>
      </w:r>
    </w:p>
    <w:p w14:paraId="29A4F3D8"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(Porter, 1996).</w:t>
      </w:r>
    </w:p>
    <w:p w14:paraId="382B706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Cost Leadership:</w:t>
      </w:r>
    </w:p>
    <w:p w14:paraId="7583C51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 xml:space="preserve">TechSprint Solutions aims to optimise operations and become a cost leader in the industry. Operational efficiency and cost-effectiveness would allow the </w:t>
      </w:r>
      <w:r w:rsidRPr="00317202">
        <w:rPr>
          <w:rFonts w:ascii="-webkit-standard" w:hAnsi="-webkit-standard" w:cs="Times New Roman"/>
          <w:color w:val="000000"/>
          <w:kern w:val="0"/>
          <w:sz w:val="27"/>
          <w:szCs w:val="27"/>
          <w14:ligatures w14:val="none"/>
        </w:rPr>
        <w:lastRenderedPageBreak/>
        <w:t>company to keep its prices competitive and make them attractive for those customers who are price sensitive while still maintaining high service quality (Lumpkin &amp; Dess, 2001).</w:t>
      </w:r>
    </w:p>
    <w:p w14:paraId="5B2D84A8"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Differentiation:</w:t>
      </w:r>
    </w:p>
    <w:p w14:paraId="7C4717C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strategy highlights uniqueness in services. The company offers customized and unique solutions to achieve a unique position in the market, establishing a strong value proposition for clients looking for specialised and innovative solutions (Ries, 2011).</w:t>
      </w:r>
    </w:p>
    <w:p w14:paraId="4E689CC3"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Focus:</w:t>
      </w:r>
    </w:p>
    <w:p w14:paraId="1E52D2C3"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focuses, strategically, on a particular niche market, striving to be the number one supplier for a particular client segment (Prahalad &amp; Hamel, 1990). The focused approach enables the company to offer services that are tailored to the requirements of a specific market, which increases the level of client loyalty and popularity and many other aspects.</w:t>
      </w:r>
    </w:p>
    <w:p w14:paraId="6A6C4839"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22" w:name="_Toc156092584"/>
      <w:bookmarkEnd w:id="22"/>
      <w:r w:rsidRPr="00317202">
        <w:rPr>
          <w:rFonts w:ascii="Cambria" w:hAnsi="Cambria" w:cs="Times New Roman"/>
          <w:b/>
          <w:bCs/>
          <w:color w:val="000000"/>
          <w:kern w:val="0"/>
          <w:sz w:val="27"/>
          <w:szCs w:val="27"/>
          <w14:ligatures w14:val="none"/>
        </w:rPr>
        <w:t>BCG Matrix:</w:t>
      </w:r>
    </w:p>
    <w:p w14:paraId="571B943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strategically applies the BCG Matrix to categorize its business units, providing a framework for prioritizing resource allocation and managing its diverse service portfolio (Martin, 2009).</w:t>
      </w:r>
    </w:p>
    <w:p w14:paraId="5810DB57"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0BA14BC2" wp14:editId="45E3FAD6">
                <wp:extent cx="302260" cy="302260"/>
                <wp:effectExtent l="0" t="0" r="0" b="0"/>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743D6B" id="Rectangle 3"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19BB73A5"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BCG Matrix</w:t>
      </w:r>
    </w:p>
    <w:p w14:paraId="47504F04"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(Prahalad &amp; Hamel, 1990).</w:t>
      </w:r>
    </w:p>
    <w:p w14:paraId="6EF430A1"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Stars:</w:t>
      </w:r>
    </w:p>
    <w:p w14:paraId="28FA8B13"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Within this category, high-growth and high-market-share services require ongoing allocation of resources. TechSprint Solutions identifies and cultivates these offerings to maintain their exponentially growing pace (Rumelt, 1991).</w:t>
      </w:r>
    </w:p>
    <w:p w14:paraId="2EB611A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Question Marks:</w:t>
      </w:r>
    </w:p>
    <w:p w14:paraId="19D0CF0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As high-growth but low-market -share services identified as question marks prompt strategic decisions. Whether TechSprint Solutions should invest further or consider divestment issues depends on the dynamics of the market(Eisenhardt, 1989).</w:t>
      </w:r>
    </w:p>
    <w:p w14:paraId="7AA3D7D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Cash Cows:</w:t>
      </w:r>
    </w:p>
    <w:p w14:paraId="7A9C8D8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When value is high and growth is low in market shares, they are classified as cash cows. Such revenue generators are reliable so efficient their management helps to make the profit as high as possible (Grant, 2016).</w:t>
      </w:r>
    </w:p>
    <w:p w14:paraId="62EE4AE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Dogs:</w:t>
      </w:r>
    </w:p>
    <w:p w14:paraId="6ABBAE0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services identified as low-growth and low-market-share isdogs. TechSprint Solutions assesses these proposals for potential disposal, redirecting resources to more advantageous areas (Eisenhardt &amp; Martin, 2000).</w:t>
      </w:r>
    </w:p>
    <w:p w14:paraId="3D0FE190"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23" w:name="_Toc156092585"/>
      <w:bookmarkEnd w:id="23"/>
      <w:r w:rsidRPr="00317202">
        <w:rPr>
          <w:rFonts w:ascii="Cambria" w:hAnsi="Cambria" w:cs="Times New Roman"/>
          <w:b/>
          <w:bCs/>
          <w:color w:val="000000"/>
          <w:kern w:val="0"/>
          <w:sz w:val="27"/>
          <w:szCs w:val="27"/>
          <w14:ligatures w14:val="none"/>
        </w:rPr>
        <w:t>Suitability, Feasibility, and Acceptability (SFA) Framework:</w:t>
      </w:r>
    </w:p>
    <w:p w14:paraId="254D32C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lastRenderedPageBreak/>
        <w:t>TechSprint Solutions employs the Suitability, Feasibility, and Acceptability (SFA) Framework to meticulously evaluate strategic options:</w:t>
      </w:r>
    </w:p>
    <w:p w14:paraId="1DA27BA7"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561AC7C5" wp14:editId="5C6EBD36">
                <wp:extent cx="302260" cy="30226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88A89F" id="Rectangle 2"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7D6E6A57"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(SFA) Framework</w:t>
      </w:r>
    </w:p>
    <w:p w14:paraId="0FF2800C"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(Wernerfelt, 1984).</w:t>
      </w:r>
    </w:p>
    <w:p w14:paraId="65270A2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Suitability:</w:t>
      </w:r>
    </w:p>
    <w:p w14:paraId="25BE349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strategic choices best suited for the alignment with TechSprint Solutions’ goals, its own inborn abilities, the environment ‘outside’ are being evaluated. Suitability implies that followed strategies coincide with the overall objectives of the company (Iansiti &amp; Levien, 2004).</w:t>
      </w:r>
    </w:p>
    <w:p w14:paraId="0CF37ED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Feasibility:</w:t>
      </w:r>
    </w:p>
    <w:p w14:paraId="7454A6C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 practicality of the implementation of strategies is scrupulously inspected in terms of resources, the technological needs, and the organisational capacity. Feasibility ensures that the chosen strategies are realistic and achievable within the bounds of a company (Jansen et al., 2006).</w:t>
      </w:r>
    </w:p>
    <w:p w14:paraId="6E8E5F54"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Acceptability:</w:t>
      </w:r>
    </w:p>
    <w:p w14:paraId="66EC074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Cultural, ethical and stakeholder-related considerations associated with each strategy are scrutinized. Acceptability ensures that chosen actions align with the values of the company and enjoy the support of key stakeholders (Hammer &amp; Champy, 1993).</w:t>
      </w:r>
    </w:p>
    <w:p w14:paraId="07E0596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Through the SFA model, TechSprint Solutions ensures that every one of its strategic decisions is not only sound from a theoretical point of view but also very much realistic from a practical stance so as in addition to being ethically right to allow for a strong platform for successful operationalization.</w:t>
      </w:r>
    </w:p>
    <w:p w14:paraId="44D2B51C" w14:textId="77777777" w:rsidR="00317202" w:rsidRPr="00317202" w:rsidRDefault="00317202" w:rsidP="00317202">
      <w:pPr>
        <w:spacing w:before="150" w:after="0" w:line="324" w:lineRule="atLeast"/>
        <w:rPr>
          <w:rFonts w:ascii="-webkit-standard" w:hAnsi="-webkit-standard" w:cs="Times New Roman"/>
          <w:color w:val="000000"/>
          <w:kern w:val="0"/>
          <w:sz w:val="27"/>
          <w:szCs w:val="27"/>
          <w14:ligatures w14:val="none"/>
        </w:rPr>
      </w:pPr>
      <w:bookmarkStart w:id="24" w:name="_Toc156092586"/>
      <w:bookmarkEnd w:id="24"/>
      <w:r w:rsidRPr="00317202">
        <w:rPr>
          <w:rFonts w:ascii="Cambria" w:hAnsi="Cambria" w:cs="Times New Roman"/>
          <w:b/>
          <w:bCs/>
          <w:color w:val="000000"/>
          <w:kern w:val="0"/>
          <w:sz w:val="27"/>
          <w:szCs w:val="27"/>
          <w14:ligatures w14:val="none"/>
        </w:rPr>
        <w:t>Stakeholder Analysis (Mendelow’s Stakeholder Matrix):</w:t>
      </w:r>
    </w:p>
    <w:p w14:paraId="627AD434"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TechSprint Solutions conducts a comprehensive Stakeholder Analysis using Mendelow’s Stakeholder Matrix, categorising stakeholders based on their level of interest and influence(Porter, 1996).</w:t>
      </w:r>
    </w:p>
    <w:p w14:paraId="1D2BB159" w14:textId="77777777" w:rsidR="00317202" w:rsidRPr="00317202" w:rsidRDefault="00317202" w:rsidP="00317202">
      <w:pPr>
        <w:spacing w:after="0" w:line="324" w:lineRule="atLeast"/>
        <w:jc w:val="center"/>
        <w:rPr>
          <w:rFonts w:ascii="-webkit-standard" w:hAnsi="-webkit-standard" w:cs="Times New Roman"/>
          <w:color w:val="000000"/>
          <w:kern w:val="0"/>
          <w:sz w:val="27"/>
          <w:szCs w:val="27"/>
          <w14:ligatures w14:val="none"/>
        </w:rPr>
      </w:pPr>
      <w:r w:rsidRPr="00317202">
        <w:rPr>
          <w:rFonts w:ascii="-webkit-standard" w:hAnsi="-webkit-standard" w:cs="Times New Roman"/>
          <w:noProof/>
          <w:color w:val="000000"/>
          <w:kern w:val="0"/>
          <w:sz w:val="27"/>
          <w:szCs w:val="27"/>
          <w14:ligatures w14:val="none"/>
        </w:rPr>
        <mc:AlternateContent>
          <mc:Choice Requires="wps">
            <w:drawing>
              <wp:inline distT="0" distB="0" distL="0" distR="0" wp14:anchorId="1F5DA8FF" wp14:editId="6728F316">
                <wp:extent cx="302260" cy="30226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C75B17" id="Rectangle 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303F70BC"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Figure: Mendelow’s Stakeholder Matrix</w:t>
      </w:r>
    </w:p>
    <w:p w14:paraId="0CD4A821" w14:textId="77777777" w:rsidR="00317202" w:rsidRPr="00317202" w:rsidRDefault="00317202" w:rsidP="00317202">
      <w:pPr>
        <w:spacing w:after="0" w:line="240" w:lineRule="auto"/>
        <w:jc w:val="center"/>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Source: (Prahalad &amp; Hamel, 1990).</w:t>
      </w:r>
    </w:p>
    <w:p w14:paraId="5542A69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High Power, High Interest:</w:t>
      </w:r>
    </w:p>
    <w:p w14:paraId="78FD0BC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Stakeholders in this quadrant have much clout and demonstrate keen interest. TechSprint Solutions engages in active partnership with these stakeholders understanding the importance of their role in strategic decision-making(Hambrick &amp; Fredrickson, 2005).</w:t>
      </w:r>
    </w:p>
    <w:p w14:paraId="1EBA8C5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High Power, Low Interest:</w:t>
      </w:r>
    </w:p>
    <w:p w14:paraId="75A7C458"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While being very influential, these stakeholders show much lower levels of interest. TechSprint Solutions updates them judiciously; they are properly informed but not burdened with irrelevant details (Gibson &amp; Birkinshaw, 2004).</w:t>
      </w:r>
    </w:p>
    <w:p w14:paraId="402447C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lastRenderedPageBreak/>
        <w:t>Low Power, High Interest:</w:t>
      </w:r>
    </w:p>
    <w:p w14:paraId="4AE24EA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These stakeholders with high interest but lower influence aresatisfied through regular updates and involvement in making decisions which recognizes the worth of their opinions (Teece et al., 1997).</w:t>
      </w:r>
    </w:p>
    <w:p w14:paraId="66F0EAD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Low Power, Low Interest:</w:t>
      </w:r>
    </w:p>
    <w:p w14:paraId="436ED39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Work with stakeholders that have minimal influence and interest is monitored, they are provided with necessary information without being overly engaged, and communication is balanced (Grant, 2012).</w:t>
      </w:r>
    </w:p>
    <w:p w14:paraId="0DB8F1C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Mendelow’s Stakeholder Matrix provides TechSprint Solutions with a strategic framework that enables effective tailoring of engagement strategies for each stakeholder group with unique dynamics of communication and collaboration.</w:t>
      </w:r>
    </w:p>
    <w:p w14:paraId="0B1FF434"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Thus it can be easier to understand that, the strategic development decision regarding TechSprint Solutions requires finding a balance between the models and frameworks mentioned above. Directional choices are provided by the Ansoff Matrix, competitive positioning is guided by Porter’s Generic Strategies, and the resource allocation is supported by the BCG Matrix (Eisenhardt &amp; Martin, 2000). The SFA framework makes strategies realistic and effective whereas, Mendelow’s Stakeholder Matrix gives the value of stakeholder perceptions of strategy implementation. By merging ideas from these models, TechSprint Solutions will be able to design a united growth strategy that takes advantage of strengths, addresses the trends in the industry, and meets expectations of the stakeholders.</w:t>
      </w:r>
    </w:p>
    <w:p w14:paraId="63E81600" w14:textId="77777777" w:rsidR="00317202" w:rsidRPr="00317202" w:rsidRDefault="00317202" w:rsidP="00317202">
      <w:pPr>
        <w:spacing w:before="360" w:after="0" w:line="324" w:lineRule="atLeast"/>
        <w:jc w:val="both"/>
        <w:rPr>
          <w:rFonts w:ascii="-webkit-standard" w:hAnsi="-webkit-standard" w:cs="Times New Roman"/>
          <w:color w:val="000000"/>
          <w:kern w:val="0"/>
          <w:sz w:val="27"/>
          <w:szCs w:val="27"/>
          <w14:ligatures w14:val="none"/>
        </w:rPr>
      </w:pPr>
      <w:bookmarkStart w:id="25" w:name="_Toc156092587"/>
      <w:bookmarkEnd w:id="25"/>
      <w:r w:rsidRPr="00317202">
        <w:rPr>
          <w:rFonts w:ascii="-webkit-standard" w:hAnsi="-webkit-standard" w:cs="Times New Roman"/>
          <w:b/>
          <w:bCs/>
          <w:color w:val="000000"/>
          <w:kern w:val="0"/>
          <w:sz w:val="32"/>
          <w:szCs w:val="32"/>
          <w14:ligatures w14:val="none"/>
        </w:rPr>
        <w:t>Conclusion and Recommendations:</w:t>
      </w:r>
    </w:p>
    <w:p w14:paraId="59A0F728"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Making use of the vast research done on TechSprint Solutions, this section summarizes the main findings and recommends the strategic path, along with an outline of the implementation plan. The purpose is to clarify the practical advantages that the proposed plan will bring to TechSprint Solutions and emphasize the possible adverse outcomes of failing to adhere to it.</w:t>
      </w:r>
    </w:p>
    <w:p w14:paraId="0F36AEB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Conclusion:</w:t>
      </w:r>
    </w:p>
    <w:p w14:paraId="3FD9A5F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Such a comprehensive strategic analysis has dug out useful insights into TechSprint Solutions’ internal dynamics, industry positioning, and opportunities for growth. An integrated model integrating Ansoff Matrix, Porter’s Generic Strategies, BCG Matrix, and Stakeholder Analysis allows understandingthe company’s development in a more delicate way.</w:t>
      </w:r>
    </w:p>
    <w:p w14:paraId="1BC15F8F"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Recommended Strategic Direction:</w:t>
      </w:r>
    </w:p>
    <w:p w14:paraId="647BAE77"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 xml:space="preserve">Just considering the current framing of the market and the capacities of TechSprint Solutions, a hybrid strategy is suggested. By combining market penetration and product development strategies, existing strengths will be leveraged to innovate and meet new market demands. This approach is </w:t>
      </w:r>
      <w:r w:rsidRPr="00317202">
        <w:rPr>
          <w:rFonts w:ascii="-webkit-standard" w:hAnsi="-webkit-standard" w:cs="Times New Roman"/>
          <w:color w:val="000000"/>
          <w:kern w:val="0"/>
          <w:sz w:val="27"/>
          <w:szCs w:val="27"/>
          <w14:ligatures w14:val="none"/>
        </w:rPr>
        <w:lastRenderedPageBreak/>
        <w:t>consistent with the company’s goal of being innovative and improving its market position.</w:t>
      </w:r>
    </w:p>
    <w:p w14:paraId="77E0E9F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Timeline for Strategic Implementation:</w:t>
      </w:r>
    </w:p>
    <w:tbl>
      <w:tblPr>
        <w:tblW w:w="0" w:type="auto"/>
        <w:tblCellMar>
          <w:top w:w="15" w:type="dxa"/>
          <w:left w:w="15" w:type="dxa"/>
          <w:bottom w:w="15" w:type="dxa"/>
          <w:right w:w="15" w:type="dxa"/>
        </w:tblCellMar>
        <w:tblLook w:val="04A0" w:firstRow="1" w:lastRow="0" w:firstColumn="1" w:lastColumn="0" w:noHBand="0" w:noVBand="1"/>
      </w:tblPr>
      <w:tblGrid>
        <w:gridCol w:w="1109"/>
        <w:gridCol w:w="4651"/>
      </w:tblGrid>
      <w:tr w:rsidR="00317202" w:rsidRPr="00317202" w14:paraId="5CC10200" w14:textId="77777777">
        <w:tc>
          <w:tcPr>
            <w:tcW w:w="0" w:type="auto"/>
            <w:tcBorders>
              <w:top w:val="single" w:sz="6" w:space="0" w:color="9BBB59"/>
              <w:left w:val="single" w:sz="6" w:space="0" w:color="9BBB59"/>
              <w:bottom w:val="single" w:sz="6" w:space="0" w:color="9BBB59"/>
              <w:right w:val="single" w:sz="6" w:space="0" w:color="9BBB59"/>
            </w:tcBorders>
            <w:hideMark/>
          </w:tcPr>
          <w:p w14:paraId="0A7B8CCF" w14:textId="77777777" w:rsidR="00317202" w:rsidRPr="00317202" w:rsidRDefault="00317202" w:rsidP="00317202">
            <w:pPr>
              <w:spacing w:before="90" w:after="180" w:line="240" w:lineRule="auto"/>
              <w:divId w:val="1058240615"/>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Timeline</w:t>
            </w:r>
          </w:p>
        </w:tc>
        <w:tc>
          <w:tcPr>
            <w:tcW w:w="0" w:type="auto"/>
            <w:tcBorders>
              <w:top w:val="single" w:sz="6" w:space="0" w:color="9BBB59"/>
              <w:left w:val="single" w:sz="6" w:space="0" w:color="9BBB59"/>
              <w:bottom w:val="single" w:sz="6" w:space="0" w:color="9BBB59"/>
              <w:right w:val="single" w:sz="6" w:space="0" w:color="9BBB59"/>
            </w:tcBorders>
            <w:hideMark/>
          </w:tcPr>
          <w:p w14:paraId="40D594FA" w14:textId="77777777" w:rsidR="00317202" w:rsidRPr="00317202" w:rsidRDefault="00317202" w:rsidP="00317202">
            <w:pPr>
              <w:spacing w:before="90" w:after="180" w:line="240" w:lineRule="auto"/>
              <w:divId w:val="682559533"/>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Activities</w:t>
            </w:r>
          </w:p>
        </w:tc>
      </w:tr>
      <w:tr w:rsidR="00317202" w:rsidRPr="00317202" w14:paraId="3C27A86A" w14:textId="77777777">
        <w:tc>
          <w:tcPr>
            <w:tcW w:w="0" w:type="auto"/>
            <w:tcBorders>
              <w:top w:val="single" w:sz="6" w:space="0" w:color="9BBB59"/>
              <w:left w:val="single" w:sz="6" w:space="0" w:color="9BBB59"/>
              <w:bottom w:val="single" w:sz="6" w:space="0" w:color="9BBB59"/>
              <w:right w:val="single" w:sz="6" w:space="0" w:color="9BBB59"/>
            </w:tcBorders>
            <w:shd w:val="clear" w:color="auto" w:fill="E6EED5"/>
            <w:hideMark/>
          </w:tcPr>
          <w:p w14:paraId="7376A944" w14:textId="77777777" w:rsidR="00317202" w:rsidRPr="00317202" w:rsidRDefault="00317202" w:rsidP="00317202">
            <w:pPr>
              <w:spacing w:before="90" w:after="180" w:line="240" w:lineRule="auto"/>
              <w:divId w:val="916942512"/>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Months 1-3</w:t>
            </w:r>
          </w:p>
        </w:tc>
        <w:tc>
          <w:tcPr>
            <w:tcW w:w="0" w:type="auto"/>
            <w:tcBorders>
              <w:top w:val="single" w:sz="6" w:space="0" w:color="9BBB59"/>
              <w:left w:val="single" w:sz="6" w:space="0" w:color="9BBB59"/>
              <w:bottom w:val="single" w:sz="6" w:space="0" w:color="9BBB59"/>
              <w:right w:val="single" w:sz="6" w:space="0" w:color="9BBB59"/>
            </w:tcBorders>
            <w:shd w:val="clear" w:color="auto" w:fill="E6EED5"/>
            <w:hideMark/>
          </w:tcPr>
          <w:p w14:paraId="2A488BCB" w14:textId="77777777" w:rsidR="00317202" w:rsidRPr="00317202" w:rsidRDefault="00317202" w:rsidP="00317202">
            <w:pPr>
              <w:spacing w:before="90" w:after="180" w:line="240" w:lineRule="auto"/>
              <w:divId w:val="126432940"/>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Communicate the strategic shift internally.</w:t>
            </w:r>
          </w:p>
        </w:tc>
      </w:tr>
      <w:tr w:rsidR="00317202" w:rsidRPr="00317202" w14:paraId="4C15764A" w14:textId="77777777">
        <w:tc>
          <w:tcPr>
            <w:tcW w:w="0" w:type="auto"/>
            <w:tcBorders>
              <w:top w:val="single" w:sz="6" w:space="0" w:color="9BBB59"/>
              <w:left w:val="single" w:sz="6" w:space="0" w:color="9BBB59"/>
              <w:bottom w:val="single" w:sz="6" w:space="0" w:color="9BBB59"/>
              <w:right w:val="single" w:sz="6" w:space="0" w:color="9BBB59"/>
            </w:tcBorders>
            <w:hideMark/>
          </w:tcPr>
          <w:p w14:paraId="5874B0CA" w14:textId="77777777" w:rsidR="00317202" w:rsidRPr="00317202" w:rsidRDefault="00317202" w:rsidP="00317202">
            <w:pPr>
              <w:spacing w:before="90" w:after="180" w:line="240" w:lineRule="auto"/>
              <w:divId w:val="246156710"/>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w:t>
            </w:r>
          </w:p>
        </w:tc>
        <w:tc>
          <w:tcPr>
            <w:tcW w:w="0" w:type="auto"/>
            <w:tcBorders>
              <w:top w:val="single" w:sz="6" w:space="0" w:color="9BBB59"/>
              <w:left w:val="single" w:sz="6" w:space="0" w:color="9BBB59"/>
              <w:bottom w:val="single" w:sz="6" w:space="0" w:color="9BBB59"/>
              <w:right w:val="single" w:sz="6" w:space="0" w:color="9BBB59"/>
            </w:tcBorders>
            <w:hideMark/>
          </w:tcPr>
          <w:p w14:paraId="0FAF1DC3" w14:textId="77777777" w:rsidR="00317202" w:rsidRPr="00317202" w:rsidRDefault="00317202" w:rsidP="00317202">
            <w:pPr>
              <w:spacing w:before="90" w:after="180" w:line="240" w:lineRule="auto"/>
              <w:divId w:val="724642659"/>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Conduct training programs for workforce upskilling.</w:t>
            </w:r>
          </w:p>
        </w:tc>
      </w:tr>
      <w:tr w:rsidR="00317202" w:rsidRPr="00317202" w14:paraId="3EE2E0D2" w14:textId="77777777">
        <w:tc>
          <w:tcPr>
            <w:tcW w:w="0" w:type="auto"/>
            <w:tcBorders>
              <w:top w:val="single" w:sz="6" w:space="0" w:color="9BBB59"/>
              <w:left w:val="single" w:sz="6" w:space="0" w:color="9BBB59"/>
              <w:bottom w:val="single" w:sz="6" w:space="0" w:color="9BBB59"/>
              <w:right w:val="single" w:sz="6" w:space="0" w:color="9BBB59"/>
            </w:tcBorders>
            <w:shd w:val="clear" w:color="auto" w:fill="E6EED5"/>
            <w:hideMark/>
          </w:tcPr>
          <w:p w14:paraId="6E67D46A" w14:textId="77777777" w:rsidR="00317202" w:rsidRPr="00317202" w:rsidRDefault="00317202" w:rsidP="00317202">
            <w:pPr>
              <w:spacing w:before="90" w:after="180" w:line="240" w:lineRule="auto"/>
              <w:divId w:val="123276429"/>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Months 4-6</w:t>
            </w:r>
          </w:p>
        </w:tc>
        <w:tc>
          <w:tcPr>
            <w:tcW w:w="0" w:type="auto"/>
            <w:tcBorders>
              <w:top w:val="single" w:sz="6" w:space="0" w:color="9BBB59"/>
              <w:left w:val="single" w:sz="6" w:space="0" w:color="9BBB59"/>
              <w:bottom w:val="single" w:sz="6" w:space="0" w:color="9BBB59"/>
              <w:right w:val="single" w:sz="6" w:space="0" w:color="9BBB59"/>
            </w:tcBorders>
            <w:shd w:val="clear" w:color="auto" w:fill="E6EED5"/>
            <w:hideMark/>
          </w:tcPr>
          <w:p w14:paraId="204CD70D" w14:textId="77777777" w:rsidR="00317202" w:rsidRPr="00317202" w:rsidRDefault="00317202" w:rsidP="00317202">
            <w:pPr>
              <w:spacing w:before="90" w:after="180" w:line="240" w:lineRule="auto"/>
              <w:divId w:val="242565040"/>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Intensify marketing efforts targeting existing clients.</w:t>
            </w:r>
          </w:p>
        </w:tc>
      </w:tr>
      <w:tr w:rsidR="00317202" w:rsidRPr="00317202" w14:paraId="48600F2A" w14:textId="77777777">
        <w:tc>
          <w:tcPr>
            <w:tcW w:w="0" w:type="auto"/>
            <w:tcBorders>
              <w:top w:val="single" w:sz="6" w:space="0" w:color="9BBB59"/>
              <w:left w:val="single" w:sz="6" w:space="0" w:color="9BBB59"/>
              <w:bottom w:val="single" w:sz="6" w:space="0" w:color="9BBB59"/>
              <w:right w:val="single" w:sz="6" w:space="0" w:color="9BBB59"/>
            </w:tcBorders>
            <w:hideMark/>
          </w:tcPr>
          <w:p w14:paraId="20D79CA0" w14:textId="77777777" w:rsidR="00317202" w:rsidRPr="00317202" w:rsidRDefault="00317202" w:rsidP="00317202">
            <w:pPr>
              <w:spacing w:before="90" w:after="180" w:line="240" w:lineRule="auto"/>
              <w:divId w:val="1826622003"/>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w:t>
            </w:r>
          </w:p>
        </w:tc>
        <w:tc>
          <w:tcPr>
            <w:tcW w:w="0" w:type="auto"/>
            <w:tcBorders>
              <w:top w:val="single" w:sz="6" w:space="0" w:color="9BBB59"/>
              <w:left w:val="single" w:sz="6" w:space="0" w:color="9BBB59"/>
              <w:bottom w:val="single" w:sz="6" w:space="0" w:color="9BBB59"/>
              <w:right w:val="single" w:sz="6" w:space="0" w:color="9BBB59"/>
            </w:tcBorders>
            <w:hideMark/>
          </w:tcPr>
          <w:p w14:paraId="0AA072C8" w14:textId="77777777" w:rsidR="00317202" w:rsidRPr="00317202" w:rsidRDefault="00317202" w:rsidP="00317202">
            <w:pPr>
              <w:spacing w:before="90" w:after="180" w:line="240" w:lineRule="auto"/>
              <w:divId w:val="1444180533"/>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Expand service offerings based on identified market needs.</w:t>
            </w:r>
          </w:p>
        </w:tc>
      </w:tr>
      <w:tr w:rsidR="00317202" w:rsidRPr="00317202" w14:paraId="74A51767" w14:textId="77777777">
        <w:tc>
          <w:tcPr>
            <w:tcW w:w="0" w:type="auto"/>
            <w:tcBorders>
              <w:top w:val="single" w:sz="6" w:space="0" w:color="9BBB59"/>
              <w:left w:val="single" w:sz="6" w:space="0" w:color="9BBB59"/>
              <w:bottom w:val="single" w:sz="6" w:space="0" w:color="9BBB59"/>
              <w:right w:val="single" w:sz="6" w:space="0" w:color="9BBB59"/>
            </w:tcBorders>
            <w:shd w:val="clear" w:color="auto" w:fill="E6EED5"/>
            <w:hideMark/>
          </w:tcPr>
          <w:p w14:paraId="2832940D" w14:textId="77777777" w:rsidR="00317202" w:rsidRPr="00317202" w:rsidRDefault="00317202" w:rsidP="00317202">
            <w:pPr>
              <w:spacing w:before="90" w:after="180" w:line="240" w:lineRule="auto"/>
              <w:divId w:val="338124160"/>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Months 7-9</w:t>
            </w:r>
          </w:p>
        </w:tc>
        <w:tc>
          <w:tcPr>
            <w:tcW w:w="0" w:type="auto"/>
            <w:tcBorders>
              <w:top w:val="single" w:sz="6" w:space="0" w:color="9BBB59"/>
              <w:left w:val="single" w:sz="6" w:space="0" w:color="9BBB59"/>
              <w:bottom w:val="single" w:sz="6" w:space="0" w:color="9BBB59"/>
              <w:right w:val="single" w:sz="6" w:space="0" w:color="9BBB59"/>
            </w:tcBorders>
            <w:shd w:val="clear" w:color="auto" w:fill="E6EED5"/>
            <w:hideMark/>
          </w:tcPr>
          <w:p w14:paraId="37668FBD" w14:textId="77777777" w:rsidR="00317202" w:rsidRPr="00317202" w:rsidRDefault="00317202" w:rsidP="00317202">
            <w:pPr>
              <w:spacing w:before="90" w:after="180" w:line="240" w:lineRule="auto"/>
              <w:divId w:val="511142976"/>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Initiate R&amp;D for innovative services.</w:t>
            </w:r>
          </w:p>
        </w:tc>
      </w:tr>
      <w:tr w:rsidR="00317202" w:rsidRPr="00317202" w14:paraId="30510347" w14:textId="77777777">
        <w:tc>
          <w:tcPr>
            <w:tcW w:w="0" w:type="auto"/>
            <w:tcBorders>
              <w:top w:val="single" w:sz="6" w:space="0" w:color="9BBB59"/>
              <w:left w:val="single" w:sz="6" w:space="0" w:color="9BBB59"/>
              <w:bottom w:val="single" w:sz="6" w:space="0" w:color="9BBB59"/>
              <w:right w:val="single" w:sz="6" w:space="0" w:color="9BBB59"/>
            </w:tcBorders>
            <w:hideMark/>
          </w:tcPr>
          <w:p w14:paraId="7C7FD123" w14:textId="77777777" w:rsidR="00317202" w:rsidRPr="00317202" w:rsidRDefault="00317202" w:rsidP="00317202">
            <w:pPr>
              <w:spacing w:before="90" w:after="180" w:line="240" w:lineRule="auto"/>
              <w:divId w:val="1988047104"/>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w:t>
            </w:r>
          </w:p>
        </w:tc>
        <w:tc>
          <w:tcPr>
            <w:tcW w:w="0" w:type="auto"/>
            <w:tcBorders>
              <w:top w:val="single" w:sz="6" w:space="0" w:color="9BBB59"/>
              <w:left w:val="single" w:sz="6" w:space="0" w:color="9BBB59"/>
              <w:bottom w:val="single" w:sz="6" w:space="0" w:color="9BBB59"/>
              <w:right w:val="single" w:sz="6" w:space="0" w:color="9BBB59"/>
            </w:tcBorders>
            <w:hideMark/>
          </w:tcPr>
          <w:p w14:paraId="4E871C2F" w14:textId="77777777" w:rsidR="00317202" w:rsidRPr="00317202" w:rsidRDefault="00317202" w:rsidP="00317202">
            <w:pPr>
              <w:spacing w:before="90" w:after="180" w:line="240" w:lineRule="auto"/>
              <w:divId w:val="1712534181"/>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Collaborate with technology partners for new solutions.</w:t>
            </w:r>
          </w:p>
        </w:tc>
      </w:tr>
      <w:tr w:rsidR="00317202" w:rsidRPr="00317202" w14:paraId="2D965B45" w14:textId="77777777">
        <w:tc>
          <w:tcPr>
            <w:tcW w:w="0" w:type="auto"/>
            <w:tcBorders>
              <w:top w:val="single" w:sz="6" w:space="0" w:color="9BBB59"/>
              <w:left w:val="single" w:sz="6" w:space="0" w:color="9BBB59"/>
              <w:bottom w:val="single" w:sz="6" w:space="0" w:color="9BBB59"/>
              <w:right w:val="single" w:sz="6" w:space="0" w:color="9BBB59"/>
            </w:tcBorders>
            <w:shd w:val="clear" w:color="auto" w:fill="E6EED5"/>
            <w:hideMark/>
          </w:tcPr>
          <w:p w14:paraId="2EF78A38" w14:textId="77777777" w:rsidR="00317202" w:rsidRPr="00317202" w:rsidRDefault="00317202" w:rsidP="00317202">
            <w:pPr>
              <w:spacing w:before="90" w:after="180" w:line="240" w:lineRule="auto"/>
              <w:divId w:val="2147122741"/>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Months 10-12</w:t>
            </w:r>
          </w:p>
        </w:tc>
        <w:tc>
          <w:tcPr>
            <w:tcW w:w="0" w:type="auto"/>
            <w:tcBorders>
              <w:top w:val="single" w:sz="6" w:space="0" w:color="9BBB59"/>
              <w:left w:val="single" w:sz="6" w:space="0" w:color="9BBB59"/>
              <w:bottom w:val="single" w:sz="6" w:space="0" w:color="9BBB59"/>
              <w:right w:val="single" w:sz="6" w:space="0" w:color="9BBB59"/>
            </w:tcBorders>
            <w:shd w:val="clear" w:color="auto" w:fill="E6EED5"/>
            <w:hideMark/>
          </w:tcPr>
          <w:p w14:paraId="697E4E7F" w14:textId="77777777" w:rsidR="00317202" w:rsidRPr="00317202" w:rsidRDefault="00317202" w:rsidP="00317202">
            <w:pPr>
              <w:spacing w:before="90" w:after="180" w:line="240" w:lineRule="auto"/>
              <w:divId w:val="1614164081"/>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Launch pilot programs for new services.</w:t>
            </w:r>
          </w:p>
        </w:tc>
      </w:tr>
      <w:tr w:rsidR="00317202" w:rsidRPr="00317202" w14:paraId="024D32FD" w14:textId="77777777">
        <w:tc>
          <w:tcPr>
            <w:tcW w:w="0" w:type="auto"/>
            <w:tcBorders>
              <w:top w:val="single" w:sz="6" w:space="0" w:color="9BBB59"/>
              <w:left w:val="single" w:sz="6" w:space="0" w:color="9BBB59"/>
              <w:bottom w:val="single" w:sz="6" w:space="0" w:color="9BBB59"/>
              <w:right w:val="single" w:sz="6" w:space="0" w:color="9BBB59"/>
            </w:tcBorders>
            <w:hideMark/>
          </w:tcPr>
          <w:p w14:paraId="7C382694" w14:textId="77777777" w:rsidR="00317202" w:rsidRPr="00317202" w:rsidRDefault="00317202" w:rsidP="00317202">
            <w:pPr>
              <w:spacing w:before="90" w:after="180" w:line="240" w:lineRule="auto"/>
              <w:divId w:val="1714037566"/>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w:t>
            </w:r>
          </w:p>
        </w:tc>
        <w:tc>
          <w:tcPr>
            <w:tcW w:w="0" w:type="auto"/>
            <w:tcBorders>
              <w:top w:val="single" w:sz="6" w:space="0" w:color="9BBB59"/>
              <w:left w:val="single" w:sz="6" w:space="0" w:color="9BBB59"/>
              <w:bottom w:val="single" w:sz="6" w:space="0" w:color="9BBB59"/>
              <w:right w:val="single" w:sz="6" w:space="0" w:color="9BBB59"/>
            </w:tcBorders>
            <w:hideMark/>
          </w:tcPr>
          <w:p w14:paraId="112CE4AB" w14:textId="77777777" w:rsidR="00317202" w:rsidRPr="00317202" w:rsidRDefault="00317202" w:rsidP="00317202">
            <w:pPr>
              <w:spacing w:before="90" w:after="180" w:line="240" w:lineRule="auto"/>
              <w:divId w:val="386925379"/>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Gather feedback for refinement.</w:t>
            </w:r>
          </w:p>
        </w:tc>
      </w:tr>
      <w:tr w:rsidR="00317202" w:rsidRPr="00317202" w14:paraId="6D093F69" w14:textId="77777777">
        <w:tc>
          <w:tcPr>
            <w:tcW w:w="0" w:type="auto"/>
            <w:tcBorders>
              <w:top w:val="single" w:sz="6" w:space="0" w:color="9BBB59"/>
              <w:left w:val="single" w:sz="6" w:space="0" w:color="9BBB59"/>
              <w:bottom w:val="single" w:sz="6" w:space="0" w:color="9BBB59"/>
              <w:right w:val="single" w:sz="6" w:space="0" w:color="9BBB59"/>
            </w:tcBorders>
            <w:shd w:val="clear" w:color="auto" w:fill="E6EED5"/>
            <w:hideMark/>
          </w:tcPr>
          <w:p w14:paraId="66A9D698" w14:textId="77777777" w:rsidR="00317202" w:rsidRPr="00317202" w:rsidRDefault="00317202" w:rsidP="00317202">
            <w:pPr>
              <w:spacing w:before="90" w:after="180" w:line="240" w:lineRule="auto"/>
              <w:divId w:val="913204393"/>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Months 13-18</w:t>
            </w:r>
          </w:p>
        </w:tc>
        <w:tc>
          <w:tcPr>
            <w:tcW w:w="0" w:type="auto"/>
            <w:tcBorders>
              <w:top w:val="single" w:sz="6" w:space="0" w:color="9BBB59"/>
              <w:left w:val="single" w:sz="6" w:space="0" w:color="9BBB59"/>
              <w:bottom w:val="single" w:sz="6" w:space="0" w:color="9BBB59"/>
              <w:right w:val="single" w:sz="6" w:space="0" w:color="9BBB59"/>
            </w:tcBorders>
            <w:shd w:val="clear" w:color="auto" w:fill="E6EED5"/>
            <w:hideMark/>
          </w:tcPr>
          <w:p w14:paraId="1C9A7863" w14:textId="77777777" w:rsidR="00317202" w:rsidRPr="00317202" w:rsidRDefault="00317202" w:rsidP="00317202">
            <w:pPr>
              <w:spacing w:before="90" w:after="180" w:line="240" w:lineRule="auto"/>
              <w:divId w:val="1573542552"/>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Roll out refined services to the broader market.</w:t>
            </w:r>
          </w:p>
        </w:tc>
      </w:tr>
      <w:tr w:rsidR="00317202" w:rsidRPr="00317202" w14:paraId="1CDB7BEB" w14:textId="77777777">
        <w:tc>
          <w:tcPr>
            <w:tcW w:w="0" w:type="auto"/>
            <w:tcBorders>
              <w:top w:val="single" w:sz="6" w:space="0" w:color="9BBB59"/>
              <w:left w:val="single" w:sz="6" w:space="0" w:color="9BBB59"/>
              <w:bottom w:val="single" w:sz="6" w:space="0" w:color="9BBB59"/>
              <w:right w:val="single" w:sz="6" w:space="0" w:color="9BBB59"/>
            </w:tcBorders>
            <w:hideMark/>
          </w:tcPr>
          <w:p w14:paraId="16D289FF" w14:textId="77777777" w:rsidR="00317202" w:rsidRPr="00317202" w:rsidRDefault="00317202" w:rsidP="00317202">
            <w:pPr>
              <w:spacing w:before="90" w:after="180" w:line="240" w:lineRule="auto"/>
              <w:divId w:val="458382067"/>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w:t>
            </w:r>
          </w:p>
        </w:tc>
        <w:tc>
          <w:tcPr>
            <w:tcW w:w="0" w:type="auto"/>
            <w:tcBorders>
              <w:top w:val="single" w:sz="6" w:space="0" w:color="9BBB59"/>
              <w:left w:val="single" w:sz="6" w:space="0" w:color="9BBB59"/>
              <w:bottom w:val="single" w:sz="6" w:space="0" w:color="9BBB59"/>
              <w:right w:val="single" w:sz="6" w:space="0" w:color="9BBB59"/>
            </w:tcBorders>
            <w:hideMark/>
          </w:tcPr>
          <w:p w14:paraId="2604AFDD" w14:textId="77777777" w:rsidR="00317202" w:rsidRPr="00317202" w:rsidRDefault="00317202" w:rsidP="00317202">
            <w:pPr>
              <w:spacing w:before="90" w:after="180" w:line="240" w:lineRule="auto"/>
              <w:divId w:val="884296826"/>
              <w:rPr>
                <w:rFonts w:ascii="-webkit-standard" w:hAnsi="-webkit-standard" w:cs="Times New Roman"/>
                <w:kern w:val="0"/>
                <w:sz w:val="18"/>
                <w:szCs w:val="18"/>
                <w14:ligatures w14:val="none"/>
              </w:rPr>
            </w:pPr>
            <w:r w:rsidRPr="00317202">
              <w:rPr>
                <w:rFonts w:ascii="-webkit-standard" w:hAnsi="-webkit-standard" w:cs="Times New Roman"/>
                <w:kern w:val="0"/>
                <w:sz w:val="18"/>
                <w:szCs w:val="18"/>
                <w14:ligatures w14:val="none"/>
              </w:rPr>
              <w:t>- Monitor and adjust based on real-time feedback.</w:t>
            </w:r>
          </w:p>
        </w:tc>
      </w:tr>
    </w:tbl>
    <w:p w14:paraId="2B2D968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This structured timeline actually very much ensures a step-by-step approach to strategic implementation, allowing for internal alignment, market penetration, product development, or a gradual transition to full-scale implementation and among other things. Each phase is actually designed to build upon the previous, fostering a smooth and effective strategic evolution for TechSprint Solutions.</w:t>
      </w:r>
    </w:p>
    <w:p w14:paraId="0EF57133"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Benefits of the Proposed Direction:</w:t>
      </w:r>
    </w:p>
    <w:p w14:paraId="79045A0F" w14:textId="77777777" w:rsidR="00317202" w:rsidRPr="00317202" w:rsidRDefault="00317202" w:rsidP="00317202">
      <w:pPr>
        <w:spacing w:after="0" w:line="240" w:lineRule="auto"/>
        <w:ind w:hanging="270"/>
        <w:divId w:val="1162232737"/>
        <w:rPr>
          <w:rFonts w:ascii="-webkit-standard" w:eastAsia="Times New Roman" w:hAnsi="-webkit-standard" w:cs="Times New Roman"/>
          <w:color w:val="000000"/>
          <w:kern w:val="0"/>
          <w:sz w:val="27"/>
          <w:szCs w:val="27"/>
          <w14:ligatures w14:val="none"/>
        </w:rPr>
      </w:pPr>
      <w:r w:rsidRPr="00317202">
        <w:rPr>
          <w:rFonts w:ascii="Segoe UI Symbol" w:eastAsia="Times New Roman" w:hAnsi="Segoe UI Symbol" w:cs="Segoe UI Symbol"/>
          <w:color w:val="000000"/>
          <w:kern w:val="0"/>
          <w:sz w:val="27"/>
          <w:szCs w:val="27"/>
          <w14:ligatures w14:val="none"/>
        </w:rPr>
        <w:t>➢</w:t>
      </w:r>
      <w:r w:rsidRPr="00317202">
        <w:rPr>
          <w:rFonts w:ascii="Wingdings" w:eastAsia="Times New Roman" w:hAnsi="Wingdings" w:cs="Times New Roman"/>
          <w:color w:val="000000"/>
          <w:kern w:val="0"/>
          <w:sz w:val="27"/>
          <w:szCs w:val="27"/>
          <w14:ligatures w14:val="none"/>
        </w:rPr>
        <w:t> </w:t>
      </w:r>
      <w:r w:rsidRPr="00317202">
        <w:rPr>
          <w:rFonts w:ascii="-webkit-standard" w:eastAsia="Times New Roman" w:hAnsi="-webkit-standard" w:cs="Times New Roman"/>
          <w:color w:val="000000"/>
          <w:kern w:val="0"/>
          <w:sz w:val="27"/>
          <w:szCs w:val="27"/>
          <w14:ligatures w14:val="none"/>
        </w:rPr>
        <w:t>Optimised Market Presence: ‘Hybrid strategy’ ensures that TechSprint Solutions maintains the current market share while diversifying the service portfolio to adapt to changing requirements</w:t>
      </w:r>
    </w:p>
    <w:p w14:paraId="36FFFBEB" w14:textId="77777777" w:rsidR="00317202" w:rsidRPr="00317202" w:rsidRDefault="00317202" w:rsidP="00317202">
      <w:pPr>
        <w:spacing w:after="0" w:line="240" w:lineRule="auto"/>
        <w:ind w:hanging="270"/>
        <w:divId w:val="360936041"/>
        <w:rPr>
          <w:rFonts w:ascii="-webkit-standard" w:eastAsia="Times New Roman" w:hAnsi="-webkit-standard" w:cs="Times New Roman"/>
          <w:color w:val="000000"/>
          <w:kern w:val="0"/>
          <w:sz w:val="27"/>
          <w:szCs w:val="27"/>
          <w14:ligatures w14:val="none"/>
        </w:rPr>
      </w:pPr>
      <w:r w:rsidRPr="00317202">
        <w:rPr>
          <w:rFonts w:ascii="Segoe UI Symbol" w:eastAsia="Times New Roman" w:hAnsi="Segoe UI Symbol" w:cs="Segoe UI Symbol"/>
          <w:color w:val="000000"/>
          <w:kern w:val="0"/>
          <w:sz w:val="27"/>
          <w:szCs w:val="27"/>
          <w14:ligatures w14:val="none"/>
        </w:rPr>
        <w:t>➢</w:t>
      </w:r>
      <w:r w:rsidRPr="00317202">
        <w:rPr>
          <w:rFonts w:ascii="Wingdings" w:eastAsia="Times New Roman" w:hAnsi="Wingdings" w:cs="Times New Roman"/>
          <w:color w:val="000000"/>
          <w:kern w:val="0"/>
          <w:sz w:val="27"/>
          <w:szCs w:val="27"/>
          <w14:ligatures w14:val="none"/>
        </w:rPr>
        <w:t> </w:t>
      </w:r>
      <w:r w:rsidRPr="00317202">
        <w:rPr>
          <w:rFonts w:ascii="-webkit-standard" w:eastAsia="Times New Roman" w:hAnsi="-webkit-standard" w:cs="Times New Roman"/>
          <w:color w:val="000000"/>
          <w:kern w:val="0"/>
          <w:sz w:val="27"/>
          <w:szCs w:val="27"/>
          <w14:ligatures w14:val="none"/>
        </w:rPr>
        <w:t>Innovation Leadership: Through investing in product development, TechSprint Solutions positions itself as an innovative leader thus attracting clients looking for the latest and greatest solutions in the market (Lumpkin &amp; Dess, 2001).</w:t>
      </w:r>
    </w:p>
    <w:p w14:paraId="157033A0" w14:textId="77777777" w:rsidR="00317202" w:rsidRPr="00317202" w:rsidRDefault="00317202" w:rsidP="00317202">
      <w:pPr>
        <w:spacing w:after="0" w:line="240" w:lineRule="auto"/>
        <w:ind w:hanging="270"/>
        <w:divId w:val="1219897136"/>
        <w:rPr>
          <w:rFonts w:ascii="-webkit-standard" w:eastAsia="Times New Roman" w:hAnsi="-webkit-standard" w:cs="Times New Roman"/>
          <w:color w:val="000000"/>
          <w:kern w:val="0"/>
          <w:sz w:val="27"/>
          <w:szCs w:val="27"/>
          <w14:ligatures w14:val="none"/>
        </w:rPr>
      </w:pPr>
      <w:r w:rsidRPr="00317202">
        <w:rPr>
          <w:rFonts w:ascii="Segoe UI Symbol" w:eastAsia="Times New Roman" w:hAnsi="Segoe UI Symbol" w:cs="Segoe UI Symbol"/>
          <w:color w:val="000000"/>
          <w:kern w:val="0"/>
          <w:sz w:val="27"/>
          <w:szCs w:val="27"/>
          <w14:ligatures w14:val="none"/>
        </w:rPr>
        <w:t>➢</w:t>
      </w:r>
      <w:r w:rsidRPr="00317202">
        <w:rPr>
          <w:rFonts w:ascii="Wingdings" w:eastAsia="Times New Roman" w:hAnsi="Wingdings" w:cs="Times New Roman"/>
          <w:color w:val="000000"/>
          <w:kern w:val="0"/>
          <w:sz w:val="27"/>
          <w:szCs w:val="27"/>
          <w14:ligatures w14:val="none"/>
        </w:rPr>
        <w:t> </w:t>
      </w:r>
      <w:r w:rsidRPr="00317202">
        <w:rPr>
          <w:rFonts w:ascii="-webkit-standard" w:eastAsia="Times New Roman" w:hAnsi="-webkit-standard" w:cs="Times New Roman"/>
          <w:color w:val="000000"/>
          <w:kern w:val="0"/>
          <w:sz w:val="27"/>
          <w:szCs w:val="27"/>
          <w14:ligatures w14:val="none"/>
        </w:rPr>
        <w:t>Enhanced Stakeholder Satisfaction: Engaging stakeholders throughout the process facilitates satisfaction and bolsters the sense of collaboration.</w:t>
      </w:r>
    </w:p>
    <w:p w14:paraId="0C793F0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b/>
          <w:bCs/>
          <w:color w:val="000000"/>
          <w:kern w:val="0"/>
          <w:sz w:val="27"/>
          <w:szCs w:val="27"/>
          <w14:ligatures w14:val="none"/>
        </w:rPr>
        <w:t>Potential Consequences of Non-Adherence:</w:t>
      </w:r>
    </w:p>
    <w:p w14:paraId="227357A5" w14:textId="77777777" w:rsidR="00317202" w:rsidRPr="00317202" w:rsidRDefault="00317202" w:rsidP="00317202">
      <w:pPr>
        <w:spacing w:after="0" w:line="240" w:lineRule="auto"/>
        <w:ind w:hanging="270"/>
        <w:divId w:val="2131776444"/>
        <w:rPr>
          <w:rFonts w:ascii="-webkit-standard" w:eastAsia="Times New Roman" w:hAnsi="-webkit-standard" w:cs="Times New Roman"/>
          <w:color w:val="000000"/>
          <w:kern w:val="0"/>
          <w:sz w:val="27"/>
          <w:szCs w:val="27"/>
          <w14:ligatures w14:val="none"/>
        </w:rPr>
      </w:pPr>
      <w:r w:rsidRPr="00317202">
        <w:rPr>
          <w:rFonts w:ascii="Segoe UI Symbol" w:eastAsia="Times New Roman" w:hAnsi="Segoe UI Symbol" w:cs="Segoe UI Symbol"/>
          <w:color w:val="000000"/>
          <w:kern w:val="0"/>
          <w:sz w:val="27"/>
          <w:szCs w:val="27"/>
          <w14:ligatures w14:val="none"/>
        </w:rPr>
        <w:t>➢</w:t>
      </w:r>
      <w:r w:rsidRPr="00317202">
        <w:rPr>
          <w:rFonts w:ascii="Wingdings" w:eastAsia="Times New Roman" w:hAnsi="Wingdings" w:cs="Times New Roman"/>
          <w:color w:val="000000"/>
          <w:kern w:val="0"/>
          <w:sz w:val="27"/>
          <w:szCs w:val="27"/>
          <w14:ligatures w14:val="none"/>
        </w:rPr>
        <w:t> </w:t>
      </w:r>
      <w:r w:rsidRPr="00317202">
        <w:rPr>
          <w:rFonts w:ascii="-webkit-standard" w:eastAsia="Times New Roman" w:hAnsi="-webkit-standard" w:cs="Times New Roman"/>
          <w:color w:val="000000"/>
          <w:kern w:val="0"/>
          <w:sz w:val="27"/>
          <w:szCs w:val="27"/>
          <w14:ligatures w14:val="none"/>
        </w:rPr>
        <w:t>Stagnation: Failure of implementing the proposed strategy can lead to market stagnation, thereby limiting the growth potential of TechSprint Solutions.</w:t>
      </w:r>
    </w:p>
    <w:p w14:paraId="3DF60A97" w14:textId="77777777" w:rsidR="00317202" w:rsidRPr="00317202" w:rsidRDefault="00317202" w:rsidP="00317202">
      <w:pPr>
        <w:spacing w:after="0" w:line="240" w:lineRule="auto"/>
        <w:ind w:hanging="270"/>
        <w:divId w:val="108742958"/>
        <w:rPr>
          <w:rFonts w:ascii="-webkit-standard" w:eastAsia="Times New Roman" w:hAnsi="-webkit-standard" w:cs="Times New Roman"/>
          <w:color w:val="000000"/>
          <w:kern w:val="0"/>
          <w:sz w:val="27"/>
          <w:szCs w:val="27"/>
          <w14:ligatures w14:val="none"/>
        </w:rPr>
      </w:pPr>
      <w:r w:rsidRPr="00317202">
        <w:rPr>
          <w:rFonts w:ascii="Segoe UI Symbol" w:eastAsia="Times New Roman" w:hAnsi="Segoe UI Symbol" w:cs="Segoe UI Symbol"/>
          <w:color w:val="000000"/>
          <w:kern w:val="0"/>
          <w:sz w:val="27"/>
          <w:szCs w:val="27"/>
          <w14:ligatures w14:val="none"/>
        </w:rPr>
        <w:lastRenderedPageBreak/>
        <w:t>➢</w:t>
      </w:r>
      <w:r w:rsidRPr="00317202">
        <w:rPr>
          <w:rFonts w:ascii="Wingdings" w:eastAsia="Times New Roman" w:hAnsi="Wingdings" w:cs="Times New Roman"/>
          <w:color w:val="000000"/>
          <w:kern w:val="0"/>
          <w:sz w:val="27"/>
          <w:szCs w:val="27"/>
          <w14:ligatures w14:val="none"/>
        </w:rPr>
        <w:t> </w:t>
      </w:r>
      <w:r w:rsidRPr="00317202">
        <w:rPr>
          <w:rFonts w:ascii="-webkit-standard" w:eastAsia="Times New Roman" w:hAnsi="-webkit-standard" w:cs="Times New Roman"/>
          <w:color w:val="000000"/>
          <w:kern w:val="0"/>
          <w:sz w:val="27"/>
          <w:szCs w:val="27"/>
          <w14:ligatures w14:val="none"/>
        </w:rPr>
        <w:t>Competitive Disadvantage: Innovation becomes critical as the company might not be able to maintain its competitive edge when competing in a market in which clients look for steady developments.</w:t>
      </w:r>
    </w:p>
    <w:p w14:paraId="23011ECB" w14:textId="77777777" w:rsidR="00317202" w:rsidRPr="00317202" w:rsidRDefault="00317202" w:rsidP="00317202">
      <w:pPr>
        <w:spacing w:after="0" w:line="240" w:lineRule="auto"/>
        <w:ind w:hanging="270"/>
        <w:divId w:val="162859074"/>
        <w:rPr>
          <w:rFonts w:ascii="-webkit-standard" w:eastAsia="Times New Roman" w:hAnsi="-webkit-standard" w:cs="Times New Roman"/>
          <w:color w:val="000000"/>
          <w:kern w:val="0"/>
          <w:sz w:val="27"/>
          <w:szCs w:val="27"/>
          <w14:ligatures w14:val="none"/>
        </w:rPr>
      </w:pPr>
      <w:r w:rsidRPr="00317202">
        <w:rPr>
          <w:rFonts w:ascii="Segoe UI Symbol" w:eastAsia="Times New Roman" w:hAnsi="Segoe UI Symbol" w:cs="Segoe UI Symbol"/>
          <w:color w:val="000000"/>
          <w:kern w:val="0"/>
          <w:sz w:val="27"/>
          <w:szCs w:val="27"/>
          <w14:ligatures w14:val="none"/>
        </w:rPr>
        <w:t>➢</w:t>
      </w:r>
      <w:r w:rsidRPr="00317202">
        <w:rPr>
          <w:rFonts w:ascii="Wingdings" w:eastAsia="Times New Roman" w:hAnsi="Wingdings" w:cs="Times New Roman"/>
          <w:color w:val="000000"/>
          <w:kern w:val="0"/>
          <w:sz w:val="27"/>
          <w:szCs w:val="27"/>
          <w14:ligatures w14:val="none"/>
        </w:rPr>
        <w:t> </w:t>
      </w:r>
      <w:r w:rsidRPr="00317202">
        <w:rPr>
          <w:rFonts w:ascii="-webkit-standard" w:eastAsia="Times New Roman" w:hAnsi="-webkit-standard" w:cs="Times New Roman"/>
          <w:color w:val="000000"/>
          <w:kern w:val="0"/>
          <w:sz w:val="27"/>
          <w:szCs w:val="27"/>
          <w14:ligatures w14:val="none"/>
        </w:rPr>
        <w:t>Stakeholder Disengagement: When stakeholders’ interests are neglected, disengagement can set in, impacting relationships that are fundamental for long-term success (Grant, 2012).</w:t>
      </w:r>
    </w:p>
    <w:p w14:paraId="7D0726B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In conclusion, the suggested strategy represents a dynamic map that TechSprint Solutions can rely on in order to overcome the challenges of the industry, take advantage of opportunities, and ensure successful development over the long-term. Here, careful planning, strategic implementation, monitoring, and changes to align the company’s development of its strategic evolution with its vision and to secure a leading role in the continuously changing technology environment.</w:t>
      </w:r>
    </w:p>
    <w:p w14:paraId="16651393" w14:textId="77777777" w:rsidR="00317202" w:rsidRPr="00317202" w:rsidRDefault="00317202" w:rsidP="00317202">
      <w:pPr>
        <w:spacing w:before="360" w:after="0" w:line="324" w:lineRule="atLeast"/>
        <w:jc w:val="both"/>
        <w:rPr>
          <w:rFonts w:ascii="-webkit-standard" w:hAnsi="-webkit-standard" w:cs="Times New Roman"/>
          <w:color w:val="000000"/>
          <w:kern w:val="0"/>
          <w:sz w:val="27"/>
          <w:szCs w:val="27"/>
          <w14:ligatures w14:val="none"/>
        </w:rPr>
      </w:pPr>
      <w:bookmarkStart w:id="26" w:name="_Toc156092588"/>
      <w:bookmarkEnd w:id="26"/>
      <w:r w:rsidRPr="00317202">
        <w:rPr>
          <w:rFonts w:ascii="-webkit-standard" w:hAnsi="-webkit-standard" w:cs="Times New Roman"/>
          <w:b/>
          <w:bCs/>
          <w:color w:val="000000"/>
          <w:kern w:val="0"/>
          <w:sz w:val="32"/>
          <w:szCs w:val="32"/>
          <w14:ligatures w14:val="none"/>
        </w:rPr>
        <w:t>References</w:t>
      </w:r>
    </w:p>
    <w:p w14:paraId="3EACA0D4"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Chittithaworn, C., Islam, Z., Keawchana, T., &amp; Yusuf, D. H. M. (2011). Factors affecting business success of small &amp; medium enterprises (SMEs) in Thailand. Asian Social Science, 7(5), 180.</w:t>
      </w:r>
    </w:p>
    <w:p w14:paraId="7FA2C838"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Christensen, C. M. (1997). The Innovator's Dilemma: When New Technologies Cause Great Firms to Fail. Harvard Business Review Press.</w:t>
      </w:r>
    </w:p>
    <w:p w14:paraId="22E7F911"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Covin, J. G., &amp; Slevin, D. P. (1989). Strategic management of small firms in hostile and benign environments. Strategic Management Journal, 10(1), 75-87.</w:t>
      </w:r>
    </w:p>
    <w:p w14:paraId="384ACA3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Cusumano, M. A. (1998). Thinking Beyond Lean: How Multi-Project Management is Transforming Product Development at Toyota and Other Companies. Free Press.</w:t>
      </w:r>
    </w:p>
    <w:p w14:paraId="283D171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Davenport, T. H., Harris, J., &amp; Shapiro, J. (2010). Competing on Analytics: The New Science of Winning. Harvard Business Review Press.</w:t>
      </w:r>
    </w:p>
    <w:p w14:paraId="4AABCF81"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Davidsson, P., &amp; Wiklund, J. (1997). Values, beliefs and regional variations in new firm formation rates. Journal of Economic Psychology, 18(2-3), 179-199.</w:t>
      </w:r>
    </w:p>
    <w:p w14:paraId="3C44754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Duhigg, C. (2012). The Power of Habit: Why We Do What We Do in Life and Business. Random House.</w:t>
      </w:r>
    </w:p>
    <w:p w14:paraId="2953464F"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Dweck, C. S. (2006). Mindset: The New Psychology of Success. Random House.</w:t>
      </w:r>
    </w:p>
    <w:p w14:paraId="7ABD1CA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Eisenhardt, K. M. (1989). Building Theories from Case Study Research. Academy of Management Review, 14(4), 532-550.</w:t>
      </w:r>
    </w:p>
    <w:p w14:paraId="4401890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Eisenhardt, K. M., &amp; Martin, J. A. (2000). Dynamic capabilities: What are they? Strategic Management Journal, 21(10-11), 1105-1121.</w:t>
      </w:r>
    </w:p>
    <w:p w14:paraId="09F3120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Eisenhardt, K. M., &amp; Schoonhoven, C. B. (1990). Organisational growth: Linking founding team, strategy, environment, and growth among US semiconductor ventures, 1978–1988. Administrative Science Quarterly, 35(3), 504-529.</w:t>
      </w:r>
    </w:p>
    <w:p w14:paraId="4D07AF1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Eisenhardt, K. M., &amp; Tabrizi, B. N. (1995). Accelerating adaptive processes: Product innovation in the global computer industry. Administrative Science Quarterly, 40(1), 84-110.</w:t>
      </w:r>
    </w:p>
    <w:p w14:paraId="3AD52507"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lastRenderedPageBreak/>
        <w:t>Gibson, C., &amp; Birkinshaw, J. (2004). The antecedents, consequences, and mediating role of organisational ambidexterity. Academy of Management Journal, 47(2), 209-226.</w:t>
      </w:r>
    </w:p>
    <w:p w14:paraId="1DFA5A4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Grant, A. M. (2012). Leading with meaning: Beneficiary contact, prosocial impact, and the performance effects of transformational leadership. Academy of Management Journal, 55(2), 458-476.</w:t>
      </w:r>
    </w:p>
    <w:p w14:paraId="2867373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Grant, R. M. (2016). Contemporary strategy analysis: Text and cases edition. John Wiley &amp; Sons.</w:t>
      </w:r>
    </w:p>
    <w:p w14:paraId="1ABEA48F"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Hambrick, D. C., &amp; Fredrickson, J. W. (2005). Are you sure you have a strategy? Academy of Management Executive, 19(4), 51-62.</w:t>
      </w:r>
    </w:p>
    <w:p w14:paraId="1EBBB86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Hammer, M., &amp; Champy, J. (1993). Reengineering the Corporation: A Manifesto for Business Revolution. HarperCollins.</w:t>
      </w:r>
    </w:p>
    <w:p w14:paraId="229EE31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Iansiti, M., &amp; Levien, R. (2004). The Keystone Advantage: What the New Dynamics of Business Ecosystems Mean for Strategy, Innovation, and Sustainability. Harvard Business Review Press.</w:t>
      </w:r>
    </w:p>
    <w:p w14:paraId="447B0415"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Ireland, R. D., &amp; Hitt, M. A. (2005). Achieving and maintaining strategic competitiveness in the 21st century: The role of strategic leadership. Academy of Management Executive, 19(4), 63-77.</w:t>
      </w:r>
    </w:p>
    <w:p w14:paraId="3E5876D7"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Jansen, J. J., Van Den Bosch, F. A., &amp; Volberda, H. W. (2006). Exploratory innovation, exploitative innovation, and performance: Effects of organisational antecedents and environmental moderators. Management Science, 52(11), 1661-1674.</w:t>
      </w:r>
    </w:p>
    <w:p w14:paraId="62D3EE7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Kim, W. C., &amp; Mauborgne, R. (2005). Blue Ocean Strategy: How to Create Uncontested Market Space and Make the Competition Irrelevant. Harvard Business Review Press.</w:t>
      </w:r>
    </w:p>
    <w:p w14:paraId="776F6B2B"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Kotter, J. P. (1995). Leading change: Why transformation efforts fail. Harvard Business Review, 73(2), 59-67.</w:t>
      </w:r>
    </w:p>
    <w:p w14:paraId="086F561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Lumpkin, G. T., &amp; Dess, G. G. (2001). Linking two dimensions of entrepreneurial orientation to firm performance: The moderating role of environment and industry life cycle. Journal of Business Venturing, 16(5), 429-451.</w:t>
      </w:r>
    </w:p>
    <w:p w14:paraId="3245B759"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Martin, R. (2009). The Design of Business: Why Design Thinking is the Next Competitive Advantage. Harvard Business Review Press.</w:t>
      </w:r>
    </w:p>
    <w:p w14:paraId="37979DC2"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Mintzberg, H., &amp; Waters, J. A. (1985). Of strategies, deliberate and emergent. Strategic Management Journal, 6(3), 257-272.</w:t>
      </w:r>
    </w:p>
    <w:p w14:paraId="4E8BFFC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Nambisan, S., &amp; Baron, R. A. (2007). Interactions, network position, and organisational learning: An empirical investigation. Academy of Management Journal, 50(2), 420-438.</w:t>
      </w:r>
    </w:p>
    <w:p w14:paraId="6BE163FD"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Osterwalder, A., &amp; Pigneur, Y. (2010). Business Model Generation: A Handbook for Visionaries, Game Changers, and Challengers. John Wiley &amp; Sons.</w:t>
      </w:r>
    </w:p>
    <w:p w14:paraId="40C5DF2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Pink, D. H. (2009). Drive: The Surprising Truth About What Motivates Us. Riverhead Books.</w:t>
      </w:r>
    </w:p>
    <w:p w14:paraId="020F2AA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lastRenderedPageBreak/>
        <w:t>Porter, M. E. (1996). What is strategy? Harvard Business Review, 74(6), 61-78.</w:t>
      </w:r>
    </w:p>
    <w:p w14:paraId="1AE3D45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Powell, T. C. (1992). Organisational alignment as competitive advantage. Strategic Management Journal, 13(S1), 119-134.</w:t>
      </w:r>
    </w:p>
    <w:p w14:paraId="31568DCA"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Prahalad, C. K., &amp; Hamel, G. (1990). The core competence of the corporation. Harvard Business Review, 68(3), 79-91.</w:t>
      </w:r>
    </w:p>
    <w:p w14:paraId="608A49FC"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Ries, E. (2011). The Lean Startup: How Today's Entrepreneurs Use Continuous Innovation to Create Radically Successful Businesses. Crown Business.</w:t>
      </w:r>
    </w:p>
    <w:p w14:paraId="34452CF4"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Rumelt, R. P. (1991). How much does industry matter? Strategic Management Journal, 12(3), 167-185.</w:t>
      </w:r>
    </w:p>
    <w:p w14:paraId="5CDA4F66"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Rumelt, R. P. (2011). Good Strategy Bad Strategy: The Difference and Why It Matters. Crown Business.</w:t>
      </w:r>
    </w:p>
    <w:p w14:paraId="3E24F63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Sharma, P., &amp; Chrisman, J. J. (1999). Toward a reconciliation of the definitional issues in the field of corporate entrepreneurship. Entrepreneurship theory and practice, 23(3), 11-27.</w:t>
      </w:r>
    </w:p>
    <w:p w14:paraId="2B056C2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Teece, D. J. (2018). Dynamic capabilities and strategic management: Organising for innovation and growth. Oxford University Press.</w:t>
      </w:r>
    </w:p>
    <w:p w14:paraId="0A11D58E"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Teece, D. J., Pisano, G., &amp; Shuen, A. (1997). Dynamic capabilities and strategic management. Strategic Management Journal, 18(7), 509-533.</w:t>
      </w:r>
    </w:p>
    <w:p w14:paraId="693A5877"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Tushman, M. L., &amp; O'Reilly III, C. A. (1996). Ambidextrous organisations: Managing evolutionary and revolutionary change. California Management Review, 38(4), 8-30.</w:t>
      </w:r>
    </w:p>
    <w:p w14:paraId="7E60A9B0"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Wernerfelt, B. (1984). A resource‐based view of the firm. Strategic Management Journal, 5(2), 171-180.</w:t>
      </w:r>
    </w:p>
    <w:p w14:paraId="5D5ACAAF" w14:textId="77777777" w:rsidR="00317202" w:rsidRPr="00317202" w:rsidRDefault="00317202" w:rsidP="00317202">
      <w:pPr>
        <w:spacing w:after="0" w:line="324" w:lineRule="atLeast"/>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Zahra, S. A., &amp; George, G. (2002). Absorptive capacity: A review, reconceptualization, and extension. Academy of Management Review, 27(2), 185-203.</w:t>
      </w:r>
    </w:p>
    <w:p w14:paraId="7F1E7E40" w14:textId="77777777" w:rsidR="00317202" w:rsidRPr="00317202" w:rsidRDefault="00317202" w:rsidP="00317202">
      <w:pPr>
        <w:spacing w:after="0" w:line="240" w:lineRule="auto"/>
        <w:rPr>
          <w:rFonts w:ascii="-webkit-standard" w:hAnsi="-webkit-standard" w:cs="Times New Roman"/>
          <w:color w:val="000000"/>
          <w:kern w:val="0"/>
          <w:sz w:val="27"/>
          <w:szCs w:val="27"/>
          <w14:ligatures w14:val="none"/>
        </w:rPr>
      </w:pPr>
      <w:r w:rsidRPr="00317202">
        <w:rPr>
          <w:rFonts w:ascii="-webkit-standard" w:hAnsi="-webkit-standard" w:cs="Times New Roman"/>
          <w:color w:val="000000"/>
          <w:kern w:val="0"/>
          <w:sz w:val="27"/>
          <w:szCs w:val="27"/>
          <w14:ligatures w14:val="none"/>
        </w:rPr>
        <w:t> </w:t>
      </w:r>
    </w:p>
    <w:p w14:paraId="20D59FAC" w14:textId="77777777" w:rsidR="00875E87" w:rsidRDefault="00875E87"/>
    <w:sectPr w:rsidR="00875E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00A86" w14:textId="77777777" w:rsidR="00875E87" w:rsidRDefault="00875E87" w:rsidP="00875E87">
      <w:pPr>
        <w:spacing w:after="0" w:line="240" w:lineRule="auto"/>
      </w:pPr>
      <w:r>
        <w:separator/>
      </w:r>
    </w:p>
  </w:endnote>
  <w:endnote w:type="continuationSeparator" w:id="0">
    <w:p w14:paraId="3D7EE43E" w14:textId="77777777" w:rsidR="00875E87" w:rsidRDefault="00875E87" w:rsidP="00875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decorative"/>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C17AA" w14:textId="77777777" w:rsidR="00875E87" w:rsidRDefault="00875E87" w:rsidP="00875E87">
      <w:pPr>
        <w:spacing w:after="0" w:line="240" w:lineRule="auto"/>
      </w:pPr>
      <w:r>
        <w:separator/>
      </w:r>
    </w:p>
  </w:footnote>
  <w:footnote w:type="continuationSeparator" w:id="0">
    <w:p w14:paraId="04364373" w14:textId="77777777" w:rsidR="00875E87" w:rsidRDefault="00875E87" w:rsidP="00875E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E87"/>
    <w:rsid w:val="00105BF0"/>
    <w:rsid w:val="00317202"/>
    <w:rsid w:val="00875E87"/>
    <w:rsid w:val="00A75257"/>
    <w:rsid w:val="00B14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030805"/>
  <w15:chartTrackingRefBased/>
  <w15:docId w15:val="{06A63B71-F291-A74C-A2E7-CF785CD6B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5E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5E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5E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5E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5E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5E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5E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5E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5E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E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5E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5E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5E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5E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5E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5E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5E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5E87"/>
    <w:rPr>
      <w:rFonts w:eastAsiaTheme="majorEastAsia" w:cstheme="majorBidi"/>
      <w:color w:val="272727" w:themeColor="text1" w:themeTint="D8"/>
    </w:rPr>
  </w:style>
  <w:style w:type="paragraph" w:styleId="Title">
    <w:name w:val="Title"/>
    <w:basedOn w:val="Normal"/>
    <w:next w:val="Normal"/>
    <w:link w:val="TitleChar"/>
    <w:uiPriority w:val="10"/>
    <w:qFormat/>
    <w:rsid w:val="00875E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E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E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5E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5E87"/>
    <w:pPr>
      <w:spacing w:before="160"/>
      <w:jc w:val="center"/>
    </w:pPr>
    <w:rPr>
      <w:i/>
      <w:iCs/>
      <w:color w:val="404040" w:themeColor="text1" w:themeTint="BF"/>
    </w:rPr>
  </w:style>
  <w:style w:type="character" w:customStyle="1" w:styleId="QuoteChar">
    <w:name w:val="Quote Char"/>
    <w:basedOn w:val="DefaultParagraphFont"/>
    <w:link w:val="Quote"/>
    <w:uiPriority w:val="29"/>
    <w:rsid w:val="00875E87"/>
    <w:rPr>
      <w:i/>
      <w:iCs/>
      <w:color w:val="404040" w:themeColor="text1" w:themeTint="BF"/>
    </w:rPr>
  </w:style>
  <w:style w:type="paragraph" w:styleId="ListParagraph">
    <w:name w:val="List Paragraph"/>
    <w:basedOn w:val="Normal"/>
    <w:uiPriority w:val="34"/>
    <w:qFormat/>
    <w:rsid w:val="00875E87"/>
    <w:pPr>
      <w:ind w:left="720"/>
      <w:contextualSpacing/>
    </w:pPr>
  </w:style>
  <w:style w:type="character" w:styleId="IntenseEmphasis">
    <w:name w:val="Intense Emphasis"/>
    <w:basedOn w:val="DefaultParagraphFont"/>
    <w:uiPriority w:val="21"/>
    <w:qFormat/>
    <w:rsid w:val="00875E87"/>
    <w:rPr>
      <w:i/>
      <w:iCs/>
      <w:color w:val="0F4761" w:themeColor="accent1" w:themeShade="BF"/>
    </w:rPr>
  </w:style>
  <w:style w:type="paragraph" w:styleId="IntenseQuote">
    <w:name w:val="Intense Quote"/>
    <w:basedOn w:val="Normal"/>
    <w:next w:val="Normal"/>
    <w:link w:val="IntenseQuoteChar"/>
    <w:uiPriority w:val="30"/>
    <w:qFormat/>
    <w:rsid w:val="00875E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5E87"/>
    <w:rPr>
      <w:i/>
      <w:iCs/>
      <w:color w:val="0F4761" w:themeColor="accent1" w:themeShade="BF"/>
    </w:rPr>
  </w:style>
  <w:style w:type="character" w:styleId="IntenseReference">
    <w:name w:val="Intense Reference"/>
    <w:basedOn w:val="DefaultParagraphFont"/>
    <w:uiPriority w:val="32"/>
    <w:qFormat/>
    <w:rsid w:val="00875E87"/>
    <w:rPr>
      <w:b/>
      <w:bCs/>
      <w:smallCaps/>
      <w:color w:val="0F4761" w:themeColor="accent1" w:themeShade="BF"/>
      <w:spacing w:val="5"/>
    </w:rPr>
  </w:style>
  <w:style w:type="paragraph" w:styleId="Header">
    <w:name w:val="header"/>
    <w:basedOn w:val="Normal"/>
    <w:link w:val="HeaderChar"/>
    <w:uiPriority w:val="99"/>
    <w:unhideWhenUsed/>
    <w:rsid w:val="00875E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E87"/>
  </w:style>
  <w:style w:type="paragraph" w:styleId="Footer">
    <w:name w:val="footer"/>
    <w:basedOn w:val="Normal"/>
    <w:link w:val="FooterChar"/>
    <w:uiPriority w:val="99"/>
    <w:unhideWhenUsed/>
    <w:rsid w:val="00875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E87"/>
  </w:style>
  <w:style w:type="paragraph" w:customStyle="1" w:styleId="msonormal0">
    <w:name w:val="msonormal"/>
    <w:basedOn w:val="Normal"/>
    <w:rsid w:val="00317202"/>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317202"/>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17202"/>
  </w:style>
  <w:style w:type="character" w:customStyle="1" w:styleId="bumpedfont15">
    <w:name w:val="bumpedfont15"/>
    <w:basedOn w:val="DefaultParagraphFont"/>
    <w:rsid w:val="00317202"/>
  </w:style>
  <w:style w:type="character" w:customStyle="1" w:styleId="apple-converted-space">
    <w:name w:val="apple-converted-space"/>
    <w:basedOn w:val="DefaultParagraphFont"/>
    <w:rsid w:val="00317202"/>
  </w:style>
  <w:style w:type="paragraph" w:customStyle="1" w:styleId="s5">
    <w:name w:val="s5"/>
    <w:basedOn w:val="Normal"/>
    <w:rsid w:val="00317202"/>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317202"/>
    <w:pPr>
      <w:spacing w:before="100" w:beforeAutospacing="1" w:after="100" w:afterAutospacing="1" w:line="240" w:lineRule="auto"/>
    </w:pPr>
    <w:rPr>
      <w:rFonts w:ascii="Times New Roman" w:hAnsi="Times New Roman" w:cs="Times New Roman"/>
      <w:kern w:val="0"/>
      <w14:ligatures w14:val="none"/>
    </w:rPr>
  </w:style>
  <w:style w:type="paragraph" w:customStyle="1" w:styleId="s8">
    <w:name w:val="s8"/>
    <w:basedOn w:val="Normal"/>
    <w:rsid w:val="00317202"/>
    <w:pPr>
      <w:spacing w:before="100" w:beforeAutospacing="1" w:after="100" w:afterAutospacing="1" w:line="240" w:lineRule="auto"/>
    </w:pPr>
    <w:rPr>
      <w:rFonts w:ascii="Times New Roman" w:hAnsi="Times New Roman" w:cs="Times New Roman"/>
      <w:kern w:val="0"/>
      <w14:ligatures w14:val="none"/>
    </w:rPr>
  </w:style>
  <w:style w:type="character" w:customStyle="1" w:styleId="s7">
    <w:name w:val="s7"/>
    <w:basedOn w:val="DefaultParagraphFont"/>
    <w:rsid w:val="00317202"/>
  </w:style>
  <w:style w:type="paragraph" w:customStyle="1" w:styleId="s10">
    <w:name w:val="s10"/>
    <w:basedOn w:val="Normal"/>
    <w:rsid w:val="00317202"/>
    <w:pPr>
      <w:spacing w:before="100" w:beforeAutospacing="1" w:after="100" w:afterAutospacing="1" w:line="240" w:lineRule="auto"/>
    </w:pPr>
    <w:rPr>
      <w:rFonts w:ascii="Times New Roman" w:hAnsi="Times New Roman" w:cs="Times New Roman"/>
      <w:kern w:val="0"/>
      <w14:ligatures w14:val="none"/>
    </w:rPr>
  </w:style>
  <w:style w:type="character" w:customStyle="1" w:styleId="s9">
    <w:name w:val="s9"/>
    <w:basedOn w:val="DefaultParagraphFont"/>
    <w:rsid w:val="00317202"/>
  </w:style>
  <w:style w:type="character" w:customStyle="1" w:styleId="s11">
    <w:name w:val="s11"/>
    <w:basedOn w:val="DefaultParagraphFont"/>
    <w:rsid w:val="00317202"/>
  </w:style>
  <w:style w:type="paragraph" w:customStyle="1" w:styleId="s13">
    <w:name w:val="s13"/>
    <w:basedOn w:val="Normal"/>
    <w:rsid w:val="00317202"/>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317202"/>
    <w:pPr>
      <w:spacing w:before="100" w:beforeAutospacing="1" w:after="100" w:afterAutospacing="1" w:line="240" w:lineRule="auto"/>
    </w:pPr>
    <w:rPr>
      <w:rFonts w:ascii="Times New Roman" w:hAnsi="Times New Roman" w:cs="Times New Roman"/>
      <w:kern w:val="0"/>
      <w14:ligatures w14:val="none"/>
    </w:rPr>
  </w:style>
  <w:style w:type="character" w:customStyle="1" w:styleId="s15">
    <w:name w:val="s15"/>
    <w:basedOn w:val="DefaultParagraphFont"/>
    <w:rsid w:val="00317202"/>
  </w:style>
  <w:style w:type="paragraph" w:customStyle="1" w:styleId="s27">
    <w:name w:val="s27"/>
    <w:basedOn w:val="Normal"/>
    <w:rsid w:val="00317202"/>
    <w:pPr>
      <w:spacing w:before="100" w:beforeAutospacing="1" w:after="100" w:afterAutospacing="1" w:line="240" w:lineRule="auto"/>
    </w:pPr>
    <w:rPr>
      <w:rFonts w:ascii="Times New Roman" w:hAnsi="Times New Roman" w:cs="Times New Roman"/>
      <w:kern w:val="0"/>
      <w14:ligatures w14:val="none"/>
    </w:rPr>
  </w:style>
  <w:style w:type="character" w:customStyle="1" w:styleId="s29">
    <w:name w:val="s29"/>
    <w:basedOn w:val="DefaultParagraphFont"/>
    <w:rsid w:val="00317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2958">
      <w:marLeft w:val="540"/>
      <w:marRight w:val="0"/>
      <w:marTop w:val="0"/>
      <w:marBottom w:val="0"/>
      <w:divBdr>
        <w:top w:val="none" w:sz="0" w:space="0" w:color="auto"/>
        <w:left w:val="none" w:sz="0" w:space="0" w:color="auto"/>
        <w:bottom w:val="none" w:sz="0" w:space="0" w:color="auto"/>
        <w:right w:val="none" w:sz="0" w:space="0" w:color="auto"/>
      </w:divBdr>
    </w:div>
    <w:div w:id="123276429">
      <w:marLeft w:val="0"/>
      <w:marRight w:val="0"/>
      <w:marTop w:val="0"/>
      <w:marBottom w:val="0"/>
      <w:divBdr>
        <w:top w:val="none" w:sz="0" w:space="0" w:color="auto"/>
        <w:left w:val="none" w:sz="0" w:space="0" w:color="auto"/>
        <w:bottom w:val="none" w:sz="0" w:space="0" w:color="auto"/>
        <w:right w:val="none" w:sz="0" w:space="0" w:color="auto"/>
      </w:divBdr>
    </w:div>
    <w:div w:id="126432940">
      <w:marLeft w:val="0"/>
      <w:marRight w:val="0"/>
      <w:marTop w:val="0"/>
      <w:marBottom w:val="0"/>
      <w:divBdr>
        <w:top w:val="none" w:sz="0" w:space="0" w:color="auto"/>
        <w:left w:val="none" w:sz="0" w:space="0" w:color="auto"/>
        <w:bottom w:val="none" w:sz="0" w:space="0" w:color="auto"/>
        <w:right w:val="none" w:sz="0" w:space="0" w:color="auto"/>
      </w:divBdr>
    </w:div>
    <w:div w:id="162859074">
      <w:marLeft w:val="540"/>
      <w:marRight w:val="0"/>
      <w:marTop w:val="0"/>
      <w:marBottom w:val="0"/>
      <w:divBdr>
        <w:top w:val="none" w:sz="0" w:space="0" w:color="auto"/>
        <w:left w:val="none" w:sz="0" w:space="0" w:color="auto"/>
        <w:bottom w:val="none" w:sz="0" w:space="0" w:color="auto"/>
        <w:right w:val="none" w:sz="0" w:space="0" w:color="auto"/>
      </w:divBdr>
    </w:div>
    <w:div w:id="242565040">
      <w:marLeft w:val="0"/>
      <w:marRight w:val="0"/>
      <w:marTop w:val="0"/>
      <w:marBottom w:val="0"/>
      <w:divBdr>
        <w:top w:val="none" w:sz="0" w:space="0" w:color="auto"/>
        <w:left w:val="none" w:sz="0" w:space="0" w:color="auto"/>
        <w:bottom w:val="none" w:sz="0" w:space="0" w:color="auto"/>
        <w:right w:val="none" w:sz="0" w:space="0" w:color="auto"/>
      </w:divBdr>
    </w:div>
    <w:div w:id="246156710">
      <w:marLeft w:val="0"/>
      <w:marRight w:val="0"/>
      <w:marTop w:val="0"/>
      <w:marBottom w:val="0"/>
      <w:divBdr>
        <w:top w:val="none" w:sz="0" w:space="0" w:color="auto"/>
        <w:left w:val="none" w:sz="0" w:space="0" w:color="auto"/>
        <w:bottom w:val="none" w:sz="0" w:space="0" w:color="auto"/>
        <w:right w:val="none" w:sz="0" w:space="0" w:color="auto"/>
      </w:divBdr>
    </w:div>
    <w:div w:id="338124160">
      <w:marLeft w:val="0"/>
      <w:marRight w:val="0"/>
      <w:marTop w:val="0"/>
      <w:marBottom w:val="0"/>
      <w:divBdr>
        <w:top w:val="none" w:sz="0" w:space="0" w:color="auto"/>
        <w:left w:val="none" w:sz="0" w:space="0" w:color="auto"/>
        <w:bottom w:val="none" w:sz="0" w:space="0" w:color="auto"/>
        <w:right w:val="none" w:sz="0" w:space="0" w:color="auto"/>
      </w:divBdr>
    </w:div>
    <w:div w:id="360936041">
      <w:marLeft w:val="540"/>
      <w:marRight w:val="0"/>
      <w:marTop w:val="0"/>
      <w:marBottom w:val="0"/>
      <w:divBdr>
        <w:top w:val="none" w:sz="0" w:space="0" w:color="auto"/>
        <w:left w:val="none" w:sz="0" w:space="0" w:color="auto"/>
        <w:bottom w:val="none" w:sz="0" w:space="0" w:color="auto"/>
        <w:right w:val="none" w:sz="0" w:space="0" w:color="auto"/>
      </w:divBdr>
    </w:div>
    <w:div w:id="386925379">
      <w:marLeft w:val="0"/>
      <w:marRight w:val="0"/>
      <w:marTop w:val="0"/>
      <w:marBottom w:val="0"/>
      <w:divBdr>
        <w:top w:val="none" w:sz="0" w:space="0" w:color="auto"/>
        <w:left w:val="none" w:sz="0" w:space="0" w:color="auto"/>
        <w:bottom w:val="none" w:sz="0" w:space="0" w:color="auto"/>
        <w:right w:val="none" w:sz="0" w:space="0" w:color="auto"/>
      </w:divBdr>
    </w:div>
    <w:div w:id="458382067">
      <w:marLeft w:val="0"/>
      <w:marRight w:val="0"/>
      <w:marTop w:val="0"/>
      <w:marBottom w:val="0"/>
      <w:divBdr>
        <w:top w:val="none" w:sz="0" w:space="0" w:color="auto"/>
        <w:left w:val="none" w:sz="0" w:space="0" w:color="auto"/>
        <w:bottom w:val="none" w:sz="0" w:space="0" w:color="auto"/>
        <w:right w:val="none" w:sz="0" w:space="0" w:color="auto"/>
      </w:divBdr>
    </w:div>
    <w:div w:id="511142976">
      <w:marLeft w:val="0"/>
      <w:marRight w:val="0"/>
      <w:marTop w:val="0"/>
      <w:marBottom w:val="0"/>
      <w:divBdr>
        <w:top w:val="none" w:sz="0" w:space="0" w:color="auto"/>
        <w:left w:val="none" w:sz="0" w:space="0" w:color="auto"/>
        <w:bottom w:val="none" w:sz="0" w:space="0" w:color="auto"/>
        <w:right w:val="none" w:sz="0" w:space="0" w:color="auto"/>
      </w:divBdr>
    </w:div>
    <w:div w:id="682559533">
      <w:marLeft w:val="0"/>
      <w:marRight w:val="0"/>
      <w:marTop w:val="0"/>
      <w:marBottom w:val="0"/>
      <w:divBdr>
        <w:top w:val="none" w:sz="0" w:space="0" w:color="auto"/>
        <w:left w:val="none" w:sz="0" w:space="0" w:color="auto"/>
        <w:bottom w:val="none" w:sz="0" w:space="0" w:color="auto"/>
        <w:right w:val="none" w:sz="0" w:space="0" w:color="auto"/>
      </w:divBdr>
    </w:div>
    <w:div w:id="724642659">
      <w:marLeft w:val="0"/>
      <w:marRight w:val="0"/>
      <w:marTop w:val="0"/>
      <w:marBottom w:val="0"/>
      <w:divBdr>
        <w:top w:val="none" w:sz="0" w:space="0" w:color="auto"/>
        <w:left w:val="none" w:sz="0" w:space="0" w:color="auto"/>
        <w:bottom w:val="none" w:sz="0" w:space="0" w:color="auto"/>
        <w:right w:val="none" w:sz="0" w:space="0" w:color="auto"/>
      </w:divBdr>
    </w:div>
    <w:div w:id="884296826">
      <w:marLeft w:val="0"/>
      <w:marRight w:val="0"/>
      <w:marTop w:val="0"/>
      <w:marBottom w:val="0"/>
      <w:divBdr>
        <w:top w:val="none" w:sz="0" w:space="0" w:color="auto"/>
        <w:left w:val="none" w:sz="0" w:space="0" w:color="auto"/>
        <w:bottom w:val="none" w:sz="0" w:space="0" w:color="auto"/>
        <w:right w:val="none" w:sz="0" w:space="0" w:color="auto"/>
      </w:divBdr>
    </w:div>
    <w:div w:id="913204393">
      <w:marLeft w:val="0"/>
      <w:marRight w:val="0"/>
      <w:marTop w:val="0"/>
      <w:marBottom w:val="0"/>
      <w:divBdr>
        <w:top w:val="none" w:sz="0" w:space="0" w:color="auto"/>
        <w:left w:val="none" w:sz="0" w:space="0" w:color="auto"/>
        <w:bottom w:val="none" w:sz="0" w:space="0" w:color="auto"/>
        <w:right w:val="none" w:sz="0" w:space="0" w:color="auto"/>
      </w:divBdr>
    </w:div>
    <w:div w:id="916942512">
      <w:marLeft w:val="0"/>
      <w:marRight w:val="0"/>
      <w:marTop w:val="0"/>
      <w:marBottom w:val="0"/>
      <w:divBdr>
        <w:top w:val="none" w:sz="0" w:space="0" w:color="auto"/>
        <w:left w:val="none" w:sz="0" w:space="0" w:color="auto"/>
        <w:bottom w:val="none" w:sz="0" w:space="0" w:color="auto"/>
        <w:right w:val="none" w:sz="0" w:space="0" w:color="auto"/>
      </w:divBdr>
    </w:div>
    <w:div w:id="1058240615">
      <w:marLeft w:val="0"/>
      <w:marRight w:val="0"/>
      <w:marTop w:val="0"/>
      <w:marBottom w:val="0"/>
      <w:divBdr>
        <w:top w:val="none" w:sz="0" w:space="0" w:color="auto"/>
        <w:left w:val="none" w:sz="0" w:space="0" w:color="auto"/>
        <w:bottom w:val="none" w:sz="0" w:space="0" w:color="auto"/>
        <w:right w:val="none" w:sz="0" w:space="0" w:color="auto"/>
      </w:divBdr>
    </w:div>
    <w:div w:id="1162232737">
      <w:marLeft w:val="540"/>
      <w:marRight w:val="0"/>
      <w:marTop w:val="0"/>
      <w:marBottom w:val="0"/>
      <w:divBdr>
        <w:top w:val="none" w:sz="0" w:space="0" w:color="auto"/>
        <w:left w:val="none" w:sz="0" w:space="0" w:color="auto"/>
        <w:bottom w:val="none" w:sz="0" w:space="0" w:color="auto"/>
        <w:right w:val="none" w:sz="0" w:space="0" w:color="auto"/>
      </w:divBdr>
    </w:div>
    <w:div w:id="1219897136">
      <w:marLeft w:val="540"/>
      <w:marRight w:val="0"/>
      <w:marTop w:val="0"/>
      <w:marBottom w:val="0"/>
      <w:divBdr>
        <w:top w:val="none" w:sz="0" w:space="0" w:color="auto"/>
        <w:left w:val="none" w:sz="0" w:space="0" w:color="auto"/>
        <w:bottom w:val="none" w:sz="0" w:space="0" w:color="auto"/>
        <w:right w:val="none" w:sz="0" w:space="0" w:color="auto"/>
      </w:divBdr>
    </w:div>
    <w:div w:id="1444180533">
      <w:marLeft w:val="0"/>
      <w:marRight w:val="0"/>
      <w:marTop w:val="0"/>
      <w:marBottom w:val="0"/>
      <w:divBdr>
        <w:top w:val="none" w:sz="0" w:space="0" w:color="auto"/>
        <w:left w:val="none" w:sz="0" w:space="0" w:color="auto"/>
        <w:bottom w:val="none" w:sz="0" w:space="0" w:color="auto"/>
        <w:right w:val="none" w:sz="0" w:space="0" w:color="auto"/>
      </w:divBdr>
    </w:div>
    <w:div w:id="1573542552">
      <w:marLeft w:val="0"/>
      <w:marRight w:val="0"/>
      <w:marTop w:val="0"/>
      <w:marBottom w:val="0"/>
      <w:divBdr>
        <w:top w:val="none" w:sz="0" w:space="0" w:color="auto"/>
        <w:left w:val="none" w:sz="0" w:space="0" w:color="auto"/>
        <w:bottom w:val="none" w:sz="0" w:space="0" w:color="auto"/>
        <w:right w:val="none" w:sz="0" w:space="0" w:color="auto"/>
      </w:divBdr>
    </w:div>
    <w:div w:id="1614164081">
      <w:marLeft w:val="0"/>
      <w:marRight w:val="0"/>
      <w:marTop w:val="0"/>
      <w:marBottom w:val="0"/>
      <w:divBdr>
        <w:top w:val="none" w:sz="0" w:space="0" w:color="auto"/>
        <w:left w:val="none" w:sz="0" w:space="0" w:color="auto"/>
        <w:bottom w:val="none" w:sz="0" w:space="0" w:color="auto"/>
        <w:right w:val="none" w:sz="0" w:space="0" w:color="auto"/>
      </w:divBdr>
    </w:div>
    <w:div w:id="1712534181">
      <w:marLeft w:val="0"/>
      <w:marRight w:val="0"/>
      <w:marTop w:val="0"/>
      <w:marBottom w:val="0"/>
      <w:divBdr>
        <w:top w:val="none" w:sz="0" w:space="0" w:color="auto"/>
        <w:left w:val="none" w:sz="0" w:space="0" w:color="auto"/>
        <w:bottom w:val="none" w:sz="0" w:space="0" w:color="auto"/>
        <w:right w:val="none" w:sz="0" w:space="0" w:color="auto"/>
      </w:divBdr>
    </w:div>
    <w:div w:id="1714037566">
      <w:marLeft w:val="0"/>
      <w:marRight w:val="0"/>
      <w:marTop w:val="0"/>
      <w:marBottom w:val="0"/>
      <w:divBdr>
        <w:top w:val="none" w:sz="0" w:space="0" w:color="auto"/>
        <w:left w:val="none" w:sz="0" w:space="0" w:color="auto"/>
        <w:bottom w:val="none" w:sz="0" w:space="0" w:color="auto"/>
        <w:right w:val="none" w:sz="0" w:space="0" w:color="auto"/>
      </w:divBdr>
    </w:div>
    <w:div w:id="1826622003">
      <w:marLeft w:val="0"/>
      <w:marRight w:val="0"/>
      <w:marTop w:val="0"/>
      <w:marBottom w:val="0"/>
      <w:divBdr>
        <w:top w:val="none" w:sz="0" w:space="0" w:color="auto"/>
        <w:left w:val="none" w:sz="0" w:space="0" w:color="auto"/>
        <w:bottom w:val="none" w:sz="0" w:space="0" w:color="auto"/>
        <w:right w:val="none" w:sz="0" w:space="0" w:color="auto"/>
      </w:divBdr>
    </w:div>
    <w:div w:id="1988047104">
      <w:marLeft w:val="0"/>
      <w:marRight w:val="0"/>
      <w:marTop w:val="0"/>
      <w:marBottom w:val="0"/>
      <w:divBdr>
        <w:top w:val="none" w:sz="0" w:space="0" w:color="auto"/>
        <w:left w:val="none" w:sz="0" w:space="0" w:color="auto"/>
        <w:bottom w:val="none" w:sz="0" w:space="0" w:color="auto"/>
        <w:right w:val="none" w:sz="0" w:space="0" w:color="auto"/>
      </w:divBdr>
    </w:div>
    <w:div w:id="2131776444">
      <w:marLeft w:val="540"/>
      <w:marRight w:val="0"/>
      <w:marTop w:val="0"/>
      <w:marBottom w:val="0"/>
      <w:divBdr>
        <w:top w:val="none" w:sz="0" w:space="0" w:color="auto"/>
        <w:left w:val="none" w:sz="0" w:space="0" w:color="auto"/>
        <w:bottom w:val="none" w:sz="0" w:space="0" w:color="auto"/>
        <w:right w:val="none" w:sz="0" w:space="0" w:color="auto"/>
      </w:divBdr>
    </w:div>
    <w:div w:id="21471227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6674</Words>
  <Characters>38046</Characters>
  <Application>Microsoft Office Word</Application>
  <DocSecurity>0</DocSecurity>
  <Lines>317</Lines>
  <Paragraphs>89</Paragraphs>
  <ScaleCrop>false</ScaleCrop>
  <Company/>
  <LinksUpToDate>false</LinksUpToDate>
  <CharactersWithSpaces>44631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 Russell</dc:creator>
  <cp:keywords/>
  <dc:description/>
  <cp:lastModifiedBy>Amma Russell</cp:lastModifiedBy>
  <cp:revision>2</cp:revision>
  <dcterms:created xsi:type="dcterms:W3CDTF">2024-01-15T14:17:00Z</dcterms:created>
  <dcterms:modified xsi:type="dcterms:W3CDTF">2024-01-15T14:17:00Z</dcterms:modified>
</cp:coreProperties>
</file>