
<file path=[Content_Types].xml><?xml version="1.0" encoding="utf-8"?>
<Types xmlns="http://schemas.openxmlformats.org/package/2006/content-types">
  <Default Extension="png" ContentType="image/pn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20E08" w14:textId="20B8C6E2" w:rsidR="00A91FA5" w:rsidRDefault="00A91FA5" w:rsidP="00E70831">
      <w:pPr>
        <w:spacing w:line="360" w:lineRule="auto"/>
        <w:rPr>
          <w:rFonts w:cs="Times New Roman"/>
          <w:b/>
          <w:bCs/>
        </w:rPr>
      </w:pPr>
      <w:r>
        <w:rPr>
          <w:noProof/>
        </w:rPr>
        <w:drawing>
          <wp:anchor distT="0" distB="0" distL="114300" distR="114300" simplePos="0" relativeHeight="251658240" behindDoc="0" locked="0" layoutInCell="1" allowOverlap="1" wp14:anchorId="025B44B6" wp14:editId="10C97044">
            <wp:simplePos x="0" y="0"/>
            <wp:positionH relativeFrom="margin">
              <wp:posOffset>1873250</wp:posOffset>
            </wp:positionH>
            <wp:positionV relativeFrom="paragraph">
              <wp:posOffset>0</wp:posOffset>
            </wp:positionV>
            <wp:extent cx="2413000" cy="977900"/>
            <wp:effectExtent l="0" t="0" r="635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3000" cy="977900"/>
                    </a:xfrm>
                    <a:prstGeom prst="rect">
                      <a:avLst/>
                    </a:prstGeom>
                    <a:noFill/>
                    <a:ln>
                      <a:noFill/>
                    </a:ln>
                  </pic:spPr>
                </pic:pic>
              </a:graphicData>
            </a:graphic>
            <wp14:sizeRelH relativeFrom="margin">
              <wp14:pctWidth>0</wp14:pctWidth>
            </wp14:sizeRelH>
          </wp:anchor>
        </w:drawing>
      </w:r>
      <w:r w:rsidR="00D231A0">
        <w:rPr>
          <w:rFonts w:cs="Times New Roman"/>
          <w:b/>
          <w:bCs/>
        </w:rPr>
        <w:br w:type="textWrapping" w:clear="all"/>
      </w:r>
    </w:p>
    <w:p w14:paraId="78FB6EF3" w14:textId="26EC8B4F" w:rsidR="00C14754" w:rsidRDefault="00C14754" w:rsidP="00A91FA5">
      <w:pPr>
        <w:spacing w:line="360" w:lineRule="auto"/>
        <w:jc w:val="center"/>
        <w:rPr>
          <w:rFonts w:cs="Times New Roman"/>
          <w:b/>
          <w:bCs/>
        </w:rPr>
      </w:pPr>
    </w:p>
    <w:p w14:paraId="7EA54080" w14:textId="77777777" w:rsidR="00C14754" w:rsidRDefault="00C14754" w:rsidP="00A91FA5">
      <w:pPr>
        <w:spacing w:line="360" w:lineRule="auto"/>
        <w:jc w:val="center"/>
        <w:rPr>
          <w:rFonts w:cs="Times New Roman"/>
          <w:b/>
          <w:bCs/>
        </w:rPr>
      </w:pPr>
    </w:p>
    <w:p w14:paraId="124C26FA" w14:textId="60DC4DE5" w:rsidR="00A91FA5" w:rsidRDefault="00A91FA5" w:rsidP="00A91FA5">
      <w:pPr>
        <w:spacing w:line="360" w:lineRule="auto"/>
        <w:jc w:val="center"/>
        <w:rPr>
          <w:rFonts w:cs="Times New Roman"/>
        </w:rPr>
      </w:pPr>
      <w:proofErr w:type="spellStart"/>
      <w:r w:rsidRPr="00A91FA5">
        <w:rPr>
          <w:rFonts w:cs="Times New Roman"/>
          <w:b/>
          <w:bCs/>
        </w:rPr>
        <w:t>Programme</w:t>
      </w:r>
      <w:proofErr w:type="spellEnd"/>
      <w:r>
        <w:rPr>
          <w:rFonts w:cs="Times New Roman"/>
        </w:rPr>
        <w:t xml:space="preserve">: Master of Business </w:t>
      </w:r>
      <w:r w:rsidR="00C14754">
        <w:rPr>
          <w:rFonts w:cs="Times New Roman"/>
        </w:rPr>
        <w:t>Administration</w:t>
      </w:r>
    </w:p>
    <w:p w14:paraId="09D505FB" w14:textId="77777777" w:rsidR="00A91FA5" w:rsidRDefault="00A91FA5" w:rsidP="00A91FA5">
      <w:pPr>
        <w:spacing w:line="360" w:lineRule="auto"/>
        <w:jc w:val="center"/>
        <w:rPr>
          <w:rFonts w:cs="Times New Roman"/>
        </w:rPr>
      </w:pPr>
      <w:r w:rsidRPr="00A91FA5">
        <w:rPr>
          <w:rFonts w:cs="Times New Roman"/>
          <w:b/>
          <w:bCs/>
        </w:rPr>
        <w:t>Module</w:t>
      </w:r>
      <w:r>
        <w:rPr>
          <w:rFonts w:cs="Times New Roman"/>
        </w:rPr>
        <w:t>: Marketing Management</w:t>
      </w:r>
    </w:p>
    <w:p w14:paraId="50B33C40" w14:textId="77777777" w:rsidR="00D231A0" w:rsidRDefault="00A91FA5" w:rsidP="00A91FA5">
      <w:pPr>
        <w:spacing w:line="360" w:lineRule="auto"/>
        <w:jc w:val="center"/>
        <w:rPr>
          <w:rFonts w:cs="Times New Roman"/>
        </w:rPr>
      </w:pPr>
      <w:r w:rsidRPr="00A91FA5">
        <w:rPr>
          <w:rFonts w:cs="Times New Roman"/>
          <w:b/>
          <w:bCs/>
        </w:rPr>
        <w:t>Assessment Component 2</w:t>
      </w:r>
      <w:r>
        <w:rPr>
          <w:rFonts w:cs="Times New Roman"/>
        </w:rPr>
        <w:t xml:space="preserve">: Marketing Portfolio </w:t>
      </w:r>
    </w:p>
    <w:p w14:paraId="3AC70FBE" w14:textId="77777777" w:rsidR="00D231A0" w:rsidRDefault="00D231A0" w:rsidP="00A91FA5">
      <w:pPr>
        <w:spacing w:line="360" w:lineRule="auto"/>
        <w:jc w:val="center"/>
        <w:rPr>
          <w:rFonts w:cs="Times New Roman"/>
        </w:rPr>
      </w:pPr>
    </w:p>
    <w:p w14:paraId="0FA25486" w14:textId="77777777" w:rsidR="00D231A0" w:rsidRDefault="00D231A0" w:rsidP="00A91FA5">
      <w:pPr>
        <w:spacing w:line="360" w:lineRule="auto"/>
        <w:jc w:val="center"/>
        <w:rPr>
          <w:rFonts w:cs="Times New Roman"/>
        </w:rPr>
      </w:pPr>
      <w:r>
        <w:rPr>
          <w:rFonts w:cs="Times New Roman"/>
        </w:rPr>
        <w:t xml:space="preserve">Student name: Aminur islam </w:t>
      </w:r>
    </w:p>
    <w:p w14:paraId="29B0DFD7" w14:textId="7E2A5224" w:rsidR="00982CC3" w:rsidRDefault="00D231A0" w:rsidP="00A91FA5">
      <w:pPr>
        <w:spacing w:line="360" w:lineRule="auto"/>
        <w:jc w:val="center"/>
        <w:rPr>
          <w:rFonts w:cs="Times New Roman"/>
          <w:b/>
          <w:bCs/>
        </w:rPr>
      </w:pPr>
      <w:r>
        <w:rPr>
          <w:rFonts w:cs="Times New Roman"/>
        </w:rPr>
        <w:t>Student id: 2437199</w:t>
      </w:r>
      <w:r w:rsidR="00982CC3">
        <w:rPr>
          <w:rFonts w:cs="Times New Roman"/>
          <w:b/>
          <w:bCs/>
        </w:rPr>
        <w:br w:type="page"/>
      </w:r>
    </w:p>
    <w:sdt>
      <w:sdtPr>
        <w:rPr>
          <w:rFonts w:ascii="Times New Roman" w:eastAsiaTheme="minorEastAsia" w:hAnsi="Times New Roman" w:cstheme="minorBidi"/>
          <w:color w:val="auto"/>
          <w:kern w:val="2"/>
          <w:sz w:val="24"/>
          <w:szCs w:val="24"/>
          <w14:ligatures w14:val="standardContextual"/>
        </w:rPr>
        <w:id w:val="-1452703257"/>
        <w:docPartObj>
          <w:docPartGallery w:val="Table of Contents"/>
          <w:docPartUnique/>
        </w:docPartObj>
      </w:sdtPr>
      <w:sdtEndPr>
        <w:rPr>
          <w:b/>
          <w:bCs/>
          <w:noProof/>
        </w:rPr>
      </w:sdtEndPr>
      <w:sdtContent>
        <w:p w14:paraId="5934348C" w14:textId="63E7F529" w:rsidR="00685EFD" w:rsidRPr="00F8010E" w:rsidRDefault="00685EFD" w:rsidP="00F8010E">
          <w:pPr>
            <w:pStyle w:val="TOCHeading"/>
            <w:spacing w:line="360" w:lineRule="auto"/>
            <w:rPr>
              <w:rFonts w:ascii="Times New Roman" w:hAnsi="Times New Roman" w:cs="Times New Roman"/>
            </w:rPr>
          </w:pPr>
          <w:r w:rsidRPr="00F8010E">
            <w:rPr>
              <w:rFonts w:ascii="Times New Roman" w:hAnsi="Times New Roman" w:cs="Times New Roman"/>
            </w:rPr>
            <w:t>Table of Contents</w:t>
          </w:r>
        </w:p>
        <w:p w14:paraId="430F3F60" w14:textId="3B98D053" w:rsidR="00A20DD0" w:rsidRDefault="00685EFD" w:rsidP="00617328">
          <w:pPr>
            <w:pStyle w:val="TOC1"/>
            <w:tabs>
              <w:tab w:val="right" w:leader="dot" w:pos="9350"/>
            </w:tabs>
            <w:spacing w:line="360" w:lineRule="auto"/>
            <w:rPr>
              <w:rFonts w:asciiTheme="minorHAnsi" w:hAnsiTheme="minorHAnsi"/>
              <w:noProof/>
            </w:rPr>
          </w:pPr>
          <w:r w:rsidRPr="00F8010E">
            <w:rPr>
              <w:rFonts w:cs="Times New Roman"/>
            </w:rPr>
            <w:fldChar w:fldCharType="begin"/>
          </w:r>
          <w:r w:rsidRPr="00F8010E">
            <w:rPr>
              <w:rFonts w:cs="Times New Roman"/>
            </w:rPr>
            <w:instrText xml:space="preserve"> TOC \o "1-3" \h \z \u </w:instrText>
          </w:r>
          <w:r w:rsidRPr="00F8010E">
            <w:rPr>
              <w:rFonts w:cs="Times New Roman"/>
            </w:rPr>
            <w:fldChar w:fldCharType="separate"/>
          </w:r>
          <w:hyperlink w:anchor="_Toc215041068" w:history="1">
            <w:r w:rsidR="00A20DD0" w:rsidRPr="00BE513E">
              <w:rPr>
                <w:rStyle w:val="Hyperlink"/>
                <w:noProof/>
              </w:rPr>
              <w:t>Introduction</w:t>
            </w:r>
            <w:r w:rsidR="00A20DD0">
              <w:rPr>
                <w:noProof/>
                <w:webHidden/>
              </w:rPr>
              <w:tab/>
            </w:r>
            <w:r w:rsidR="00A20DD0">
              <w:rPr>
                <w:noProof/>
                <w:webHidden/>
              </w:rPr>
              <w:fldChar w:fldCharType="begin"/>
            </w:r>
            <w:r w:rsidR="00A20DD0">
              <w:rPr>
                <w:noProof/>
                <w:webHidden/>
              </w:rPr>
              <w:instrText xml:space="preserve"> PAGEREF _Toc215041068 \h </w:instrText>
            </w:r>
            <w:r w:rsidR="00A20DD0">
              <w:rPr>
                <w:noProof/>
                <w:webHidden/>
              </w:rPr>
            </w:r>
            <w:r w:rsidR="00A20DD0">
              <w:rPr>
                <w:noProof/>
                <w:webHidden/>
              </w:rPr>
              <w:fldChar w:fldCharType="separate"/>
            </w:r>
            <w:r w:rsidR="00B61635">
              <w:rPr>
                <w:noProof/>
                <w:webHidden/>
              </w:rPr>
              <w:t>3</w:t>
            </w:r>
            <w:r w:rsidR="00A20DD0">
              <w:rPr>
                <w:noProof/>
                <w:webHidden/>
              </w:rPr>
              <w:fldChar w:fldCharType="end"/>
            </w:r>
          </w:hyperlink>
        </w:p>
        <w:p w14:paraId="3AFF13E0" w14:textId="7F7C05AF" w:rsidR="00A20DD0" w:rsidRDefault="00A20DD0">
          <w:pPr>
            <w:pStyle w:val="TOC1"/>
            <w:tabs>
              <w:tab w:val="right" w:leader="dot" w:pos="9350"/>
            </w:tabs>
            <w:rPr>
              <w:rFonts w:asciiTheme="minorHAnsi" w:hAnsiTheme="minorHAnsi"/>
              <w:noProof/>
            </w:rPr>
          </w:pPr>
          <w:hyperlink w:anchor="_Toc215041069" w:history="1">
            <w:r w:rsidRPr="00BE513E">
              <w:rPr>
                <w:rStyle w:val="Hyperlink"/>
                <w:noProof/>
              </w:rPr>
              <w:t>Segmentation, Targeting, Differentiation and Positioning Analysis for New Brand of Nestle</w:t>
            </w:r>
            <w:r>
              <w:rPr>
                <w:noProof/>
                <w:webHidden/>
              </w:rPr>
              <w:tab/>
            </w:r>
            <w:r>
              <w:rPr>
                <w:noProof/>
                <w:webHidden/>
              </w:rPr>
              <w:fldChar w:fldCharType="begin"/>
            </w:r>
            <w:r>
              <w:rPr>
                <w:noProof/>
                <w:webHidden/>
              </w:rPr>
              <w:instrText xml:space="preserve"> PAGEREF _Toc215041069 \h </w:instrText>
            </w:r>
            <w:r>
              <w:rPr>
                <w:noProof/>
                <w:webHidden/>
              </w:rPr>
            </w:r>
            <w:r>
              <w:rPr>
                <w:noProof/>
                <w:webHidden/>
              </w:rPr>
              <w:fldChar w:fldCharType="separate"/>
            </w:r>
            <w:r w:rsidR="00B61635">
              <w:rPr>
                <w:noProof/>
                <w:webHidden/>
              </w:rPr>
              <w:t>4</w:t>
            </w:r>
            <w:r>
              <w:rPr>
                <w:noProof/>
                <w:webHidden/>
              </w:rPr>
              <w:fldChar w:fldCharType="end"/>
            </w:r>
          </w:hyperlink>
        </w:p>
        <w:p w14:paraId="66AA5595" w14:textId="2F4A3686" w:rsidR="00A20DD0" w:rsidRDefault="00A20DD0">
          <w:pPr>
            <w:pStyle w:val="TOC1"/>
            <w:tabs>
              <w:tab w:val="right" w:leader="dot" w:pos="9350"/>
            </w:tabs>
            <w:rPr>
              <w:rFonts w:asciiTheme="minorHAnsi" w:hAnsiTheme="minorHAnsi"/>
              <w:noProof/>
            </w:rPr>
          </w:pPr>
          <w:hyperlink w:anchor="_Toc215041070" w:history="1">
            <w:r w:rsidRPr="00BE513E">
              <w:rPr>
                <w:rStyle w:val="Hyperlink"/>
                <w:noProof/>
              </w:rPr>
              <w:t>Marketing Mix Strategy (4Ps) of MusGain Pro</w:t>
            </w:r>
            <w:r>
              <w:rPr>
                <w:noProof/>
                <w:webHidden/>
              </w:rPr>
              <w:tab/>
            </w:r>
            <w:r>
              <w:rPr>
                <w:noProof/>
                <w:webHidden/>
              </w:rPr>
              <w:fldChar w:fldCharType="begin"/>
            </w:r>
            <w:r>
              <w:rPr>
                <w:noProof/>
                <w:webHidden/>
              </w:rPr>
              <w:instrText xml:space="preserve"> PAGEREF _Toc215041070 \h </w:instrText>
            </w:r>
            <w:r>
              <w:rPr>
                <w:noProof/>
                <w:webHidden/>
              </w:rPr>
            </w:r>
            <w:r>
              <w:rPr>
                <w:noProof/>
                <w:webHidden/>
              </w:rPr>
              <w:fldChar w:fldCharType="separate"/>
            </w:r>
            <w:r w:rsidR="00B61635">
              <w:rPr>
                <w:noProof/>
                <w:webHidden/>
              </w:rPr>
              <w:t>7</w:t>
            </w:r>
            <w:r>
              <w:rPr>
                <w:noProof/>
                <w:webHidden/>
              </w:rPr>
              <w:fldChar w:fldCharType="end"/>
            </w:r>
          </w:hyperlink>
        </w:p>
        <w:p w14:paraId="2FA233D5" w14:textId="0A68EBB7" w:rsidR="00A20DD0" w:rsidRDefault="00A20DD0">
          <w:pPr>
            <w:pStyle w:val="TOC1"/>
            <w:tabs>
              <w:tab w:val="right" w:leader="dot" w:pos="9350"/>
            </w:tabs>
            <w:rPr>
              <w:rFonts w:asciiTheme="minorHAnsi" w:hAnsiTheme="minorHAnsi"/>
              <w:noProof/>
            </w:rPr>
          </w:pPr>
          <w:hyperlink w:anchor="_Toc215041071" w:history="1">
            <w:r w:rsidRPr="00BE513E">
              <w:rPr>
                <w:rStyle w:val="Hyperlink"/>
                <w:rFonts w:eastAsia="Times New Roman"/>
                <w:noProof/>
              </w:rPr>
              <w:t>Marketing Strategy Pitch for MusGain Pro Brand</w:t>
            </w:r>
            <w:r>
              <w:rPr>
                <w:noProof/>
                <w:webHidden/>
              </w:rPr>
              <w:tab/>
            </w:r>
            <w:r>
              <w:rPr>
                <w:noProof/>
                <w:webHidden/>
              </w:rPr>
              <w:fldChar w:fldCharType="begin"/>
            </w:r>
            <w:r>
              <w:rPr>
                <w:noProof/>
                <w:webHidden/>
              </w:rPr>
              <w:instrText xml:space="preserve"> PAGEREF _Toc215041071 \h </w:instrText>
            </w:r>
            <w:r>
              <w:rPr>
                <w:noProof/>
                <w:webHidden/>
              </w:rPr>
            </w:r>
            <w:r>
              <w:rPr>
                <w:noProof/>
                <w:webHidden/>
              </w:rPr>
              <w:fldChar w:fldCharType="separate"/>
            </w:r>
            <w:r w:rsidR="00B61635">
              <w:rPr>
                <w:noProof/>
                <w:webHidden/>
              </w:rPr>
              <w:t>11</w:t>
            </w:r>
            <w:r>
              <w:rPr>
                <w:noProof/>
                <w:webHidden/>
              </w:rPr>
              <w:fldChar w:fldCharType="end"/>
            </w:r>
          </w:hyperlink>
        </w:p>
        <w:p w14:paraId="7CAB5222" w14:textId="62194760" w:rsidR="00A20DD0" w:rsidRDefault="00A20DD0">
          <w:pPr>
            <w:pStyle w:val="TOC1"/>
            <w:tabs>
              <w:tab w:val="right" w:leader="dot" w:pos="9350"/>
            </w:tabs>
            <w:rPr>
              <w:rFonts w:asciiTheme="minorHAnsi" w:hAnsiTheme="minorHAnsi"/>
              <w:noProof/>
            </w:rPr>
          </w:pPr>
          <w:hyperlink w:anchor="_Toc215041072" w:history="1">
            <w:r w:rsidRPr="00BE513E">
              <w:rPr>
                <w:rStyle w:val="Hyperlink"/>
                <w:rFonts w:eastAsia="Times New Roman"/>
                <w:noProof/>
              </w:rPr>
              <w:t>Overall Reflection of the New Brand Strategy</w:t>
            </w:r>
            <w:r>
              <w:rPr>
                <w:noProof/>
                <w:webHidden/>
              </w:rPr>
              <w:tab/>
            </w:r>
            <w:r>
              <w:rPr>
                <w:noProof/>
                <w:webHidden/>
              </w:rPr>
              <w:fldChar w:fldCharType="begin"/>
            </w:r>
            <w:r>
              <w:rPr>
                <w:noProof/>
                <w:webHidden/>
              </w:rPr>
              <w:instrText xml:space="preserve"> PAGEREF _Toc215041072 \h </w:instrText>
            </w:r>
            <w:r>
              <w:rPr>
                <w:noProof/>
                <w:webHidden/>
              </w:rPr>
            </w:r>
            <w:r>
              <w:rPr>
                <w:noProof/>
                <w:webHidden/>
              </w:rPr>
              <w:fldChar w:fldCharType="separate"/>
            </w:r>
            <w:r w:rsidR="00B61635">
              <w:rPr>
                <w:noProof/>
                <w:webHidden/>
              </w:rPr>
              <w:t>11</w:t>
            </w:r>
            <w:r>
              <w:rPr>
                <w:noProof/>
                <w:webHidden/>
              </w:rPr>
              <w:fldChar w:fldCharType="end"/>
            </w:r>
          </w:hyperlink>
        </w:p>
        <w:p w14:paraId="537AE7CC" w14:textId="2A242787" w:rsidR="00A20DD0" w:rsidRDefault="00A20DD0">
          <w:pPr>
            <w:pStyle w:val="TOC1"/>
            <w:tabs>
              <w:tab w:val="right" w:leader="dot" w:pos="9350"/>
            </w:tabs>
            <w:rPr>
              <w:rFonts w:asciiTheme="minorHAnsi" w:hAnsiTheme="minorHAnsi"/>
              <w:noProof/>
            </w:rPr>
          </w:pPr>
          <w:hyperlink w:anchor="_Toc215041073" w:history="1">
            <w:r w:rsidRPr="00BE513E">
              <w:rPr>
                <w:rStyle w:val="Hyperlink"/>
                <w:rFonts w:eastAsia="Times New Roman"/>
                <w:noProof/>
              </w:rPr>
              <w:t>Conclusion</w:t>
            </w:r>
            <w:r>
              <w:rPr>
                <w:noProof/>
                <w:webHidden/>
              </w:rPr>
              <w:tab/>
            </w:r>
            <w:r>
              <w:rPr>
                <w:noProof/>
                <w:webHidden/>
              </w:rPr>
              <w:fldChar w:fldCharType="begin"/>
            </w:r>
            <w:r>
              <w:rPr>
                <w:noProof/>
                <w:webHidden/>
              </w:rPr>
              <w:instrText xml:space="preserve"> PAGEREF _Toc215041073 \h </w:instrText>
            </w:r>
            <w:r>
              <w:rPr>
                <w:noProof/>
                <w:webHidden/>
              </w:rPr>
            </w:r>
            <w:r>
              <w:rPr>
                <w:noProof/>
                <w:webHidden/>
              </w:rPr>
              <w:fldChar w:fldCharType="separate"/>
            </w:r>
            <w:r w:rsidR="00B61635">
              <w:rPr>
                <w:noProof/>
                <w:webHidden/>
              </w:rPr>
              <w:t>14</w:t>
            </w:r>
            <w:r>
              <w:rPr>
                <w:noProof/>
                <w:webHidden/>
              </w:rPr>
              <w:fldChar w:fldCharType="end"/>
            </w:r>
          </w:hyperlink>
        </w:p>
        <w:p w14:paraId="2D1B6A48" w14:textId="3FB48EA3" w:rsidR="00A20DD0" w:rsidRDefault="00A20DD0">
          <w:pPr>
            <w:pStyle w:val="TOC1"/>
            <w:tabs>
              <w:tab w:val="right" w:leader="dot" w:pos="9350"/>
            </w:tabs>
            <w:rPr>
              <w:rFonts w:asciiTheme="minorHAnsi" w:hAnsiTheme="minorHAnsi"/>
              <w:noProof/>
            </w:rPr>
          </w:pPr>
          <w:hyperlink w:anchor="_Toc215041074" w:history="1">
            <w:r w:rsidRPr="00BE513E">
              <w:rPr>
                <w:rStyle w:val="Hyperlink"/>
                <w:rFonts w:eastAsia="Times New Roman"/>
                <w:noProof/>
              </w:rPr>
              <w:t>References</w:t>
            </w:r>
            <w:r>
              <w:rPr>
                <w:noProof/>
                <w:webHidden/>
              </w:rPr>
              <w:tab/>
            </w:r>
            <w:r>
              <w:rPr>
                <w:noProof/>
                <w:webHidden/>
              </w:rPr>
              <w:fldChar w:fldCharType="begin"/>
            </w:r>
            <w:r>
              <w:rPr>
                <w:noProof/>
                <w:webHidden/>
              </w:rPr>
              <w:instrText xml:space="preserve"> PAGEREF _Toc215041074 \h </w:instrText>
            </w:r>
            <w:r>
              <w:rPr>
                <w:noProof/>
                <w:webHidden/>
              </w:rPr>
            </w:r>
            <w:r>
              <w:rPr>
                <w:noProof/>
                <w:webHidden/>
              </w:rPr>
              <w:fldChar w:fldCharType="separate"/>
            </w:r>
            <w:r w:rsidR="00B61635">
              <w:rPr>
                <w:noProof/>
                <w:webHidden/>
              </w:rPr>
              <w:t>15</w:t>
            </w:r>
            <w:r>
              <w:rPr>
                <w:noProof/>
                <w:webHidden/>
              </w:rPr>
              <w:fldChar w:fldCharType="end"/>
            </w:r>
          </w:hyperlink>
        </w:p>
        <w:p w14:paraId="0FC91896" w14:textId="41281181" w:rsidR="00A20DD0" w:rsidRDefault="00A20DD0">
          <w:pPr>
            <w:pStyle w:val="TOC1"/>
            <w:tabs>
              <w:tab w:val="right" w:leader="dot" w:pos="9350"/>
            </w:tabs>
            <w:rPr>
              <w:rFonts w:asciiTheme="minorHAnsi" w:hAnsiTheme="minorHAnsi"/>
              <w:noProof/>
            </w:rPr>
          </w:pPr>
          <w:hyperlink w:anchor="_Toc215041075" w:history="1">
            <w:r w:rsidRPr="00BE513E">
              <w:rPr>
                <w:rStyle w:val="Hyperlink"/>
                <w:rFonts w:eastAsia="Times New Roman"/>
                <w:noProof/>
              </w:rPr>
              <w:t>Appendix</w:t>
            </w:r>
            <w:r>
              <w:rPr>
                <w:noProof/>
                <w:webHidden/>
              </w:rPr>
              <w:tab/>
            </w:r>
            <w:r>
              <w:rPr>
                <w:noProof/>
                <w:webHidden/>
              </w:rPr>
              <w:fldChar w:fldCharType="begin"/>
            </w:r>
            <w:r>
              <w:rPr>
                <w:noProof/>
                <w:webHidden/>
              </w:rPr>
              <w:instrText xml:space="preserve"> PAGEREF _Toc215041075 \h </w:instrText>
            </w:r>
            <w:r>
              <w:rPr>
                <w:noProof/>
                <w:webHidden/>
              </w:rPr>
            </w:r>
            <w:r>
              <w:rPr>
                <w:noProof/>
                <w:webHidden/>
              </w:rPr>
              <w:fldChar w:fldCharType="separate"/>
            </w:r>
            <w:r w:rsidR="00B61635">
              <w:rPr>
                <w:noProof/>
                <w:webHidden/>
              </w:rPr>
              <w:t>17</w:t>
            </w:r>
            <w:r>
              <w:rPr>
                <w:noProof/>
                <w:webHidden/>
              </w:rPr>
              <w:fldChar w:fldCharType="end"/>
            </w:r>
          </w:hyperlink>
        </w:p>
        <w:p w14:paraId="42D0D027" w14:textId="30C0F076" w:rsidR="00685EFD" w:rsidRDefault="00685EFD" w:rsidP="008941A0">
          <w:pPr>
            <w:spacing w:line="360" w:lineRule="auto"/>
          </w:pPr>
          <w:r w:rsidRPr="00F8010E">
            <w:rPr>
              <w:rFonts w:cs="Times New Roman"/>
              <w:b/>
              <w:bCs/>
              <w:noProof/>
            </w:rPr>
            <w:fldChar w:fldCharType="end"/>
          </w:r>
        </w:p>
      </w:sdtContent>
    </w:sdt>
    <w:p w14:paraId="5CD796BD" w14:textId="430E1FB0" w:rsidR="00982CC3" w:rsidRDefault="00982CC3" w:rsidP="008941A0">
      <w:pPr>
        <w:spacing w:line="360" w:lineRule="auto"/>
        <w:rPr>
          <w:rFonts w:cs="Times New Roman"/>
          <w:b/>
          <w:bCs/>
        </w:rPr>
      </w:pPr>
    </w:p>
    <w:p w14:paraId="5AF1FEB9" w14:textId="24ED6168" w:rsidR="008941A0" w:rsidRDefault="008941A0" w:rsidP="008941A0">
      <w:pPr>
        <w:pStyle w:val="TableofFigures"/>
        <w:tabs>
          <w:tab w:val="right" w:leader="dot" w:pos="9350"/>
        </w:tabs>
        <w:spacing w:line="360" w:lineRule="auto"/>
        <w:rPr>
          <w:noProof/>
        </w:rPr>
      </w:pPr>
      <w:r>
        <w:fldChar w:fldCharType="begin"/>
      </w:r>
      <w:r>
        <w:instrText xml:space="preserve"> TOC \h \z \c "Figure" </w:instrText>
      </w:r>
      <w:r>
        <w:fldChar w:fldCharType="separate"/>
      </w:r>
      <w:hyperlink w:anchor="_Toc214848158" w:history="1">
        <w:r w:rsidRPr="004D66D9">
          <w:rPr>
            <w:rStyle w:val="Hyperlink"/>
            <w:rFonts w:cs="Times New Roman"/>
            <w:noProof/>
          </w:rPr>
          <w:t>Figure 1: MusGain Pro brand</w:t>
        </w:r>
        <w:r>
          <w:rPr>
            <w:noProof/>
            <w:webHidden/>
          </w:rPr>
          <w:tab/>
        </w:r>
        <w:r>
          <w:rPr>
            <w:noProof/>
            <w:webHidden/>
          </w:rPr>
          <w:fldChar w:fldCharType="begin"/>
        </w:r>
        <w:r>
          <w:rPr>
            <w:noProof/>
            <w:webHidden/>
          </w:rPr>
          <w:instrText xml:space="preserve"> PAGEREF _Toc214848158 \h </w:instrText>
        </w:r>
        <w:r>
          <w:rPr>
            <w:noProof/>
            <w:webHidden/>
          </w:rPr>
        </w:r>
        <w:r>
          <w:rPr>
            <w:noProof/>
            <w:webHidden/>
          </w:rPr>
          <w:fldChar w:fldCharType="separate"/>
        </w:r>
        <w:r w:rsidR="00B61635">
          <w:rPr>
            <w:noProof/>
            <w:webHidden/>
          </w:rPr>
          <w:t>4</w:t>
        </w:r>
        <w:r>
          <w:rPr>
            <w:noProof/>
            <w:webHidden/>
          </w:rPr>
          <w:fldChar w:fldCharType="end"/>
        </w:r>
      </w:hyperlink>
    </w:p>
    <w:p w14:paraId="10C5E603" w14:textId="4542A2DF" w:rsidR="008941A0" w:rsidRDefault="008941A0" w:rsidP="008941A0">
      <w:pPr>
        <w:pStyle w:val="TableofFigures"/>
        <w:tabs>
          <w:tab w:val="right" w:leader="dot" w:pos="9350"/>
        </w:tabs>
        <w:spacing w:line="360" w:lineRule="auto"/>
        <w:rPr>
          <w:noProof/>
        </w:rPr>
      </w:pPr>
      <w:hyperlink w:anchor="_Toc214848159" w:history="1">
        <w:r w:rsidRPr="004D66D9">
          <w:rPr>
            <w:rStyle w:val="Hyperlink"/>
            <w:rFonts w:cs="Times New Roman"/>
            <w:noProof/>
          </w:rPr>
          <w:t>Figure 2: STDP Analysis flow</w:t>
        </w:r>
        <w:r>
          <w:rPr>
            <w:noProof/>
            <w:webHidden/>
          </w:rPr>
          <w:tab/>
        </w:r>
        <w:r>
          <w:rPr>
            <w:noProof/>
            <w:webHidden/>
          </w:rPr>
          <w:fldChar w:fldCharType="begin"/>
        </w:r>
        <w:r>
          <w:rPr>
            <w:noProof/>
            <w:webHidden/>
          </w:rPr>
          <w:instrText xml:space="preserve"> PAGEREF _Toc214848159 \h </w:instrText>
        </w:r>
        <w:r>
          <w:rPr>
            <w:noProof/>
            <w:webHidden/>
          </w:rPr>
        </w:r>
        <w:r>
          <w:rPr>
            <w:noProof/>
            <w:webHidden/>
          </w:rPr>
          <w:fldChar w:fldCharType="separate"/>
        </w:r>
        <w:r w:rsidR="00B61635">
          <w:rPr>
            <w:noProof/>
            <w:webHidden/>
          </w:rPr>
          <w:t>5</w:t>
        </w:r>
        <w:r>
          <w:rPr>
            <w:noProof/>
            <w:webHidden/>
          </w:rPr>
          <w:fldChar w:fldCharType="end"/>
        </w:r>
      </w:hyperlink>
    </w:p>
    <w:p w14:paraId="1315BCA9" w14:textId="4BF94C1B" w:rsidR="008941A0" w:rsidRDefault="008941A0" w:rsidP="008941A0">
      <w:pPr>
        <w:pStyle w:val="TableofFigures"/>
        <w:tabs>
          <w:tab w:val="right" w:leader="dot" w:pos="9350"/>
        </w:tabs>
        <w:spacing w:line="360" w:lineRule="auto"/>
        <w:rPr>
          <w:noProof/>
        </w:rPr>
      </w:pPr>
      <w:hyperlink w:anchor="_Toc214848160" w:history="1">
        <w:r w:rsidRPr="004D66D9">
          <w:rPr>
            <w:rStyle w:val="Hyperlink"/>
            <w:noProof/>
          </w:rPr>
          <w:t>Figure 3: Marketing Mix (4Ps)</w:t>
        </w:r>
        <w:r>
          <w:rPr>
            <w:noProof/>
            <w:webHidden/>
          </w:rPr>
          <w:tab/>
        </w:r>
        <w:r>
          <w:rPr>
            <w:noProof/>
            <w:webHidden/>
          </w:rPr>
          <w:fldChar w:fldCharType="begin"/>
        </w:r>
        <w:r>
          <w:rPr>
            <w:noProof/>
            <w:webHidden/>
          </w:rPr>
          <w:instrText xml:space="preserve"> PAGEREF _Toc214848160 \h </w:instrText>
        </w:r>
        <w:r>
          <w:rPr>
            <w:noProof/>
            <w:webHidden/>
          </w:rPr>
        </w:r>
        <w:r>
          <w:rPr>
            <w:noProof/>
            <w:webHidden/>
          </w:rPr>
          <w:fldChar w:fldCharType="separate"/>
        </w:r>
        <w:r w:rsidR="00B61635">
          <w:rPr>
            <w:noProof/>
            <w:webHidden/>
          </w:rPr>
          <w:t>9</w:t>
        </w:r>
        <w:r>
          <w:rPr>
            <w:noProof/>
            <w:webHidden/>
          </w:rPr>
          <w:fldChar w:fldCharType="end"/>
        </w:r>
      </w:hyperlink>
    </w:p>
    <w:p w14:paraId="56356A0F" w14:textId="43F36261" w:rsidR="008941A0" w:rsidRDefault="008941A0" w:rsidP="008941A0">
      <w:pPr>
        <w:spacing w:line="360" w:lineRule="auto"/>
        <w:rPr>
          <w:rFonts w:eastAsiaTheme="majorEastAsia" w:cstheme="majorBidi"/>
          <w:color w:val="0F4761" w:themeColor="accent1" w:themeShade="BF"/>
          <w:sz w:val="28"/>
          <w:szCs w:val="40"/>
        </w:rPr>
      </w:pPr>
      <w:r>
        <w:fldChar w:fldCharType="end"/>
      </w:r>
      <w:r>
        <w:br w:type="page"/>
      </w:r>
    </w:p>
    <w:p w14:paraId="101B2DFA" w14:textId="1A8AB459" w:rsidR="001A14BB" w:rsidRPr="00D231A0" w:rsidRDefault="001A14BB" w:rsidP="00BE03F1">
      <w:pPr>
        <w:pStyle w:val="Heading1"/>
        <w:rPr>
          <w:rFonts w:ascii="Arial" w:hAnsi="Arial" w:cs="Arial"/>
          <w:sz w:val="24"/>
          <w:szCs w:val="24"/>
        </w:rPr>
      </w:pPr>
      <w:bookmarkStart w:id="0" w:name="_Toc215041068"/>
      <w:r w:rsidRPr="00D231A0">
        <w:rPr>
          <w:rFonts w:ascii="Arial" w:hAnsi="Arial" w:cs="Arial"/>
          <w:sz w:val="24"/>
          <w:szCs w:val="24"/>
        </w:rPr>
        <w:lastRenderedPageBreak/>
        <w:t>Introduction</w:t>
      </w:r>
      <w:bookmarkEnd w:id="0"/>
    </w:p>
    <w:p w14:paraId="39E0B568" w14:textId="6D5CB9A2" w:rsidR="00C84FA7" w:rsidRPr="00D231A0" w:rsidRDefault="00C84FA7" w:rsidP="00BE03F1">
      <w:pPr>
        <w:spacing w:line="360" w:lineRule="auto"/>
        <w:rPr>
          <w:rFonts w:ascii="Arial" w:eastAsia="Times New Roman" w:hAnsi="Arial" w:cs="Arial"/>
        </w:rPr>
      </w:pPr>
      <w:r w:rsidRPr="00D231A0">
        <w:rPr>
          <w:rFonts w:ascii="Arial" w:eastAsia="Times New Roman" w:hAnsi="Arial" w:cs="Arial"/>
        </w:rPr>
        <w:t>Entering a new market with new product lines is an adventurous task to any existing company. Nowadays, the perception and preference of customers are changing and the existing companies are attempting to align the supply with demand arisen by the changes</w:t>
      </w:r>
      <w:r w:rsidR="00353DE6" w:rsidRPr="00D231A0">
        <w:rPr>
          <w:rFonts w:ascii="Arial" w:eastAsia="Times New Roman" w:hAnsi="Arial" w:cs="Arial"/>
        </w:rPr>
        <w:t xml:space="preserve"> (Baker et al., 2002)</w:t>
      </w:r>
      <w:r w:rsidRPr="00D231A0">
        <w:rPr>
          <w:rFonts w:ascii="Arial" w:eastAsia="Times New Roman" w:hAnsi="Arial" w:cs="Arial"/>
        </w:rPr>
        <w:t>. This report demonstrates a thorough exploration of how Nestle would appeal to the South Asian market through marketing strategies. Starting with STDP analysis of Nestle's new brand, the report highlights the key elements of target markets and the later section discusses the marketing mix (4Ps) strategies to align with regional young customers’ demands. In the last part, the overall reflection and insights are concentrated.</w:t>
      </w:r>
    </w:p>
    <w:p w14:paraId="2A6B2F89" w14:textId="0C664CDF" w:rsidR="00685EFD" w:rsidRPr="00D231A0" w:rsidRDefault="00685EFD" w:rsidP="00BE03F1">
      <w:pPr>
        <w:spacing w:line="360" w:lineRule="auto"/>
        <w:ind w:left="3600" w:firstLine="720"/>
        <w:rPr>
          <w:rFonts w:ascii="Arial" w:hAnsi="Arial" w:cs="Arial"/>
        </w:rPr>
      </w:pPr>
    </w:p>
    <w:p w14:paraId="3E4A3253" w14:textId="5C544E68" w:rsidR="00685EFD" w:rsidRPr="00D231A0" w:rsidRDefault="00685EFD" w:rsidP="00BE03F1">
      <w:pPr>
        <w:spacing w:line="360" w:lineRule="auto"/>
        <w:rPr>
          <w:rFonts w:ascii="Arial" w:hAnsi="Arial" w:cs="Arial"/>
        </w:rPr>
      </w:pPr>
      <w:r w:rsidRPr="00D231A0">
        <w:rPr>
          <w:rFonts w:ascii="Arial" w:hAnsi="Arial" w:cs="Arial"/>
        </w:rPr>
        <w:br w:type="page"/>
      </w:r>
    </w:p>
    <w:p w14:paraId="15A4BE96" w14:textId="0D98F08B" w:rsidR="00955EA2" w:rsidRPr="00D231A0" w:rsidRDefault="00982CC3" w:rsidP="00BE03F1">
      <w:pPr>
        <w:pStyle w:val="Heading1"/>
        <w:rPr>
          <w:rFonts w:ascii="Arial" w:hAnsi="Arial" w:cs="Arial"/>
          <w:sz w:val="24"/>
          <w:szCs w:val="24"/>
        </w:rPr>
      </w:pPr>
      <w:bookmarkStart w:id="1" w:name="_Toc215041069"/>
      <w:r w:rsidRPr="00D231A0">
        <w:rPr>
          <w:rFonts w:ascii="Arial" w:hAnsi="Arial" w:cs="Arial"/>
          <w:sz w:val="24"/>
          <w:szCs w:val="24"/>
        </w:rPr>
        <w:lastRenderedPageBreak/>
        <w:t xml:space="preserve">Segmentation, Targeting, Differentiation and </w:t>
      </w:r>
      <w:r w:rsidR="00A41A9E" w:rsidRPr="00D231A0">
        <w:rPr>
          <w:rFonts w:ascii="Arial" w:hAnsi="Arial" w:cs="Arial"/>
          <w:sz w:val="24"/>
          <w:szCs w:val="24"/>
        </w:rPr>
        <w:t>Positioning</w:t>
      </w:r>
      <w:r w:rsidRPr="00D231A0">
        <w:rPr>
          <w:rFonts w:ascii="Arial" w:hAnsi="Arial" w:cs="Arial"/>
          <w:sz w:val="24"/>
          <w:szCs w:val="24"/>
        </w:rPr>
        <w:t xml:space="preserve"> Analysis for New Brand of Nestle</w:t>
      </w:r>
      <w:bookmarkEnd w:id="1"/>
    </w:p>
    <w:p w14:paraId="7A41A367" w14:textId="29C48B96" w:rsidR="00D231A0" w:rsidRPr="00D231A0" w:rsidRDefault="00D231A0" w:rsidP="00D231A0">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 </w:t>
      </w:r>
      <w:r w:rsidRPr="00D231A0">
        <w:rPr>
          <w:rFonts w:ascii="Arial" w:eastAsia="Times New Roman" w:hAnsi="Arial" w:cs="Arial"/>
          <w:color w:val="000000"/>
          <w:kern w:val="0"/>
          <w14:ligatures w14:val="none"/>
        </w:rPr>
        <w:t>Nestle is the largest food and beverage company in the world that is also concentrating on its Nutrition, Health and Wellness agenda (NHW). Its research and development costs approximately CHF 1.7 billion every year to develop unique products and reduce expenses, to save CHF 2.7 billion by 2027 (Nestle, 2025).</w:t>
      </w:r>
    </w:p>
    <w:p w14:paraId="581468B3" w14:textId="62822B92" w:rsidR="00BE03F1" w:rsidRPr="00D231A0" w:rsidRDefault="00D231A0" w:rsidP="00D231A0">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One of the major actions within this strategy is the introduction of a high-protein product called the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meant to cater to the youthful South Asian population who are fond of fitness and healthiness. Nestle is a trusted brand and the product will have a variety of price options, including single-serving sachets, to serve as many customers as possible, and will be promoted primarily in the digital realm and via social media (Yadav, 2023</w:t>
      </w:r>
      <w:r w:rsidRPr="00D231A0">
        <w:rPr>
          <w:rFonts w:ascii="Arial" w:eastAsia="Times New Roman" w:hAnsi="Arial" w:cs="Arial"/>
          <w:color w:val="000000"/>
          <w:kern w:val="0"/>
          <w14:ligatures w14:val="none"/>
        </w:rPr>
        <w:t>).</w:t>
      </w:r>
    </w:p>
    <w:p w14:paraId="5721670C" w14:textId="77777777" w:rsidR="002D370E" w:rsidRPr="00D231A0" w:rsidRDefault="0060372C" w:rsidP="00BE03F1">
      <w:pPr>
        <w:keepNext/>
        <w:spacing w:line="360" w:lineRule="auto"/>
        <w:ind w:left="2160" w:firstLine="720"/>
        <w:rPr>
          <w:rFonts w:ascii="Arial" w:hAnsi="Arial" w:cs="Arial"/>
        </w:rPr>
      </w:pPr>
      <w:r w:rsidRPr="00D231A0">
        <w:rPr>
          <w:rFonts w:ascii="Arial" w:hAnsi="Arial" w:cs="Arial"/>
          <w:noProof/>
        </w:rPr>
        <w:drawing>
          <wp:inline distT="0" distB="0" distL="0" distR="0" wp14:anchorId="00605910" wp14:editId="46ED2C2E">
            <wp:extent cx="1898073" cy="214724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44107" cy="2199324"/>
                    </a:xfrm>
                    <a:prstGeom prst="rect">
                      <a:avLst/>
                    </a:prstGeom>
                    <a:noFill/>
                    <a:ln>
                      <a:noFill/>
                    </a:ln>
                  </pic:spPr>
                </pic:pic>
              </a:graphicData>
            </a:graphic>
          </wp:inline>
        </w:drawing>
      </w:r>
    </w:p>
    <w:p w14:paraId="703306F0" w14:textId="7F5D9C5B" w:rsidR="0060372C" w:rsidRPr="00D231A0" w:rsidRDefault="002D370E" w:rsidP="00BE03F1">
      <w:pPr>
        <w:pStyle w:val="Caption"/>
        <w:spacing w:line="360" w:lineRule="auto"/>
        <w:ind w:left="2880"/>
        <w:rPr>
          <w:rFonts w:ascii="Arial" w:hAnsi="Arial" w:cs="Arial"/>
          <w:sz w:val="24"/>
          <w:szCs w:val="24"/>
        </w:rPr>
      </w:pPr>
      <w:r w:rsidRPr="00D231A0">
        <w:rPr>
          <w:rFonts w:ascii="Arial" w:hAnsi="Arial" w:cs="Arial"/>
          <w:sz w:val="24"/>
          <w:szCs w:val="24"/>
        </w:rPr>
        <w:t xml:space="preserve">     </w:t>
      </w:r>
      <w:bookmarkStart w:id="2" w:name="_Toc214848158"/>
      <w:r w:rsidRPr="00D231A0">
        <w:rPr>
          <w:rFonts w:ascii="Arial" w:hAnsi="Arial" w:cs="Arial"/>
          <w:sz w:val="24"/>
          <w:szCs w:val="24"/>
        </w:rPr>
        <w:t xml:space="preserve">Figure </w:t>
      </w:r>
      <w:r w:rsidRPr="00D231A0">
        <w:rPr>
          <w:rFonts w:ascii="Arial" w:hAnsi="Arial" w:cs="Arial"/>
          <w:sz w:val="24"/>
          <w:szCs w:val="24"/>
        </w:rPr>
        <w:fldChar w:fldCharType="begin"/>
      </w:r>
      <w:r w:rsidRPr="00D231A0">
        <w:rPr>
          <w:rFonts w:ascii="Arial" w:hAnsi="Arial" w:cs="Arial"/>
          <w:sz w:val="24"/>
          <w:szCs w:val="24"/>
        </w:rPr>
        <w:instrText xml:space="preserve"> SEQ Figure \* ARABIC </w:instrText>
      </w:r>
      <w:r w:rsidRPr="00D231A0">
        <w:rPr>
          <w:rFonts w:ascii="Arial" w:hAnsi="Arial" w:cs="Arial"/>
          <w:sz w:val="24"/>
          <w:szCs w:val="24"/>
        </w:rPr>
        <w:fldChar w:fldCharType="separate"/>
      </w:r>
      <w:r w:rsidR="00B61635">
        <w:rPr>
          <w:rFonts w:ascii="Arial" w:hAnsi="Arial" w:cs="Arial"/>
          <w:noProof/>
          <w:sz w:val="24"/>
          <w:szCs w:val="24"/>
        </w:rPr>
        <w:t>1</w:t>
      </w:r>
      <w:r w:rsidRPr="00D231A0">
        <w:rPr>
          <w:rFonts w:ascii="Arial" w:hAnsi="Arial" w:cs="Arial"/>
          <w:sz w:val="24"/>
          <w:szCs w:val="24"/>
        </w:rPr>
        <w:fldChar w:fldCharType="end"/>
      </w:r>
      <w:r w:rsidRPr="00D231A0">
        <w:rPr>
          <w:rFonts w:ascii="Arial" w:hAnsi="Arial" w:cs="Arial"/>
          <w:sz w:val="24"/>
          <w:szCs w:val="24"/>
        </w:rPr>
        <w:t xml:space="preserve">: </w:t>
      </w:r>
      <w:proofErr w:type="spellStart"/>
      <w:r w:rsidRPr="00D231A0">
        <w:rPr>
          <w:rFonts w:ascii="Arial" w:hAnsi="Arial" w:cs="Arial"/>
          <w:sz w:val="24"/>
          <w:szCs w:val="24"/>
        </w:rPr>
        <w:t>MusGain</w:t>
      </w:r>
      <w:proofErr w:type="spellEnd"/>
      <w:r w:rsidRPr="00D231A0">
        <w:rPr>
          <w:rFonts w:ascii="Arial" w:hAnsi="Arial" w:cs="Arial"/>
          <w:sz w:val="24"/>
          <w:szCs w:val="24"/>
        </w:rPr>
        <w:t xml:space="preserve"> Pro brand</w:t>
      </w:r>
      <w:bookmarkEnd w:id="2"/>
    </w:p>
    <w:p w14:paraId="135913A2" w14:textId="0B6599A0" w:rsidR="00B22DE0" w:rsidRPr="00D231A0" w:rsidRDefault="00B22DE0" w:rsidP="00BE03F1">
      <w:pPr>
        <w:spacing w:line="360" w:lineRule="auto"/>
        <w:ind w:left="2880"/>
        <w:rPr>
          <w:rFonts w:ascii="Arial" w:hAnsi="Arial" w:cs="Arial"/>
        </w:rPr>
      </w:pPr>
      <w:r w:rsidRPr="00D231A0">
        <w:rPr>
          <w:rFonts w:ascii="Arial" w:hAnsi="Arial" w:cs="Arial"/>
        </w:rPr>
        <w:t xml:space="preserve">           Source: Author (2025)</w:t>
      </w:r>
    </w:p>
    <w:p w14:paraId="7BDD9DDA"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b/>
          <w:bCs/>
          <w:color w:val="000000"/>
          <w:kern w:val="0"/>
          <w14:ligatures w14:val="none"/>
        </w:rPr>
        <w:t xml:space="preserve">Market segmentation of the </w:t>
      </w:r>
      <w:proofErr w:type="spellStart"/>
      <w:r w:rsidRPr="00D231A0">
        <w:rPr>
          <w:rFonts w:ascii="Arial" w:eastAsia="Times New Roman" w:hAnsi="Arial" w:cs="Arial"/>
          <w:b/>
          <w:bCs/>
          <w:color w:val="000000"/>
          <w:kern w:val="0"/>
          <w14:ligatures w14:val="none"/>
        </w:rPr>
        <w:t>MusGain</w:t>
      </w:r>
      <w:proofErr w:type="spellEnd"/>
      <w:r w:rsidRPr="00D231A0">
        <w:rPr>
          <w:rFonts w:ascii="Arial" w:eastAsia="Times New Roman" w:hAnsi="Arial" w:cs="Arial"/>
          <w:b/>
          <w:bCs/>
          <w:color w:val="000000"/>
          <w:kern w:val="0"/>
          <w14:ligatures w14:val="none"/>
        </w:rPr>
        <w:t xml:space="preserve"> Pro: </w:t>
      </w:r>
      <w:r w:rsidRPr="00D231A0">
        <w:rPr>
          <w:rFonts w:ascii="Arial" w:eastAsia="Times New Roman" w:hAnsi="Arial" w:cs="Arial"/>
          <w:color w:val="000000"/>
          <w:kern w:val="0"/>
          <w14:ligatures w14:val="none"/>
        </w:rPr>
        <w:t>The process of segmenting a large consumer base into smaller customer groups made up of current and potential clients. Market segmentation is a consumer-focused technique that can be used in nearly every kind of market. When segmenting or dividing markets, researchers usually search for shared traits like similar lifestyles, interests, needs, or even comparable demographic characteristics (Camilleri, 2018).</w:t>
      </w:r>
    </w:p>
    <w:p w14:paraId="7FFDA87B"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lastRenderedPageBreak/>
        <w:t xml:space="preserve">Market segmentation divides a larger customer base into subsidiary segments with shared requirements. In the case of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the South Asian target market is </w:t>
      </w:r>
      <w:proofErr w:type="spellStart"/>
      <w:r w:rsidRPr="00D231A0">
        <w:rPr>
          <w:rFonts w:ascii="Arial" w:eastAsia="Times New Roman" w:hAnsi="Arial" w:cs="Arial"/>
          <w:color w:val="000000"/>
          <w:kern w:val="0"/>
          <w14:ligatures w14:val="none"/>
        </w:rPr>
        <w:t>categorised</w:t>
      </w:r>
      <w:proofErr w:type="spellEnd"/>
      <w:r w:rsidRPr="00D231A0">
        <w:rPr>
          <w:rFonts w:ascii="Arial" w:eastAsia="Times New Roman" w:hAnsi="Arial" w:cs="Arial"/>
          <w:color w:val="000000"/>
          <w:kern w:val="0"/>
          <w14:ligatures w14:val="none"/>
        </w:rPr>
        <w:t xml:space="preserve"> into demographic, psychographic and physiographic (Wind and Bell, 2008). </w:t>
      </w:r>
    </w:p>
    <w:p w14:paraId="4135734A" w14:textId="36E7F51D"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The demographic groups will be represented by young adults (18-40) that live in urban areas and are concerned with health matters and middle/older adults that are concerned with healthy aging and muscle retention. The consumer category is divided into the high-income segment (urban) consumers with higher incomes that are willing to use high-quality ready-to-drink protein shakes and the mass-market customers (students, working families) willing to use sachets or powders</w:t>
      </w:r>
      <w:r w:rsidR="00983AF6" w:rsidRPr="00D231A0">
        <w:rPr>
          <w:rFonts w:ascii="Arial" w:eastAsia="Times New Roman" w:hAnsi="Arial" w:cs="Arial"/>
          <w:color w:val="000000"/>
          <w:kern w:val="0"/>
          <w14:ligatures w14:val="none"/>
        </w:rPr>
        <w:t xml:space="preserve"> (Sharma et al., 2006a)</w:t>
      </w:r>
      <w:r w:rsidRPr="00D231A0">
        <w:rPr>
          <w:rFonts w:ascii="Arial" w:eastAsia="Times New Roman" w:hAnsi="Arial" w:cs="Arial"/>
          <w:color w:val="000000"/>
          <w:kern w:val="0"/>
          <w14:ligatures w14:val="none"/>
        </w:rPr>
        <w:t>. </w:t>
      </w:r>
    </w:p>
    <w:p w14:paraId="3A94BA6B" w14:textId="721CC499"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Psychographic segments include fitness addicts seeking performance benefits, wellness customers seeking their daily nutritional adequacy and fullness, and ethical consumers seeking sustainable or plant-based options (Sharma et al., 2006</w:t>
      </w:r>
      <w:r w:rsidR="00983AF6" w:rsidRPr="00D231A0">
        <w:rPr>
          <w:rFonts w:ascii="Arial" w:eastAsia="Times New Roman" w:hAnsi="Arial" w:cs="Arial"/>
          <w:color w:val="000000"/>
          <w:kern w:val="0"/>
          <w14:ligatures w14:val="none"/>
        </w:rPr>
        <w:t>b</w:t>
      </w:r>
      <w:r w:rsidRPr="00D231A0">
        <w:rPr>
          <w:rFonts w:ascii="Arial" w:eastAsia="Times New Roman" w:hAnsi="Arial" w:cs="Arial"/>
          <w:color w:val="000000"/>
          <w:kern w:val="0"/>
          <w14:ligatures w14:val="none"/>
        </w:rPr>
        <w:t>). </w:t>
      </w:r>
    </w:p>
    <w:p w14:paraId="76C08138"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Physiographic segments define the gym-goers and athletes who require protein with a high absorption rate, individuals who have a daily protein deficit because of their diet, and those with a specific need of specialist high-protein formula (elderly, post-illness, etc.). In South Asia, most of these consumers are affected by protein deficiency thus the daily-gap market segment is particularly significant.</w:t>
      </w:r>
    </w:p>
    <w:p w14:paraId="612795CF" w14:textId="77777777" w:rsidR="002D370E" w:rsidRPr="00D231A0" w:rsidRDefault="005B38A0" w:rsidP="00BE03F1">
      <w:pPr>
        <w:keepNext/>
        <w:spacing w:line="360" w:lineRule="auto"/>
        <w:ind w:left="1440" w:firstLine="720"/>
        <w:rPr>
          <w:rFonts w:ascii="Arial" w:hAnsi="Arial" w:cs="Arial"/>
        </w:rPr>
      </w:pPr>
      <w:r w:rsidRPr="00D231A0">
        <w:rPr>
          <w:rFonts w:ascii="Arial" w:hAnsi="Arial" w:cs="Arial"/>
          <w:noProof/>
        </w:rPr>
        <w:drawing>
          <wp:inline distT="0" distB="0" distL="0" distR="0" wp14:anchorId="782C1D57" wp14:editId="0E557345">
            <wp:extent cx="3429000" cy="1974972"/>
            <wp:effectExtent l="0" t="0" r="0" b="6350"/>
            <wp:docPr id="8" name="Picture 8" descr="stdp process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dp process in marke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45587" cy="1984526"/>
                    </a:xfrm>
                    <a:prstGeom prst="rect">
                      <a:avLst/>
                    </a:prstGeom>
                    <a:noFill/>
                    <a:ln>
                      <a:noFill/>
                    </a:ln>
                  </pic:spPr>
                </pic:pic>
              </a:graphicData>
            </a:graphic>
          </wp:inline>
        </w:drawing>
      </w:r>
    </w:p>
    <w:p w14:paraId="19681015" w14:textId="308B20F3" w:rsidR="002D370E" w:rsidRPr="00D231A0" w:rsidRDefault="002D370E" w:rsidP="00BE03F1">
      <w:pPr>
        <w:pStyle w:val="Caption"/>
        <w:spacing w:line="360" w:lineRule="auto"/>
        <w:ind w:left="2880" w:firstLine="720"/>
        <w:rPr>
          <w:rFonts w:ascii="Arial" w:hAnsi="Arial" w:cs="Arial"/>
          <w:sz w:val="24"/>
          <w:szCs w:val="24"/>
        </w:rPr>
      </w:pPr>
      <w:bookmarkStart w:id="3" w:name="_Toc214848159"/>
      <w:r w:rsidRPr="00D231A0">
        <w:rPr>
          <w:rFonts w:ascii="Arial" w:hAnsi="Arial" w:cs="Arial"/>
          <w:sz w:val="24"/>
          <w:szCs w:val="24"/>
        </w:rPr>
        <w:t xml:space="preserve">Figure </w:t>
      </w:r>
      <w:r w:rsidRPr="00D231A0">
        <w:rPr>
          <w:rFonts w:ascii="Arial" w:hAnsi="Arial" w:cs="Arial"/>
          <w:sz w:val="24"/>
          <w:szCs w:val="24"/>
        </w:rPr>
        <w:fldChar w:fldCharType="begin"/>
      </w:r>
      <w:r w:rsidRPr="00D231A0">
        <w:rPr>
          <w:rFonts w:ascii="Arial" w:hAnsi="Arial" w:cs="Arial"/>
          <w:sz w:val="24"/>
          <w:szCs w:val="24"/>
        </w:rPr>
        <w:instrText xml:space="preserve"> SEQ Figure \* ARABIC </w:instrText>
      </w:r>
      <w:r w:rsidRPr="00D231A0">
        <w:rPr>
          <w:rFonts w:ascii="Arial" w:hAnsi="Arial" w:cs="Arial"/>
          <w:sz w:val="24"/>
          <w:szCs w:val="24"/>
        </w:rPr>
        <w:fldChar w:fldCharType="separate"/>
      </w:r>
      <w:r w:rsidR="00B61635">
        <w:rPr>
          <w:rFonts w:ascii="Arial" w:hAnsi="Arial" w:cs="Arial"/>
          <w:noProof/>
          <w:sz w:val="24"/>
          <w:szCs w:val="24"/>
        </w:rPr>
        <w:t>2</w:t>
      </w:r>
      <w:r w:rsidRPr="00D231A0">
        <w:rPr>
          <w:rFonts w:ascii="Arial" w:hAnsi="Arial" w:cs="Arial"/>
          <w:sz w:val="24"/>
          <w:szCs w:val="24"/>
        </w:rPr>
        <w:fldChar w:fldCharType="end"/>
      </w:r>
      <w:r w:rsidRPr="00D231A0">
        <w:rPr>
          <w:rFonts w:ascii="Arial" w:hAnsi="Arial" w:cs="Arial"/>
          <w:sz w:val="24"/>
          <w:szCs w:val="24"/>
        </w:rPr>
        <w:t>: STDP Analysis flow</w:t>
      </w:r>
      <w:bookmarkEnd w:id="3"/>
    </w:p>
    <w:p w14:paraId="0470C3AB" w14:textId="5ED57560" w:rsidR="002D370E" w:rsidRPr="00D231A0" w:rsidRDefault="00B22DE0" w:rsidP="00BE03F1">
      <w:pPr>
        <w:spacing w:line="360" w:lineRule="auto"/>
        <w:ind w:left="720" w:firstLine="720"/>
        <w:rPr>
          <w:rFonts w:ascii="Arial" w:hAnsi="Arial" w:cs="Arial"/>
        </w:rPr>
      </w:pPr>
      <w:r w:rsidRPr="00D231A0">
        <w:rPr>
          <w:rFonts w:ascii="Arial" w:hAnsi="Arial" w:cs="Arial"/>
        </w:rPr>
        <w:t xml:space="preserve">Source: </w:t>
      </w:r>
      <w:hyperlink r:id="rId11" w:history="1">
        <w:r w:rsidR="005717ED" w:rsidRPr="00D231A0">
          <w:rPr>
            <w:rStyle w:val="Hyperlink"/>
            <w:rFonts w:ascii="Arial" w:hAnsi="Arial" w:cs="Arial"/>
          </w:rPr>
          <w:t>https://www.segmentationstudyguide.com/understanding-the-stdp-process-in-marketing/</w:t>
        </w:r>
      </w:hyperlink>
    </w:p>
    <w:p w14:paraId="17D74B2C" w14:textId="77777777" w:rsidR="00BE03F1" w:rsidRPr="00D231A0" w:rsidRDefault="00BE03F1" w:rsidP="00BE03F1">
      <w:pPr>
        <w:spacing w:before="240" w:after="240" w:line="360" w:lineRule="auto"/>
        <w:rPr>
          <w:rFonts w:ascii="Arial" w:eastAsia="Times New Roman" w:hAnsi="Arial" w:cs="Arial"/>
          <w:kern w:val="0"/>
          <w14:ligatures w14:val="none"/>
        </w:rPr>
      </w:pPr>
      <w:proofErr w:type="spellStart"/>
      <w:r w:rsidRPr="00D231A0">
        <w:rPr>
          <w:rFonts w:ascii="Arial" w:eastAsia="Times New Roman" w:hAnsi="Arial" w:cs="Arial"/>
          <w:b/>
          <w:bCs/>
          <w:color w:val="000000"/>
          <w:kern w:val="0"/>
          <w14:ligatures w14:val="none"/>
        </w:rPr>
        <w:lastRenderedPageBreak/>
        <w:t>MusGain</w:t>
      </w:r>
      <w:proofErr w:type="spellEnd"/>
      <w:r w:rsidRPr="00D231A0">
        <w:rPr>
          <w:rFonts w:ascii="Arial" w:eastAsia="Times New Roman" w:hAnsi="Arial" w:cs="Arial"/>
          <w:b/>
          <w:bCs/>
          <w:color w:val="000000"/>
          <w:kern w:val="0"/>
          <w14:ligatures w14:val="none"/>
        </w:rPr>
        <w:t xml:space="preserve"> Pro Targeting and differentiation Strategy: </w:t>
      </w:r>
      <w:r w:rsidRPr="00D231A0">
        <w:rPr>
          <w:rFonts w:ascii="Arial" w:eastAsia="Times New Roman" w:hAnsi="Arial" w:cs="Arial"/>
          <w:color w:val="000000"/>
          <w:kern w:val="0"/>
          <w14:ligatures w14:val="none"/>
        </w:rPr>
        <w:t>The business follows a hierarchy targeting strategy. It is mostly targeting busy, fitness-minded, urban young adults who are likely to purchase high-end ready-to-drink whey variants, achieved via gyms, social media, and online shopping. The target population is a middle-income group and urban and semi-urban students as the secondary target. They do not consume enough protein food; thus, cheap powder sachets or family-sized packages are their choice. </w:t>
      </w:r>
    </w:p>
    <w:p w14:paraId="396B9DB8"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The tertiary target will involve clinical or recovering users, as in elderly or involved in surgery. To them, the Health Science department of Nestle is capable of providing special high protein formulations via the healthcare system. </w:t>
      </w:r>
    </w:p>
    <w:p w14:paraId="708E614D"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Bending demand to supply will is the essence of product differentiation. It is an effort to modify the demand curve's slope for a particular supplier's market offering. A group of suppliers, such a farm cooperative, whose members have decided to act collectively, may likewise use this tactic. It arises from the goal to create a sort of balance in the market by adjusting market demand to supply requirements that are advantageous to the seller (Smith, 1956).</w:t>
      </w:r>
    </w:p>
    <w:p w14:paraId="2137AF6D" w14:textId="77777777" w:rsidR="00BE03F1" w:rsidRPr="00D231A0" w:rsidRDefault="00BE03F1" w:rsidP="00BE03F1">
      <w:pPr>
        <w:spacing w:before="240" w:after="240" w:line="360" w:lineRule="auto"/>
        <w:rPr>
          <w:rFonts w:ascii="Arial" w:eastAsia="Times New Roman" w:hAnsi="Arial" w:cs="Arial"/>
          <w:kern w:val="0"/>
          <w14:ligatures w14:val="none"/>
        </w:rPr>
      </w:pP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can be easily differentiated by pricing its products according to three tiers: premium ready-to-drink, affordable powders, and clinical recipes, and by </w:t>
      </w:r>
      <w:proofErr w:type="spellStart"/>
      <w:r w:rsidRPr="00D231A0">
        <w:rPr>
          <w:rFonts w:ascii="Arial" w:eastAsia="Times New Roman" w:hAnsi="Arial" w:cs="Arial"/>
          <w:color w:val="000000"/>
          <w:kern w:val="0"/>
          <w14:ligatures w14:val="none"/>
        </w:rPr>
        <w:t>flavour</w:t>
      </w:r>
      <w:proofErr w:type="spellEnd"/>
      <w:r w:rsidRPr="00D231A0">
        <w:rPr>
          <w:rFonts w:ascii="Arial" w:eastAsia="Times New Roman" w:hAnsi="Arial" w:cs="Arial"/>
          <w:color w:val="000000"/>
          <w:kern w:val="0"/>
          <w14:ligatures w14:val="none"/>
        </w:rPr>
        <w:t xml:space="preserve"> </w:t>
      </w:r>
      <w:proofErr w:type="spellStart"/>
      <w:r w:rsidRPr="00D231A0">
        <w:rPr>
          <w:rFonts w:ascii="Arial" w:eastAsia="Times New Roman" w:hAnsi="Arial" w:cs="Arial"/>
          <w:color w:val="000000"/>
          <w:kern w:val="0"/>
          <w14:ligatures w14:val="none"/>
        </w:rPr>
        <w:t>customisation</w:t>
      </w:r>
      <w:proofErr w:type="spellEnd"/>
      <w:r w:rsidRPr="00D231A0">
        <w:rPr>
          <w:rFonts w:ascii="Arial" w:eastAsia="Times New Roman" w:hAnsi="Arial" w:cs="Arial"/>
          <w:color w:val="000000"/>
          <w:kern w:val="0"/>
          <w14:ligatures w14:val="none"/>
        </w:rPr>
        <w:t xml:space="preserve"> (mango, cardamom) and science-supported nutrition and sustainable packaging (Market Data Forecast, 2025).</w:t>
      </w:r>
    </w:p>
    <w:p w14:paraId="7051A42A"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b/>
          <w:bCs/>
          <w:color w:val="000000"/>
          <w:kern w:val="0"/>
          <w14:ligatures w14:val="none"/>
        </w:rPr>
        <w:t xml:space="preserve">Positioning of </w:t>
      </w:r>
      <w:proofErr w:type="spellStart"/>
      <w:r w:rsidRPr="00D231A0">
        <w:rPr>
          <w:rFonts w:ascii="Arial" w:eastAsia="Times New Roman" w:hAnsi="Arial" w:cs="Arial"/>
          <w:b/>
          <w:bCs/>
          <w:color w:val="000000"/>
          <w:kern w:val="0"/>
          <w14:ligatures w14:val="none"/>
        </w:rPr>
        <w:t>MusGain</w:t>
      </w:r>
      <w:proofErr w:type="spellEnd"/>
      <w:r w:rsidRPr="00D231A0">
        <w:rPr>
          <w:rFonts w:ascii="Arial" w:eastAsia="Times New Roman" w:hAnsi="Arial" w:cs="Arial"/>
          <w:b/>
          <w:bCs/>
          <w:color w:val="000000"/>
          <w:kern w:val="0"/>
          <w14:ligatures w14:val="none"/>
        </w:rPr>
        <w:t xml:space="preserve"> Pro: </w:t>
      </w:r>
      <w:r w:rsidRPr="00D231A0">
        <w:rPr>
          <w:rFonts w:ascii="Arial" w:eastAsia="Times New Roman" w:hAnsi="Arial" w:cs="Arial"/>
          <w:color w:val="000000"/>
          <w:kern w:val="0"/>
          <w14:ligatures w14:val="none"/>
        </w:rPr>
        <w:t>According to Kotler (2003), brand positioning is the process of making a company's offering or offerings stand distinct in the eyes of consumers. Positioning is the process of performing comparable operations in different ways or performing different activities from rivals (Porter, 2008).</w:t>
      </w:r>
    </w:p>
    <w:p w14:paraId="0713C89C" w14:textId="77777777" w:rsidR="00BE03F1" w:rsidRPr="00D231A0" w:rsidRDefault="00BE03F1" w:rsidP="00BE03F1">
      <w:pPr>
        <w:spacing w:before="240" w:after="240" w:line="360" w:lineRule="auto"/>
        <w:rPr>
          <w:rFonts w:ascii="Arial" w:eastAsia="Times New Roman" w:hAnsi="Arial" w:cs="Arial"/>
          <w:kern w:val="0"/>
          <w14:ligatures w14:val="none"/>
        </w:rPr>
      </w:pP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must be regarded as a credible, convenient, and regionally suitable brand of protein nutrition in South Asia. One of the recommended taglines is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‘Everyday Strength, Scientifically Delivered'. The brand is also founded on three pillars including trust, performance and practicality. With Nestle, one can be assured of several proven nutrition with every serving. Performance is targeting individuals requiring high </w:t>
      </w:r>
      <w:r w:rsidRPr="00D231A0">
        <w:rPr>
          <w:rFonts w:ascii="Arial" w:eastAsia="Times New Roman" w:hAnsi="Arial" w:cs="Arial"/>
          <w:color w:val="000000"/>
          <w:kern w:val="0"/>
          <w14:ligatures w14:val="none"/>
        </w:rPr>
        <w:lastRenderedPageBreak/>
        <w:t>performance protein to build and restore muscles gym goers, sports people, and active professionals. The demonstration of practicality is expressed in the bottle versions with ready-to-use demands in terms of on-the-go bottle, single-serve sachets in terms of cost, and powder packs in terms of family use. </w:t>
      </w:r>
    </w:p>
    <w:p w14:paraId="1D03CB23"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Communication will put some emphasis on protein transparency, regional </w:t>
      </w:r>
      <w:proofErr w:type="spellStart"/>
      <w:r w:rsidRPr="00D231A0">
        <w:rPr>
          <w:rFonts w:ascii="Arial" w:eastAsia="Times New Roman" w:hAnsi="Arial" w:cs="Arial"/>
          <w:color w:val="000000"/>
          <w:kern w:val="0"/>
          <w14:ligatures w14:val="none"/>
        </w:rPr>
        <w:t>flavour</w:t>
      </w:r>
      <w:proofErr w:type="spellEnd"/>
      <w:r w:rsidRPr="00D231A0">
        <w:rPr>
          <w:rFonts w:ascii="Arial" w:eastAsia="Times New Roman" w:hAnsi="Arial" w:cs="Arial"/>
          <w:color w:val="000000"/>
          <w:kern w:val="0"/>
          <w14:ligatures w14:val="none"/>
        </w:rPr>
        <w:t xml:space="preserve"> novelty, and functional advantages like muscle recovery and bone strength. Personalized messages will be delivered through digital fitness influencers, gym partnerships and health professionals. Another sub-brand of plant protein proteins will address the demands of vegetarians and the environmentally-minded customers where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will offer a distinctive product in a South Asian protein market projected to reach US $ 1.74 billion in 2025 at a 5.8% CAGR (Statista, 2025).</w:t>
      </w:r>
    </w:p>
    <w:p w14:paraId="68BC13DB" w14:textId="77777777" w:rsidR="00A02F37" w:rsidRPr="00D231A0" w:rsidRDefault="00A02F37" w:rsidP="00BE03F1">
      <w:pPr>
        <w:spacing w:line="360" w:lineRule="auto"/>
        <w:rPr>
          <w:rFonts w:ascii="Arial" w:hAnsi="Arial" w:cs="Arial"/>
        </w:rPr>
      </w:pPr>
    </w:p>
    <w:p w14:paraId="1A41BD77" w14:textId="024923A2" w:rsidR="00656889" w:rsidRPr="00D231A0" w:rsidRDefault="00A02F37" w:rsidP="00BE03F1">
      <w:pPr>
        <w:pStyle w:val="Heading1"/>
        <w:rPr>
          <w:rFonts w:ascii="Arial" w:hAnsi="Arial" w:cs="Arial"/>
          <w:sz w:val="24"/>
          <w:szCs w:val="24"/>
        </w:rPr>
      </w:pPr>
      <w:bookmarkStart w:id="4" w:name="_Toc215041070"/>
      <w:r w:rsidRPr="00D231A0">
        <w:rPr>
          <w:rFonts w:ascii="Arial" w:hAnsi="Arial" w:cs="Arial"/>
          <w:sz w:val="24"/>
          <w:szCs w:val="24"/>
        </w:rPr>
        <w:t>Marketing Mix Strategy</w:t>
      </w:r>
      <w:r w:rsidR="00955EA2" w:rsidRPr="00D231A0">
        <w:rPr>
          <w:rFonts w:ascii="Arial" w:hAnsi="Arial" w:cs="Arial"/>
          <w:sz w:val="24"/>
          <w:szCs w:val="24"/>
        </w:rPr>
        <w:t xml:space="preserve"> (4Ps)</w:t>
      </w:r>
      <w:r w:rsidRPr="00D231A0">
        <w:rPr>
          <w:rFonts w:ascii="Arial" w:hAnsi="Arial" w:cs="Arial"/>
          <w:sz w:val="24"/>
          <w:szCs w:val="24"/>
        </w:rPr>
        <w:t xml:space="preserve"> of </w:t>
      </w:r>
      <w:proofErr w:type="spellStart"/>
      <w:r w:rsidRPr="00D231A0">
        <w:rPr>
          <w:rFonts w:ascii="Arial" w:hAnsi="Arial" w:cs="Arial"/>
          <w:sz w:val="24"/>
          <w:szCs w:val="24"/>
        </w:rPr>
        <w:t>MusGain</w:t>
      </w:r>
      <w:proofErr w:type="spellEnd"/>
      <w:r w:rsidRPr="00D231A0">
        <w:rPr>
          <w:rFonts w:ascii="Arial" w:hAnsi="Arial" w:cs="Arial"/>
          <w:sz w:val="24"/>
          <w:szCs w:val="24"/>
        </w:rPr>
        <w:t xml:space="preserve"> Pro</w:t>
      </w:r>
      <w:bookmarkEnd w:id="4"/>
    </w:p>
    <w:p w14:paraId="572579F7"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The marketing mix encompasses the key aspects or ingredients that make up a company's entire marketing strategy. Furthermore, it includes the external and internal variables that influence a company's marketing activities, which the marketing manager must manage strategically to produce a successful program (Borden, 1964). McCarthy (1964) demonstrated the “marketing mix”, often referred to as the “4Ps”, as a means of translating marketing planning into practice. These 4Ps are required to </w:t>
      </w:r>
      <w:proofErr w:type="spellStart"/>
      <w:r w:rsidRPr="00D231A0">
        <w:rPr>
          <w:rFonts w:ascii="Arial" w:eastAsia="Times New Roman" w:hAnsi="Arial" w:cs="Arial"/>
          <w:color w:val="000000"/>
          <w:kern w:val="0"/>
          <w14:ligatures w14:val="none"/>
        </w:rPr>
        <w:t>utilise</w:t>
      </w:r>
      <w:proofErr w:type="spellEnd"/>
      <w:r w:rsidRPr="00D231A0">
        <w:rPr>
          <w:rFonts w:ascii="Arial" w:eastAsia="Times New Roman" w:hAnsi="Arial" w:cs="Arial"/>
          <w:color w:val="000000"/>
          <w:kern w:val="0"/>
          <w14:ligatures w14:val="none"/>
        </w:rPr>
        <w:t xml:space="preserve"> while making marketing strategy and these are Product, Price, Place, Promotion.</w:t>
      </w:r>
    </w:p>
    <w:p w14:paraId="53C4CC6D" w14:textId="242142C5"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b/>
          <w:bCs/>
          <w:color w:val="000000"/>
          <w:kern w:val="0"/>
          <w14:ligatures w14:val="none"/>
        </w:rPr>
        <w:t xml:space="preserve">Product: </w:t>
      </w:r>
      <w:r w:rsidRPr="00D231A0">
        <w:rPr>
          <w:rFonts w:ascii="Arial" w:eastAsia="Times New Roman" w:hAnsi="Arial" w:cs="Arial"/>
          <w:color w:val="000000"/>
          <w:kern w:val="0"/>
          <w14:ligatures w14:val="none"/>
        </w:rPr>
        <w:t>According to Kotler and Amstrong (2010</w:t>
      </w:r>
      <w:proofErr w:type="gramStart"/>
      <w:r w:rsidRPr="00D231A0">
        <w:rPr>
          <w:rFonts w:ascii="Arial" w:eastAsia="Times New Roman" w:hAnsi="Arial" w:cs="Arial"/>
          <w:color w:val="000000"/>
          <w:kern w:val="0"/>
          <w14:ligatures w14:val="none"/>
        </w:rPr>
        <w:t>),</w:t>
      </w:r>
      <w:r w:rsidRPr="00D231A0">
        <w:rPr>
          <w:rFonts w:ascii="Arial" w:eastAsia="Times New Roman" w:hAnsi="Arial" w:cs="Arial"/>
          <w:b/>
          <w:bCs/>
          <w:color w:val="000000"/>
          <w:kern w:val="0"/>
          <w14:ligatures w14:val="none"/>
        </w:rPr>
        <w:t>“</w:t>
      </w:r>
      <w:proofErr w:type="gramEnd"/>
      <w:r w:rsidRPr="00D231A0">
        <w:rPr>
          <w:rFonts w:ascii="Arial" w:eastAsia="Times New Roman" w:hAnsi="Arial" w:cs="Arial"/>
          <w:color w:val="000000"/>
          <w:kern w:val="0"/>
          <w14:ligatures w14:val="none"/>
        </w:rPr>
        <w:t xml:space="preserve">the product is what can be offered to the market, to get attention, to be the acquisition of used or used, and can satisfy the wants or needs.” The products by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need to be science-based to suit the global innovation concept of Nestle. The mix will include: </w:t>
      </w:r>
    </w:p>
    <w:p w14:paraId="3FE34751" w14:textId="77777777" w:rsidR="00BE03F1" w:rsidRPr="00D231A0" w:rsidRDefault="00BE03F1" w:rsidP="00BE03F1">
      <w:pPr>
        <w:spacing w:before="240" w:after="240" w:line="360" w:lineRule="auto"/>
        <w:ind w:left="360"/>
        <w:rPr>
          <w:rFonts w:ascii="Arial" w:eastAsia="Times New Roman" w:hAnsi="Arial" w:cs="Arial"/>
          <w:kern w:val="0"/>
          <w14:ligatures w14:val="none"/>
        </w:rPr>
      </w:pPr>
      <w:r w:rsidRPr="00D231A0">
        <w:rPr>
          <w:rFonts w:ascii="Arial" w:eastAsia="Times New Roman" w:hAnsi="Arial" w:cs="Arial"/>
          <w:color w:val="000000"/>
          <w:kern w:val="0"/>
          <w14:ligatures w14:val="none"/>
        </w:rPr>
        <w:t>1.     Fast absorbing whey protein shaking beverages ready to drink (RTD) that are targeting active users. </w:t>
      </w:r>
    </w:p>
    <w:p w14:paraId="0D33C07A" w14:textId="77777777" w:rsidR="00BE03F1" w:rsidRPr="00D231A0" w:rsidRDefault="00BE03F1" w:rsidP="00BE03F1">
      <w:pPr>
        <w:spacing w:before="240" w:after="240" w:line="360" w:lineRule="auto"/>
        <w:ind w:left="360"/>
        <w:rPr>
          <w:rFonts w:ascii="Arial" w:eastAsia="Times New Roman" w:hAnsi="Arial" w:cs="Arial"/>
          <w:kern w:val="0"/>
          <w14:ligatures w14:val="none"/>
        </w:rPr>
      </w:pPr>
      <w:r w:rsidRPr="00D231A0">
        <w:rPr>
          <w:rFonts w:ascii="Arial" w:eastAsia="Times New Roman" w:hAnsi="Arial" w:cs="Arial"/>
          <w:color w:val="000000"/>
          <w:kern w:val="0"/>
          <w14:ligatures w14:val="none"/>
        </w:rPr>
        <w:lastRenderedPageBreak/>
        <w:t xml:space="preserve">2. </w:t>
      </w:r>
      <w:r w:rsidRPr="00D231A0">
        <w:rPr>
          <w:rFonts w:ascii="Arial" w:eastAsia="Times New Roman" w:hAnsi="Arial" w:cs="Arial"/>
          <w:color w:val="000000"/>
          <w:kern w:val="0"/>
          <w14:ligatures w14:val="none"/>
        </w:rPr>
        <w:tab/>
        <w:t>Easy to use on the go and cheap to trial, a single-serve sachet (powder) is highly popular with the majority of users. </w:t>
      </w:r>
    </w:p>
    <w:p w14:paraId="156BB7D4" w14:textId="77777777" w:rsidR="00BE03F1" w:rsidRPr="00D231A0" w:rsidRDefault="00BE03F1" w:rsidP="00BE03F1">
      <w:pPr>
        <w:spacing w:before="240" w:after="240" w:line="360" w:lineRule="auto"/>
        <w:ind w:left="360"/>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3. </w:t>
      </w:r>
      <w:r w:rsidRPr="00D231A0">
        <w:rPr>
          <w:rFonts w:ascii="Arial" w:eastAsia="Times New Roman" w:hAnsi="Arial" w:cs="Arial"/>
          <w:color w:val="000000"/>
          <w:kern w:val="0"/>
          <w14:ligatures w14:val="none"/>
        </w:rPr>
        <w:tab/>
        <w:t>Powder packs containing micronutrients, which are of daily nutritional value and are used by families. </w:t>
      </w:r>
    </w:p>
    <w:p w14:paraId="6077F9A2" w14:textId="77777777" w:rsidR="00BE03F1" w:rsidRPr="00D231A0" w:rsidRDefault="00BE03F1" w:rsidP="00BE03F1">
      <w:pPr>
        <w:spacing w:before="240" w:after="240" w:line="360" w:lineRule="auto"/>
        <w:ind w:left="360"/>
        <w:rPr>
          <w:rFonts w:ascii="Arial" w:eastAsia="Times New Roman" w:hAnsi="Arial" w:cs="Arial"/>
          <w:kern w:val="0"/>
          <w14:ligatures w14:val="none"/>
        </w:rPr>
      </w:pPr>
      <w:r w:rsidRPr="00D231A0">
        <w:rPr>
          <w:rFonts w:ascii="Arial" w:eastAsia="Times New Roman" w:hAnsi="Arial" w:cs="Arial"/>
          <w:color w:val="000000"/>
          <w:kern w:val="0"/>
          <w14:ligatures w14:val="none"/>
        </w:rPr>
        <w:t>4.     High-protein recovery, elderly, or post-illness, high-protein versions, of clinical grade. </w:t>
      </w:r>
    </w:p>
    <w:p w14:paraId="75B0AFD6" w14:textId="34BFDB9B"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Also, it may be needed to include a plant-based protein (pea or soy) in case vegetarians or ethics/environmentally concerned people will purchase it. This aligns with the focus Nestle places on new ideas, health and diversity</w:t>
      </w:r>
      <w:r w:rsidR="0004733D" w:rsidRPr="00D231A0">
        <w:rPr>
          <w:rFonts w:ascii="Arial" w:eastAsia="Times New Roman" w:hAnsi="Arial" w:cs="Arial"/>
          <w:color w:val="000000"/>
          <w:kern w:val="0"/>
          <w14:ligatures w14:val="none"/>
        </w:rPr>
        <w:t xml:space="preserve"> (Ang, </w:t>
      </w:r>
      <w:r w:rsidR="007B4FBB" w:rsidRPr="00D231A0">
        <w:rPr>
          <w:rFonts w:ascii="Arial" w:eastAsia="Times New Roman" w:hAnsi="Arial" w:cs="Arial"/>
          <w:color w:val="000000"/>
          <w:kern w:val="0"/>
          <w14:ligatures w14:val="none"/>
        </w:rPr>
        <w:t>Leong and Kotler, 2000).</w:t>
      </w:r>
    </w:p>
    <w:p w14:paraId="1656ABD7"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Moreover, the packaging and branding should demonstrate a scientific trust. The label will include such information as the number of grams of protein per serving. The claims will be supported with the Nestle R&amp;D, and the packaging will also be made of the recyclable material. It displays the quality and sustainability that Nestle </w:t>
      </w:r>
      <w:proofErr w:type="spellStart"/>
      <w:r w:rsidRPr="00D231A0">
        <w:rPr>
          <w:rFonts w:ascii="Arial" w:eastAsia="Times New Roman" w:hAnsi="Arial" w:cs="Arial"/>
          <w:color w:val="000000"/>
          <w:kern w:val="0"/>
          <w14:ligatures w14:val="none"/>
        </w:rPr>
        <w:t>endeavours</w:t>
      </w:r>
      <w:proofErr w:type="spellEnd"/>
      <w:r w:rsidRPr="00D231A0">
        <w:rPr>
          <w:rFonts w:ascii="Arial" w:eastAsia="Times New Roman" w:hAnsi="Arial" w:cs="Arial"/>
          <w:color w:val="000000"/>
          <w:kern w:val="0"/>
          <w14:ligatures w14:val="none"/>
        </w:rPr>
        <w:t xml:space="preserve"> to maintain, in accordance with its philosophy on a world-wide level.</w:t>
      </w:r>
    </w:p>
    <w:p w14:paraId="160B1DC4"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b/>
          <w:bCs/>
          <w:color w:val="000000"/>
          <w:kern w:val="0"/>
          <w14:ligatures w14:val="none"/>
        </w:rPr>
        <w:t xml:space="preserve">Price: </w:t>
      </w:r>
      <w:r w:rsidRPr="00D231A0">
        <w:rPr>
          <w:rFonts w:ascii="Arial" w:eastAsia="Times New Roman" w:hAnsi="Arial" w:cs="Arial"/>
          <w:color w:val="000000"/>
          <w:kern w:val="0"/>
          <w14:ligatures w14:val="none"/>
        </w:rPr>
        <w:t xml:space="preserve">According to </w:t>
      </w:r>
      <w:proofErr w:type="spellStart"/>
      <w:r w:rsidRPr="00D231A0">
        <w:rPr>
          <w:rFonts w:ascii="Arial" w:eastAsia="Times New Roman" w:hAnsi="Arial" w:cs="Arial"/>
          <w:color w:val="000000"/>
          <w:kern w:val="0"/>
          <w14:ligatures w14:val="none"/>
        </w:rPr>
        <w:t>Yudelson</w:t>
      </w:r>
      <w:proofErr w:type="spellEnd"/>
      <w:r w:rsidRPr="00D231A0">
        <w:rPr>
          <w:rFonts w:ascii="Arial" w:eastAsia="Times New Roman" w:hAnsi="Arial" w:cs="Arial"/>
          <w:color w:val="000000"/>
          <w:kern w:val="0"/>
          <w14:ligatures w14:val="none"/>
        </w:rPr>
        <w:t xml:space="preserve"> (1999), the price should encompass the acquirer's monetary, time, and effort invested in purchasing the goods.</w:t>
      </w:r>
      <w:r w:rsidRPr="00D231A0">
        <w:rPr>
          <w:rFonts w:ascii="Arial" w:eastAsia="Times New Roman" w:hAnsi="Arial" w:cs="Arial"/>
          <w:b/>
          <w:bCs/>
          <w:color w:val="000000"/>
          <w:kern w:val="0"/>
          <w14:ligatures w14:val="none"/>
        </w:rPr>
        <w:t xml:space="preserve">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will adopt tiered (multifaceted) pricing, one of the strategies adopted by Nestle. At the upper scale, premium RTDs are aimed at city shoppers who are fitness-conscious. In South Asia, low pricing of sachets will attract price-sensitive mass-market buyers to enable them to try them. The value-based price of family-size packs will attract the mainstream consumers that will value nutrition over brand name.</w:t>
      </w:r>
    </w:p>
    <w:p w14:paraId="4381A6B2"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The pack-price ladders are also used, Nestle offers smaller sachets to be convenient and bigger packs to serve cheaper. The occasional discounts or deal bargains to make the trial and repeat purchase transactions take place, particularly in the growing market. These are the choices of good-better-best which cater to various customer groups.</w:t>
      </w:r>
    </w:p>
    <w:p w14:paraId="2B119277" w14:textId="77777777" w:rsidR="00B22DE0" w:rsidRPr="00D231A0" w:rsidRDefault="00CE6EEB" w:rsidP="00BE03F1">
      <w:pPr>
        <w:keepNext/>
        <w:spacing w:line="360" w:lineRule="auto"/>
        <w:ind w:left="2160" w:firstLine="720"/>
        <w:rPr>
          <w:rFonts w:ascii="Arial" w:hAnsi="Arial" w:cs="Arial"/>
        </w:rPr>
      </w:pPr>
      <w:r w:rsidRPr="00D231A0">
        <w:rPr>
          <w:rFonts w:ascii="Arial" w:hAnsi="Arial" w:cs="Arial"/>
          <w:noProof/>
        </w:rPr>
        <w:lastRenderedPageBreak/>
        <w:drawing>
          <wp:inline distT="0" distB="0" distL="0" distR="0" wp14:anchorId="24A84337" wp14:editId="0941A880">
            <wp:extent cx="2341418" cy="2341418"/>
            <wp:effectExtent l="0" t="0" r="190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53001" cy="2353001"/>
                    </a:xfrm>
                    <a:prstGeom prst="rect">
                      <a:avLst/>
                    </a:prstGeom>
                    <a:noFill/>
                    <a:ln>
                      <a:noFill/>
                    </a:ln>
                  </pic:spPr>
                </pic:pic>
              </a:graphicData>
            </a:graphic>
          </wp:inline>
        </w:drawing>
      </w:r>
    </w:p>
    <w:p w14:paraId="2341CE68" w14:textId="5B571F30" w:rsidR="00CE6EEB" w:rsidRPr="00D231A0" w:rsidRDefault="00B22DE0" w:rsidP="00BE03F1">
      <w:pPr>
        <w:pStyle w:val="Caption"/>
        <w:spacing w:line="360" w:lineRule="auto"/>
        <w:ind w:left="2880" w:firstLine="720"/>
        <w:rPr>
          <w:rFonts w:ascii="Arial" w:eastAsia="Times New Roman" w:hAnsi="Arial" w:cs="Arial"/>
          <w:kern w:val="0"/>
          <w:sz w:val="24"/>
          <w:szCs w:val="24"/>
          <w14:ligatures w14:val="none"/>
        </w:rPr>
      </w:pPr>
      <w:bookmarkStart w:id="5" w:name="_Toc214848160"/>
      <w:r w:rsidRPr="00D231A0">
        <w:rPr>
          <w:rFonts w:ascii="Arial" w:hAnsi="Arial" w:cs="Arial"/>
          <w:sz w:val="24"/>
          <w:szCs w:val="24"/>
        </w:rPr>
        <w:t xml:space="preserve">Figure </w:t>
      </w:r>
      <w:r w:rsidR="00716EF1" w:rsidRPr="00D231A0">
        <w:rPr>
          <w:rFonts w:ascii="Arial" w:hAnsi="Arial" w:cs="Arial"/>
          <w:sz w:val="24"/>
          <w:szCs w:val="24"/>
        </w:rPr>
        <w:fldChar w:fldCharType="begin"/>
      </w:r>
      <w:r w:rsidR="00716EF1" w:rsidRPr="00D231A0">
        <w:rPr>
          <w:rFonts w:ascii="Arial" w:hAnsi="Arial" w:cs="Arial"/>
          <w:sz w:val="24"/>
          <w:szCs w:val="24"/>
        </w:rPr>
        <w:instrText xml:space="preserve"> SEQ Figure \* ARABIC </w:instrText>
      </w:r>
      <w:r w:rsidR="00716EF1" w:rsidRPr="00D231A0">
        <w:rPr>
          <w:rFonts w:ascii="Arial" w:hAnsi="Arial" w:cs="Arial"/>
          <w:sz w:val="24"/>
          <w:szCs w:val="24"/>
        </w:rPr>
        <w:fldChar w:fldCharType="separate"/>
      </w:r>
      <w:r w:rsidR="00B61635">
        <w:rPr>
          <w:rFonts w:ascii="Arial" w:hAnsi="Arial" w:cs="Arial"/>
          <w:noProof/>
          <w:sz w:val="24"/>
          <w:szCs w:val="24"/>
        </w:rPr>
        <w:t>3</w:t>
      </w:r>
      <w:r w:rsidR="00716EF1" w:rsidRPr="00D231A0">
        <w:rPr>
          <w:rFonts w:ascii="Arial" w:hAnsi="Arial" w:cs="Arial"/>
          <w:noProof/>
          <w:sz w:val="24"/>
          <w:szCs w:val="24"/>
        </w:rPr>
        <w:fldChar w:fldCharType="end"/>
      </w:r>
      <w:r w:rsidRPr="00D231A0">
        <w:rPr>
          <w:rFonts w:ascii="Arial" w:hAnsi="Arial" w:cs="Arial"/>
          <w:sz w:val="24"/>
          <w:szCs w:val="24"/>
        </w:rPr>
        <w:t>: Marketing Mix (4Ps)</w:t>
      </w:r>
      <w:bookmarkEnd w:id="5"/>
    </w:p>
    <w:p w14:paraId="090EB3E0" w14:textId="75348089" w:rsidR="00B22DE0" w:rsidRPr="00D231A0" w:rsidRDefault="00B22DE0" w:rsidP="00C14754">
      <w:pPr>
        <w:spacing w:line="360" w:lineRule="auto"/>
        <w:ind w:left="1440" w:firstLine="720"/>
        <w:rPr>
          <w:rFonts w:ascii="Arial" w:eastAsia="Times New Roman" w:hAnsi="Arial" w:cs="Arial"/>
          <w:kern w:val="0"/>
          <w14:ligatures w14:val="none"/>
        </w:rPr>
      </w:pPr>
      <w:r w:rsidRPr="00D231A0">
        <w:rPr>
          <w:rFonts w:ascii="Arial" w:eastAsia="Times New Roman" w:hAnsi="Arial" w:cs="Arial"/>
          <w:kern w:val="0"/>
          <w14:ligatures w14:val="none"/>
        </w:rPr>
        <w:t>Source: https://www.researchgate.net/publication/329124771</w:t>
      </w:r>
    </w:p>
    <w:p w14:paraId="3F0B8341"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b/>
          <w:bCs/>
          <w:color w:val="000000"/>
          <w:kern w:val="0"/>
          <w14:ligatures w14:val="none"/>
        </w:rPr>
        <w:t xml:space="preserve">Place / Distribution: </w:t>
      </w:r>
      <w:r w:rsidRPr="00D231A0">
        <w:rPr>
          <w:rFonts w:ascii="Arial" w:eastAsia="Times New Roman" w:hAnsi="Arial" w:cs="Arial"/>
          <w:color w:val="000000"/>
          <w:kern w:val="0"/>
          <w14:ligatures w14:val="none"/>
        </w:rPr>
        <w:t xml:space="preserve">According to Matola (2009), distribution refers to the decisions and acts involved in moving items from production to consumption. The distribution strategy will be based on Nestle's developed imperium network. Moreover, this marketing mix can be applied in alignment of segmentation and targeting of the expected consumers in the regional areas. In fact,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will reach:</w:t>
      </w:r>
    </w:p>
    <w:p w14:paraId="37B72F94" w14:textId="145567CF" w:rsidR="00BE03F1" w:rsidRPr="00D231A0" w:rsidRDefault="00BE03F1" w:rsidP="00BE03F1">
      <w:pPr>
        <w:pStyle w:val="ListParagraph"/>
        <w:numPr>
          <w:ilvl w:val="0"/>
          <w:numId w:val="9"/>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RTD to gyms, fitness centers and convenience stores in metro cities to performance-oriented customers. </w:t>
      </w:r>
    </w:p>
    <w:p w14:paraId="09A907E0" w14:textId="1A1BC51F" w:rsidR="00BE03F1" w:rsidRPr="00D231A0" w:rsidRDefault="00BE03F1" w:rsidP="00BE03F1">
      <w:pPr>
        <w:pStyle w:val="ListParagraph"/>
        <w:numPr>
          <w:ilvl w:val="0"/>
          <w:numId w:val="9"/>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supermarkets, local groceries, pharmacies and college cafeterias with sachets to target the young adults and the students. </w:t>
      </w:r>
    </w:p>
    <w:p w14:paraId="349FDE50" w14:textId="381E52AF" w:rsidR="00BE03F1" w:rsidRPr="00D231A0" w:rsidRDefault="00BE03F1" w:rsidP="00BE03F1">
      <w:pPr>
        <w:pStyle w:val="ListParagraph"/>
        <w:numPr>
          <w:ilvl w:val="0"/>
          <w:numId w:val="9"/>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family-packs in large retail chains and hypermarkets among other products of family nutrition. </w:t>
      </w:r>
    </w:p>
    <w:p w14:paraId="742076E8" w14:textId="4556FE3E" w:rsidR="00BE03F1" w:rsidRPr="00D231A0" w:rsidRDefault="00BE03F1" w:rsidP="00BE03F1">
      <w:pPr>
        <w:pStyle w:val="ListParagraph"/>
        <w:numPr>
          <w:ilvl w:val="0"/>
          <w:numId w:val="9"/>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clinical formulas via healthcare and medical nutrition channels- hospitals, clinic, pharmacy- via Nestle Health Science networks.</w:t>
      </w:r>
    </w:p>
    <w:p w14:paraId="1C7E85F0"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The customers in the cities and urban and semi-urban areas will be served by e-commerce platforms like Amazon and online grocery stores locally. The personal online Nestle platform may also be used. This reflects on the extensive distribution and local channel adjustment at Nestle.</w:t>
      </w:r>
    </w:p>
    <w:p w14:paraId="3CE51224"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b/>
          <w:bCs/>
          <w:color w:val="000000"/>
          <w:kern w:val="0"/>
          <w14:ligatures w14:val="none"/>
        </w:rPr>
        <w:lastRenderedPageBreak/>
        <w:t xml:space="preserve">Promotion: </w:t>
      </w:r>
      <w:r w:rsidRPr="00D231A0">
        <w:rPr>
          <w:rFonts w:ascii="Arial" w:eastAsia="Times New Roman" w:hAnsi="Arial" w:cs="Arial"/>
          <w:color w:val="000000"/>
          <w:kern w:val="0"/>
          <w14:ligatures w14:val="none"/>
        </w:rPr>
        <w:t>Promotion refers to market communication through individual selling, advertising, direct marketing, public relations, sales promotion, and sponsorship. Promotion allows companies to communicate with consumers about their products (Khan, 2014).</w:t>
      </w:r>
      <w:r w:rsidRPr="00D231A0">
        <w:rPr>
          <w:rFonts w:ascii="Arial" w:eastAsia="Times New Roman" w:hAnsi="Arial" w:cs="Arial"/>
          <w:b/>
          <w:bCs/>
          <w:color w:val="000000"/>
          <w:kern w:val="0"/>
          <w14:ligatures w14:val="none"/>
        </w:rPr>
        <w:t xml:space="preserve"> </w:t>
      </w:r>
      <w:r w:rsidRPr="00D231A0">
        <w:rPr>
          <w:rFonts w:ascii="Arial" w:eastAsia="Times New Roman" w:hAnsi="Arial" w:cs="Arial"/>
          <w:color w:val="000000"/>
          <w:kern w:val="0"/>
          <w14:ligatures w14:val="none"/>
        </w:rPr>
        <w:t>Marketing will be a combination of international and local appeal. The strategy consists of digital, retail, and healthcare avenues.</w:t>
      </w:r>
    </w:p>
    <w:p w14:paraId="3AF5D3A2" w14:textId="1295010E" w:rsidR="00BE03F1" w:rsidRPr="00D231A0"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In store marketing: This promotion technique is specially designed for gyms, supermarkets, and pharmacies. The part of sampling will generate trial particularly new local </w:t>
      </w:r>
      <w:proofErr w:type="spellStart"/>
      <w:r w:rsidRPr="00D231A0">
        <w:rPr>
          <w:rFonts w:ascii="Arial" w:eastAsia="Times New Roman" w:hAnsi="Arial" w:cs="Arial"/>
          <w:color w:val="000000"/>
          <w:kern w:val="0"/>
          <w14:ligatures w14:val="none"/>
        </w:rPr>
        <w:t>flavours</w:t>
      </w:r>
      <w:proofErr w:type="spellEnd"/>
      <w:r w:rsidRPr="00D231A0">
        <w:rPr>
          <w:rFonts w:ascii="Arial" w:eastAsia="Times New Roman" w:hAnsi="Arial" w:cs="Arial"/>
          <w:color w:val="000000"/>
          <w:kern w:val="0"/>
          <w14:ligatures w14:val="none"/>
        </w:rPr>
        <w:t xml:space="preserve"> (mango, cardamom). Any improvement and other feedback from local customers can be obtained directly from the stores.</w:t>
      </w:r>
    </w:p>
    <w:p w14:paraId="03C4BE8E" w14:textId="605AA4F1" w:rsidR="00BE03F1" w:rsidRPr="00D231A0"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Loyalty and subscription: Nestle provides subscribe-and-saves in e-commerce and promotional packages (e.g., RTD plus sachet bundle). Gym-goers or healthcare partners also can be rewarded. This promotional technique is highly aligned with Nestlé's brand trust and motivation to the existing customers.</w:t>
      </w:r>
    </w:p>
    <w:p w14:paraId="2DCEF2C0" w14:textId="141E75D1" w:rsidR="00BE03F1" w:rsidRPr="00D231A0"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Publicity in health care: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might collaborate with diet professionals, hospitals, and clinics. Furthermore, it can sponsor seminars and protein recovery, ageing and clinical nutrition materials available to consolidate the image of Nestle advanced nutrition science.</w:t>
      </w:r>
    </w:p>
    <w:p w14:paraId="77438D2F" w14:textId="72F4C6C4" w:rsidR="00BE03F1" w:rsidRPr="00D231A0"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Digital and social media: Collaborating in-key market team fitness influencers, nutritionists and micro-influencers (India, Pakistan, Bangladesh), this promotional strategy will help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establish a position in the regional markets. The content will focus on the evidence-based benefits, actual application (to the gym, everyday), and protein transparency (quantity of each serving)</w:t>
      </w:r>
      <w:r w:rsidR="007E1479" w:rsidRPr="00D231A0">
        <w:rPr>
          <w:rFonts w:ascii="Arial" w:eastAsia="Times New Roman" w:hAnsi="Arial" w:cs="Arial"/>
          <w:color w:val="000000"/>
          <w:kern w:val="0"/>
          <w14:ligatures w14:val="none"/>
        </w:rPr>
        <w:t xml:space="preserve"> (</w:t>
      </w:r>
      <w:r w:rsidR="00AF3F9E" w:rsidRPr="00D231A0">
        <w:rPr>
          <w:rFonts w:ascii="Arial" w:eastAsia="Times New Roman" w:hAnsi="Arial" w:cs="Arial"/>
          <w:color w:val="000000"/>
          <w:kern w:val="0"/>
          <w14:ligatures w14:val="none"/>
        </w:rPr>
        <w:t xml:space="preserve">Saini and Mukul, </w:t>
      </w:r>
      <w:r w:rsidR="005F2B02" w:rsidRPr="00D231A0">
        <w:rPr>
          <w:rFonts w:ascii="Arial" w:eastAsia="Times New Roman" w:hAnsi="Arial" w:cs="Arial"/>
          <w:color w:val="000000"/>
          <w:kern w:val="0"/>
          <w14:ligatures w14:val="none"/>
        </w:rPr>
        <w:t>2012).</w:t>
      </w:r>
    </w:p>
    <w:p w14:paraId="758C3151" w14:textId="357E7925" w:rsidR="00BE03F1" w:rsidRPr="00D231A0"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Mass media: The new brand of Nestle can be advertised through TV, radio, and outdoor advertisements in regional languages to create awareness on the issue of protein deficiency and wellness. Trust and cultural resonance can be enhanced with the help of local celebrities (sports, film). Some of the messaging will be based on the philosophy of shared-value of Nestle, which is health, well-being, and sustainable nutrition.</w:t>
      </w:r>
    </w:p>
    <w:p w14:paraId="360AFB94" w14:textId="77777777" w:rsidR="00955EA2" w:rsidRPr="00D231A0" w:rsidRDefault="00955EA2" w:rsidP="00BE03F1">
      <w:pPr>
        <w:pStyle w:val="ListParagraph"/>
        <w:spacing w:line="360" w:lineRule="auto"/>
        <w:ind w:left="360"/>
        <w:rPr>
          <w:rFonts w:ascii="Arial" w:eastAsia="Times New Roman" w:hAnsi="Arial" w:cs="Arial"/>
          <w:kern w:val="0"/>
          <w14:ligatures w14:val="none"/>
        </w:rPr>
      </w:pPr>
    </w:p>
    <w:p w14:paraId="1B4EC15E" w14:textId="0D3DAFD5" w:rsidR="00691662" w:rsidRPr="00D231A0" w:rsidRDefault="00792C01" w:rsidP="00BE03F1">
      <w:pPr>
        <w:pStyle w:val="Heading1"/>
        <w:rPr>
          <w:rFonts w:ascii="Arial" w:eastAsia="Times New Roman" w:hAnsi="Arial" w:cs="Arial"/>
          <w:sz w:val="24"/>
          <w:szCs w:val="24"/>
        </w:rPr>
      </w:pPr>
      <w:bookmarkStart w:id="6" w:name="_Toc215041071"/>
      <w:r w:rsidRPr="00D231A0">
        <w:rPr>
          <w:rFonts w:ascii="Arial" w:eastAsia="Times New Roman" w:hAnsi="Arial" w:cs="Arial"/>
          <w:sz w:val="24"/>
          <w:szCs w:val="24"/>
        </w:rPr>
        <w:lastRenderedPageBreak/>
        <w:t xml:space="preserve">Marketing Strategy Pitch for </w:t>
      </w:r>
      <w:proofErr w:type="spellStart"/>
      <w:r w:rsidRPr="00D231A0">
        <w:rPr>
          <w:rFonts w:ascii="Arial" w:eastAsia="Times New Roman" w:hAnsi="Arial" w:cs="Arial"/>
          <w:sz w:val="24"/>
          <w:szCs w:val="24"/>
        </w:rPr>
        <w:t>MusGain</w:t>
      </w:r>
      <w:proofErr w:type="spellEnd"/>
      <w:r w:rsidRPr="00D231A0">
        <w:rPr>
          <w:rFonts w:ascii="Arial" w:eastAsia="Times New Roman" w:hAnsi="Arial" w:cs="Arial"/>
          <w:sz w:val="24"/>
          <w:szCs w:val="24"/>
        </w:rPr>
        <w:t xml:space="preserve"> Pro Brand</w:t>
      </w:r>
      <w:bookmarkEnd w:id="6"/>
      <w:r w:rsidRPr="00D231A0">
        <w:rPr>
          <w:rFonts w:ascii="Arial" w:eastAsia="Times New Roman" w:hAnsi="Arial" w:cs="Arial"/>
          <w:sz w:val="24"/>
          <w:szCs w:val="24"/>
        </w:rPr>
        <w:t xml:space="preserve"> </w:t>
      </w:r>
    </w:p>
    <w:p w14:paraId="732014F0"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Nestle presents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a newly launched brand for South Asian regional strategic market entry with a new product line of protein nutrition market. The brand is motivated by rising fitness and expanding health consciousness particularly to the active and young generation.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combines global expertise of Nestle in nutrition with forecasting the perception and trends to the regional long standing protein deficiency of the youth which is designed as product oriented and science backed protein brand to become convenient, economic and high-quality supplementation.</w:t>
      </w:r>
    </w:p>
    <w:p w14:paraId="30D023DD" w14:textId="4CA73F0A"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A multi faceted product orientation with strategic alignment, the brand is driven to develop RTD (ready to drink), premium specifications for focused customers, economic and affordable sachets for regular masses, </w:t>
      </w:r>
      <w:proofErr w:type="spellStart"/>
      <w:r w:rsidRPr="00D231A0">
        <w:rPr>
          <w:rFonts w:ascii="Arial" w:eastAsia="Times New Roman" w:hAnsi="Arial" w:cs="Arial"/>
          <w:color w:val="000000"/>
          <w:kern w:val="0"/>
          <w14:ligatures w14:val="none"/>
        </w:rPr>
        <w:t>specialised</w:t>
      </w:r>
      <w:proofErr w:type="spellEnd"/>
      <w:r w:rsidRPr="00D231A0">
        <w:rPr>
          <w:rFonts w:ascii="Arial" w:eastAsia="Times New Roman" w:hAnsi="Arial" w:cs="Arial"/>
          <w:color w:val="000000"/>
          <w:kern w:val="0"/>
          <w14:ligatures w14:val="none"/>
        </w:rPr>
        <w:t xml:space="preserve"> clinical solutions for ill and aging population</w:t>
      </w:r>
      <w:r w:rsidR="00332344" w:rsidRPr="00D231A0">
        <w:rPr>
          <w:rFonts w:ascii="Arial" w:eastAsia="Times New Roman" w:hAnsi="Arial" w:cs="Arial"/>
          <w:color w:val="000000"/>
          <w:kern w:val="0"/>
          <w14:ligatures w14:val="none"/>
        </w:rPr>
        <w:t xml:space="preserve"> (Galaz, 20</w:t>
      </w:r>
      <w:r w:rsidR="008E438B" w:rsidRPr="00D231A0">
        <w:rPr>
          <w:rFonts w:ascii="Arial" w:eastAsia="Times New Roman" w:hAnsi="Arial" w:cs="Arial"/>
          <w:color w:val="000000"/>
          <w:kern w:val="0"/>
          <w14:ligatures w14:val="none"/>
        </w:rPr>
        <w:t>19).</w:t>
      </w:r>
      <w:r w:rsidRPr="00D231A0">
        <w:rPr>
          <w:rFonts w:ascii="Arial" w:eastAsia="Times New Roman" w:hAnsi="Arial" w:cs="Arial"/>
          <w:color w:val="000000"/>
          <w:kern w:val="0"/>
          <w14:ligatures w14:val="none"/>
        </w:rPr>
        <w:t xml:space="preserve"> Due to this structure,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promotes to acquire both market penetration and value positioning.</w:t>
      </w:r>
    </w:p>
    <w:p w14:paraId="242C99D7" w14:textId="5F2A74E8" w:rsidR="009A49B4"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 In fact,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can align in competitive strength since the brand is concentrated on accessibility, affordability (economic) scientific credibility and sustainable solutions. Its promotional strategies converge separate skeptical considerations of setting omnichannel distribution such as gymnasiums, medical settings to virtual platforms via influencer led promotion, transparent labelling to strengthen the customer trust and loyalty</w:t>
      </w:r>
      <w:r w:rsidR="0060554A" w:rsidRPr="00D231A0">
        <w:rPr>
          <w:rFonts w:ascii="Arial" w:eastAsia="Times New Roman" w:hAnsi="Arial" w:cs="Arial"/>
          <w:color w:val="000000"/>
          <w:kern w:val="0"/>
          <w14:ligatures w14:val="none"/>
        </w:rPr>
        <w:t xml:space="preserve"> </w:t>
      </w:r>
      <w:r w:rsidR="008604D8" w:rsidRPr="00D231A0">
        <w:rPr>
          <w:rFonts w:ascii="Arial" w:eastAsia="Times New Roman" w:hAnsi="Arial" w:cs="Arial"/>
          <w:color w:val="000000"/>
          <w:kern w:val="0"/>
          <w14:ligatures w14:val="none"/>
        </w:rPr>
        <w:t>(</w:t>
      </w:r>
      <w:r w:rsidR="0060554A" w:rsidRPr="00D231A0">
        <w:rPr>
          <w:rFonts w:ascii="Arial" w:eastAsia="Times New Roman" w:hAnsi="Arial" w:cs="Arial"/>
          <w:color w:val="222222"/>
          <w:shd w:val="clear" w:color="auto" w:fill="FFFFFF"/>
        </w:rPr>
        <w:t>Soewartini</w:t>
      </w:r>
      <w:r w:rsidR="008604D8" w:rsidRPr="00D231A0">
        <w:rPr>
          <w:rFonts w:ascii="Arial" w:eastAsia="Times New Roman" w:hAnsi="Arial" w:cs="Arial"/>
          <w:color w:val="222222"/>
          <w:shd w:val="clear" w:color="auto" w:fill="FFFFFF"/>
        </w:rPr>
        <w:t>,</w:t>
      </w:r>
      <w:r w:rsidR="0060554A" w:rsidRPr="00D231A0">
        <w:rPr>
          <w:rFonts w:ascii="Arial" w:eastAsia="Times New Roman" w:hAnsi="Arial" w:cs="Arial"/>
          <w:color w:val="222222"/>
          <w:shd w:val="clear" w:color="auto" w:fill="FFFFFF"/>
        </w:rPr>
        <w:t xml:space="preserve"> Effendi and </w:t>
      </w:r>
      <w:proofErr w:type="spellStart"/>
      <w:r w:rsidR="0060554A" w:rsidRPr="00D231A0">
        <w:rPr>
          <w:rFonts w:ascii="Arial" w:eastAsia="Times New Roman" w:hAnsi="Arial" w:cs="Arial"/>
          <w:color w:val="222222"/>
          <w:shd w:val="clear" w:color="auto" w:fill="FFFFFF"/>
        </w:rPr>
        <w:t>Kaltum</w:t>
      </w:r>
      <w:proofErr w:type="spellEnd"/>
      <w:r w:rsidR="0060554A" w:rsidRPr="00D231A0">
        <w:rPr>
          <w:rFonts w:ascii="Arial" w:eastAsia="Times New Roman" w:hAnsi="Arial" w:cs="Arial"/>
          <w:color w:val="222222"/>
          <w:shd w:val="clear" w:color="auto" w:fill="FFFFFF"/>
        </w:rPr>
        <w:t>, 2017</w:t>
      </w:r>
      <w:r w:rsidR="008604D8" w:rsidRPr="00D231A0">
        <w:rPr>
          <w:rFonts w:ascii="Arial" w:eastAsia="Times New Roman" w:hAnsi="Arial" w:cs="Arial"/>
          <w:color w:val="222222"/>
          <w:shd w:val="clear" w:color="auto" w:fill="FFFFFF"/>
        </w:rPr>
        <w:t>).</w:t>
      </w:r>
    </w:p>
    <w:p w14:paraId="666D0097" w14:textId="5E880B76"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In conclusion,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appeals to measurable growth potential in a competitive market category with strong brand recognition support from Nestle to the investors. Delivering reliable solutions to improve, strengthen and provide wellness to the customers, the brand can ensure the supply chain alliance as required.</w:t>
      </w:r>
    </w:p>
    <w:p w14:paraId="64EE2F6E" w14:textId="07CFCE81" w:rsidR="00F0114B" w:rsidRPr="00D231A0" w:rsidRDefault="00C90640" w:rsidP="00BE03F1">
      <w:pPr>
        <w:pStyle w:val="Heading1"/>
        <w:rPr>
          <w:rFonts w:ascii="Arial" w:eastAsia="Times New Roman" w:hAnsi="Arial" w:cs="Arial"/>
          <w:sz w:val="24"/>
          <w:szCs w:val="24"/>
        </w:rPr>
      </w:pPr>
      <w:bookmarkStart w:id="7" w:name="_Toc215041072"/>
      <w:r w:rsidRPr="00D231A0">
        <w:rPr>
          <w:rFonts w:ascii="Arial" w:eastAsia="Times New Roman" w:hAnsi="Arial" w:cs="Arial"/>
          <w:sz w:val="24"/>
          <w:szCs w:val="24"/>
        </w:rPr>
        <w:t>Overall Reflection of the New Brand Strategy</w:t>
      </w:r>
      <w:bookmarkEnd w:id="7"/>
    </w:p>
    <w:p w14:paraId="694CFF88"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Nestle's launch of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from the south Asian region demonstrates a clear, research-based approach to entering a highly growing protein nutrition market. This plan is part of Nestle's longer-term Nutrition, Health and Wellness (NHW) agenda, and </w:t>
      </w:r>
      <w:r w:rsidRPr="00D231A0">
        <w:rPr>
          <w:rFonts w:ascii="Arial" w:eastAsia="Times New Roman" w:hAnsi="Arial" w:cs="Arial"/>
          <w:color w:val="000000"/>
          <w:kern w:val="0"/>
          <w14:ligatures w14:val="none"/>
        </w:rPr>
        <w:lastRenderedPageBreak/>
        <w:t>capitalizes on the Company's strong investment in R&amp;D to address an age-old problem in South Asia: high prevalence of protein deficiency among young people and adults.</w:t>
      </w:r>
    </w:p>
    <w:p w14:paraId="49F3ECDB"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The brand focuses on scientific credibility, affordability and accessibility, which gives it a good position in an intense field where trust and practical benefits are the most important. Formulating a comprehensive marketing strategy by developing the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brand, it represents a conceptual and sequential learning process designed in trend analysis, strategic dimension, and market entrance. The marketing strategies are used to provide a deep knowledge by integrating theoretical marketing frameworks with real world phenomena and market mechanisms, through portraying the abstract theoretical concepts into practical marketing decisions.  </w:t>
      </w:r>
    </w:p>
    <w:p w14:paraId="2DD26F57" w14:textId="24C6F41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It requires thorough strategies of the segmentation, targeting, differentiating and position of the market by identifying and </w:t>
      </w:r>
      <w:proofErr w:type="spellStart"/>
      <w:r w:rsidRPr="00D231A0">
        <w:rPr>
          <w:rFonts w:ascii="Arial" w:eastAsia="Times New Roman" w:hAnsi="Arial" w:cs="Arial"/>
          <w:color w:val="000000"/>
          <w:kern w:val="0"/>
          <w14:ligatures w14:val="none"/>
        </w:rPr>
        <w:t>analysing</w:t>
      </w:r>
      <w:proofErr w:type="spellEnd"/>
      <w:r w:rsidRPr="00D231A0">
        <w:rPr>
          <w:rFonts w:ascii="Arial" w:eastAsia="Times New Roman" w:hAnsi="Arial" w:cs="Arial"/>
          <w:color w:val="000000"/>
          <w:kern w:val="0"/>
          <w14:ligatures w14:val="none"/>
        </w:rPr>
        <w:t xml:space="preserve"> the key elements through a critical investigation of South Asia's physiological, socio-economic trends, the patterns of lifestyles and attitudes towards health and wellness. This illustration shows how the use of the demographic and psychographic data can be transformed into actual market opportunities, instead of basing it on generic assumptions</w:t>
      </w:r>
      <w:r w:rsidR="00BC7522" w:rsidRPr="00D231A0">
        <w:rPr>
          <w:rFonts w:ascii="Arial" w:eastAsia="Times New Roman" w:hAnsi="Arial" w:cs="Arial"/>
          <w:color w:val="000000"/>
          <w:kern w:val="0"/>
          <w14:ligatures w14:val="none"/>
        </w:rPr>
        <w:t xml:space="preserve"> </w:t>
      </w:r>
      <w:r w:rsidR="009C4944" w:rsidRPr="00D231A0">
        <w:rPr>
          <w:rFonts w:ascii="Arial" w:eastAsia="Times New Roman" w:hAnsi="Arial" w:cs="Arial"/>
          <w:color w:val="000000"/>
          <w:kern w:val="0"/>
          <w14:ligatures w14:val="none"/>
        </w:rPr>
        <w:t>(</w:t>
      </w:r>
      <w:r w:rsidR="009422A0" w:rsidRPr="00D231A0">
        <w:rPr>
          <w:rFonts w:ascii="Arial" w:eastAsia="Times New Roman" w:hAnsi="Arial" w:cs="Arial"/>
          <w:color w:val="000000"/>
          <w:kern w:val="0"/>
          <w14:ligatures w14:val="none"/>
        </w:rPr>
        <w:t>Kotler</w:t>
      </w:r>
      <w:r w:rsidR="009C4944" w:rsidRPr="00D231A0">
        <w:rPr>
          <w:rFonts w:ascii="Arial" w:eastAsia="Times New Roman" w:hAnsi="Arial" w:cs="Arial"/>
          <w:color w:val="000000"/>
          <w:kern w:val="0"/>
          <w14:ligatures w14:val="none"/>
        </w:rPr>
        <w:t xml:space="preserve"> and</w:t>
      </w:r>
      <w:r w:rsidR="007F4943" w:rsidRPr="00D231A0">
        <w:rPr>
          <w:rFonts w:ascii="Arial" w:eastAsia="Times New Roman" w:hAnsi="Arial" w:cs="Arial"/>
          <w:color w:val="000000"/>
          <w:kern w:val="0"/>
          <w14:ligatures w14:val="none"/>
        </w:rPr>
        <w:t xml:space="preserve"> </w:t>
      </w:r>
      <w:r w:rsidR="009C4944" w:rsidRPr="00D231A0">
        <w:rPr>
          <w:rFonts w:ascii="Arial" w:eastAsia="Times New Roman" w:hAnsi="Arial" w:cs="Arial"/>
          <w:color w:val="000000"/>
          <w:kern w:val="0"/>
          <w14:ligatures w14:val="none"/>
        </w:rPr>
        <w:t>Armstrong, 2010</w:t>
      </w:r>
      <w:r w:rsidR="007859DD" w:rsidRPr="00D231A0">
        <w:rPr>
          <w:rFonts w:ascii="Arial" w:eastAsia="Times New Roman" w:hAnsi="Arial" w:cs="Arial"/>
          <w:color w:val="000000"/>
          <w:kern w:val="0"/>
          <w14:ligatures w14:val="none"/>
        </w:rPr>
        <w:t>).</w:t>
      </w:r>
    </w:p>
    <w:p w14:paraId="7D063804"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The marketing mix (the 4Ps) is used to drive the brand's strategic direction. The product portfolio is extensive and suitable for the diversity of local markets. Tiered pricing makes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affordable yet attractive for the premiums and for those who want a bargain. Nestle's existing channels drive the distribution strategy to link each of the products to the appropriate customer touchpoint -- gyms for ready-to-drink (RTD) options, supermarkets and pharmacies for bulk packs, and hospitals for clinical formulations. Promos are powerful with a digital first influencer strategy, healthcare endorsements, test and taste </w:t>
      </w:r>
      <w:proofErr w:type="spellStart"/>
      <w:r w:rsidRPr="00D231A0">
        <w:rPr>
          <w:rFonts w:ascii="Arial" w:eastAsia="Times New Roman" w:hAnsi="Arial" w:cs="Arial"/>
          <w:color w:val="000000"/>
          <w:kern w:val="0"/>
          <w14:ligatures w14:val="none"/>
        </w:rPr>
        <w:t>programmes</w:t>
      </w:r>
      <w:proofErr w:type="spellEnd"/>
      <w:r w:rsidRPr="00D231A0">
        <w:rPr>
          <w:rFonts w:ascii="Arial" w:eastAsia="Times New Roman" w:hAnsi="Arial" w:cs="Arial"/>
          <w:color w:val="000000"/>
          <w:kern w:val="0"/>
          <w14:ligatures w14:val="none"/>
        </w:rPr>
        <w:t>, and reach and reach campaigns. This omnichannel strategy reflects the consumer lifestyles of the modern South Asian population, where digital sector penetration and health awareness is increasing.</w:t>
      </w:r>
    </w:p>
    <w:p w14:paraId="729FE25E" w14:textId="77777777" w:rsidR="00BE03F1" w:rsidRPr="00D231A0" w:rsidRDefault="00BE03F1" w:rsidP="00BE03F1">
      <w:pPr>
        <w:spacing w:before="240" w:after="240" w:line="360" w:lineRule="auto"/>
        <w:rPr>
          <w:rFonts w:ascii="Arial" w:eastAsia="Times New Roman" w:hAnsi="Arial" w:cs="Arial"/>
          <w:kern w:val="0"/>
          <w14:ligatures w14:val="none"/>
        </w:rPr>
      </w:pPr>
      <w:r w:rsidRPr="00D231A0">
        <w:rPr>
          <w:rFonts w:ascii="Arial" w:eastAsia="Times New Roman" w:hAnsi="Arial" w:cs="Arial"/>
          <w:color w:val="000000"/>
          <w:kern w:val="0"/>
          <w14:ligatures w14:val="none"/>
        </w:rPr>
        <w:t xml:space="preserve">Overall,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Pro's marketing strategy makes sense and is market aware and scalable. It combines Nestle's strengths at the international level with regional realities for consumers, employs a smart segmentation and lets accessibility come high, not at </w:t>
      </w:r>
      <w:r w:rsidRPr="00D231A0">
        <w:rPr>
          <w:rFonts w:ascii="Arial" w:eastAsia="Times New Roman" w:hAnsi="Arial" w:cs="Arial"/>
          <w:color w:val="000000"/>
          <w:kern w:val="0"/>
          <w14:ligatures w14:val="none"/>
        </w:rPr>
        <w:lastRenderedPageBreak/>
        <w:t xml:space="preserve">expense of scientific rigor. This sets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for high growth and sustainable competitive edge in South Asia's evolving protein market.</w:t>
      </w:r>
    </w:p>
    <w:p w14:paraId="4CF33571" w14:textId="7E6226D5" w:rsidR="00E64899" w:rsidRPr="00D231A0" w:rsidRDefault="00E64899" w:rsidP="00BE03F1">
      <w:pPr>
        <w:spacing w:line="360" w:lineRule="auto"/>
        <w:rPr>
          <w:rFonts w:ascii="Arial" w:eastAsia="Times New Roman" w:hAnsi="Arial" w:cs="Arial"/>
          <w:kern w:val="0"/>
          <w14:ligatures w14:val="none"/>
        </w:rPr>
      </w:pPr>
    </w:p>
    <w:p w14:paraId="7A1C7FAA" w14:textId="77777777" w:rsidR="00982CC3" w:rsidRPr="00D231A0" w:rsidRDefault="00982CC3" w:rsidP="00BE03F1">
      <w:pPr>
        <w:spacing w:line="360" w:lineRule="auto"/>
        <w:rPr>
          <w:rFonts w:ascii="Arial" w:eastAsia="Times New Roman" w:hAnsi="Arial" w:cs="Arial"/>
          <w:color w:val="0F4761" w:themeColor="accent1" w:themeShade="BF"/>
        </w:rPr>
      </w:pPr>
      <w:r w:rsidRPr="00D231A0">
        <w:rPr>
          <w:rFonts w:ascii="Arial" w:eastAsia="Times New Roman" w:hAnsi="Arial" w:cs="Arial"/>
        </w:rPr>
        <w:br w:type="page"/>
      </w:r>
    </w:p>
    <w:p w14:paraId="1678C0B4" w14:textId="0DE08A0B" w:rsidR="004853C8" w:rsidRPr="00D231A0" w:rsidRDefault="004853C8" w:rsidP="00BE03F1">
      <w:pPr>
        <w:pStyle w:val="Heading1"/>
        <w:rPr>
          <w:rFonts w:ascii="Arial" w:eastAsia="Times New Roman" w:hAnsi="Arial" w:cs="Arial"/>
          <w:sz w:val="24"/>
          <w:szCs w:val="24"/>
        </w:rPr>
      </w:pPr>
      <w:bookmarkStart w:id="8" w:name="_Toc215041073"/>
      <w:r w:rsidRPr="00D231A0">
        <w:rPr>
          <w:rFonts w:ascii="Arial" w:eastAsia="Times New Roman" w:hAnsi="Arial" w:cs="Arial"/>
          <w:sz w:val="24"/>
          <w:szCs w:val="24"/>
        </w:rPr>
        <w:lastRenderedPageBreak/>
        <w:t>Conclusion</w:t>
      </w:r>
      <w:bookmarkEnd w:id="8"/>
    </w:p>
    <w:p w14:paraId="706908CB" w14:textId="77777777" w:rsidR="00BE03F1" w:rsidRPr="00D231A0" w:rsidRDefault="00BE03F1" w:rsidP="00BE03F1">
      <w:pPr>
        <w:spacing w:before="240" w:after="240" w:line="360" w:lineRule="auto"/>
        <w:rPr>
          <w:rFonts w:ascii="Arial" w:eastAsia="Times New Roman" w:hAnsi="Arial" w:cs="Arial"/>
          <w:kern w:val="0"/>
          <w14:ligatures w14:val="none"/>
        </w:rPr>
      </w:pP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Pro's marketing strategy reflects a proper entrance plan to enter the South Asia protein nutrition market. The plan combines Nestle's international nutrition knowledge and regional specific health insights. With increasing awareness around fitness and a deficit of protein in the body standing at long, the brand presents a multi-tier product range - ready to drink (RTD) beverages, high-end variants, affordable sachets and clinical formulations. This is to achieve accessibility and value for different sections of consumers. The strategy involves being affordable, scientifically credible, and sustainable to be unique in a competitive landscape. </w:t>
      </w:r>
      <w:proofErr w:type="spellStart"/>
      <w:r w:rsidRPr="00D231A0">
        <w:rPr>
          <w:rFonts w:ascii="Arial" w:eastAsia="Times New Roman" w:hAnsi="Arial" w:cs="Arial"/>
          <w:color w:val="000000"/>
          <w:kern w:val="0"/>
          <w14:ligatures w14:val="none"/>
        </w:rPr>
        <w:t>MusGain</w:t>
      </w:r>
      <w:proofErr w:type="spellEnd"/>
      <w:r w:rsidRPr="00D231A0">
        <w:rPr>
          <w:rFonts w:ascii="Arial" w:eastAsia="Times New Roman" w:hAnsi="Arial" w:cs="Arial"/>
          <w:color w:val="000000"/>
          <w:kern w:val="0"/>
          <w14:ligatures w14:val="none"/>
        </w:rPr>
        <w:t xml:space="preserve"> Pro can sell their products through gyms, medical facilities, retail stores, and online. Influencer-to-lead promotions and transparent labelling for trust and visibility. Overall, the strategy is positioning the brand for strong growth and long-term market penetration.</w:t>
      </w:r>
    </w:p>
    <w:p w14:paraId="5C98B88D" w14:textId="77777777" w:rsidR="005B38A0" w:rsidRPr="00D231A0" w:rsidRDefault="005B38A0">
      <w:pPr>
        <w:rPr>
          <w:rFonts w:ascii="Arial" w:eastAsia="Times New Roman" w:hAnsi="Arial" w:cs="Arial"/>
          <w:kern w:val="0"/>
          <w14:ligatures w14:val="none"/>
        </w:rPr>
      </w:pPr>
      <w:r w:rsidRPr="00D231A0">
        <w:rPr>
          <w:rFonts w:ascii="Arial" w:eastAsia="Times New Roman" w:hAnsi="Arial" w:cs="Arial"/>
          <w:kern w:val="0"/>
          <w14:ligatures w14:val="none"/>
        </w:rPr>
        <w:br w:type="page"/>
      </w:r>
    </w:p>
    <w:p w14:paraId="01D534DA" w14:textId="331D19CB" w:rsidR="004853C8" w:rsidRPr="00D231A0" w:rsidRDefault="005B38A0" w:rsidP="005B38A0">
      <w:pPr>
        <w:pStyle w:val="Heading1"/>
        <w:rPr>
          <w:rFonts w:ascii="Arial" w:eastAsia="Times New Roman" w:hAnsi="Arial" w:cs="Arial"/>
          <w:sz w:val="24"/>
          <w:szCs w:val="24"/>
        </w:rPr>
      </w:pPr>
      <w:bookmarkStart w:id="9" w:name="_Toc215041074"/>
      <w:r w:rsidRPr="00D231A0">
        <w:rPr>
          <w:rFonts w:ascii="Arial" w:eastAsia="Times New Roman" w:hAnsi="Arial" w:cs="Arial"/>
          <w:sz w:val="24"/>
          <w:szCs w:val="24"/>
        </w:rPr>
        <w:lastRenderedPageBreak/>
        <w:t>References</w:t>
      </w:r>
      <w:bookmarkEnd w:id="9"/>
    </w:p>
    <w:p w14:paraId="63B53F1D" w14:textId="77777777" w:rsidR="007B4FBB" w:rsidRPr="00D231A0" w:rsidRDefault="007B4FBB"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Ang, S.H., Leong, S.M. and Kotler, P., 2000. The Asian apocalypse: crisis marketing for consumers and businesses. </w:t>
      </w:r>
      <w:r w:rsidRPr="00D231A0">
        <w:rPr>
          <w:rFonts w:ascii="Arial" w:eastAsia="Times New Roman" w:hAnsi="Arial" w:cs="Arial"/>
          <w:i/>
          <w:iCs/>
          <w:color w:val="222222"/>
          <w:shd w:val="clear" w:color="auto" w:fill="FFFFFF"/>
        </w:rPr>
        <w:t>Long Range Planning</w:t>
      </w:r>
      <w:r w:rsidRPr="00D231A0">
        <w:rPr>
          <w:rFonts w:ascii="Arial" w:eastAsia="Times New Roman" w:hAnsi="Arial" w:cs="Arial"/>
          <w:color w:val="222222"/>
          <w:shd w:val="clear" w:color="auto" w:fill="FFFFFF"/>
        </w:rPr>
        <w:t>, </w:t>
      </w:r>
      <w:r w:rsidRPr="00D231A0">
        <w:rPr>
          <w:rFonts w:ascii="Arial" w:eastAsia="Times New Roman" w:hAnsi="Arial" w:cs="Arial"/>
          <w:i/>
          <w:iCs/>
          <w:color w:val="222222"/>
          <w:shd w:val="clear" w:color="auto" w:fill="FFFFFF"/>
        </w:rPr>
        <w:t>33</w:t>
      </w:r>
      <w:r w:rsidRPr="00D231A0">
        <w:rPr>
          <w:rFonts w:ascii="Arial" w:eastAsia="Times New Roman" w:hAnsi="Arial" w:cs="Arial"/>
          <w:color w:val="222222"/>
          <w:shd w:val="clear" w:color="auto" w:fill="FFFFFF"/>
        </w:rPr>
        <w:t>(1), pp.97-119.</w:t>
      </w:r>
    </w:p>
    <w:p w14:paraId="29DCD173" w14:textId="3A65853D" w:rsidR="00353DE6" w:rsidRPr="00D231A0" w:rsidRDefault="00353DE6"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Baker, T.L., Hunt, J.B. and Scribner, L.L., 2002. The effect of introducing a new brand on consumer perceptions of current brand similarity: the roles of product knowledge and involvement. </w:t>
      </w:r>
      <w:r w:rsidRPr="00D231A0">
        <w:rPr>
          <w:rFonts w:ascii="Arial" w:eastAsia="Times New Roman" w:hAnsi="Arial" w:cs="Arial"/>
          <w:i/>
          <w:iCs/>
          <w:color w:val="222222"/>
          <w:shd w:val="clear" w:color="auto" w:fill="FFFFFF"/>
        </w:rPr>
        <w:t>Journal of marketing theory and practice</w:t>
      </w:r>
      <w:r w:rsidRPr="00D231A0">
        <w:rPr>
          <w:rFonts w:ascii="Arial" w:eastAsia="Times New Roman" w:hAnsi="Arial" w:cs="Arial"/>
          <w:color w:val="222222"/>
          <w:shd w:val="clear" w:color="auto" w:fill="FFFFFF"/>
        </w:rPr>
        <w:t>, </w:t>
      </w:r>
      <w:r w:rsidRPr="00D231A0">
        <w:rPr>
          <w:rFonts w:ascii="Arial" w:eastAsia="Times New Roman" w:hAnsi="Arial" w:cs="Arial"/>
          <w:i/>
          <w:iCs/>
          <w:color w:val="222222"/>
          <w:shd w:val="clear" w:color="auto" w:fill="FFFFFF"/>
        </w:rPr>
        <w:t>10</w:t>
      </w:r>
      <w:r w:rsidRPr="00D231A0">
        <w:rPr>
          <w:rFonts w:ascii="Arial" w:eastAsia="Times New Roman" w:hAnsi="Arial" w:cs="Arial"/>
          <w:color w:val="222222"/>
          <w:shd w:val="clear" w:color="auto" w:fill="FFFFFF"/>
        </w:rPr>
        <w:t>(4), pp.45-57.</w:t>
      </w:r>
    </w:p>
    <w:p w14:paraId="4A2971EC" w14:textId="5EB03B39" w:rsidR="00CB6348" w:rsidRPr="00D231A0" w:rsidRDefault="00CB6348"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Borden, N.H., 1964. The concept of the marketing mix. </w:t>
      </w:r>
      <w:r w:rsidRPr="00D231A0">
        <w:rPr>
          <w:rFonts w:ascii="Arial" w:eastAsia="Times New Roman" w:hAnsi="Arial" w:cs="Arial"/>
          <w:i/>
          <w:iCs/>
          <w:color w:val="222222"/>
          <w:shd w:val="clear" w:color="auto" w:fill="FFFFFF"/>
        </w:rPr>
        <w:t>Journal of advertising research</w:t>
      </w:r>
      <w:r w:rsidRPr="00D231A0">
        <w:rPr>
          <w:rFonts w:ascii="Arial" w:eastAsia="Times New Roman" w:hAnsi="Arial" w:cs="Arial"/>
          <w:color w:val="222222"/>
          <w:shd w:val="clear" w:color="auto" w:fill="FFFFFF"/>
        </w:rPr>
        <w:t>, </w:t>
      </w:r>
      <w:r w:rsidRPr="00D231A0">
        <w:rPr>
          <w:rFonts w:ascii="Arial" w:eastAsia="Times New Roman" w:hAnsi="Arial" w:cs="Arial"/>
          <w:i/>
          <w:iCs/>
          <w:color w:val="222222"/>
          <w:shd w:val="clear" w:color="auto" w:fill="FFFFFF"/>
        </w:rPr>
        <w:t>4</w:t>
      </w:r>
      <w:r w:rsidRPr="00D231A0">
        <w:rPr>
          <w:rFonts w:ascii="Arial" w:eastAsia="Times New Roman" w:hAnsi="Arial" w:cs="Arial"/>
          <w:color w:val="222222"/>
          <w:shd w:val="clear" w:color="auto" w:fill="FFFFFF"/>
        </w:rPr>
        <w:t>(2), pp.2-7.</w:t>
      </w:r>
    </w:p>
    <w:p w14:paraId="33045702" w14:textId="77777777" w:rsidR="00CB6348" w:rsidRPr="00D231A0" w:rsidRDefault="00CB6348" w:rsidP="00CB6348">
      <w:pPr>
        <w:spacing w:line="360" w:lineRule="auto"/>
        <w:rPr>
          <w:rFonts w:ascii="Arial" w:hAnsi="Arial" w:cs="Arial"/>
        </w:rPr>
      </w:pPr>
      <w:r w:rsidRPr="00D231A0">
        <w:rPr>
          <w:rFonts w:ascii="Arial" w:hAnsi="Arial" w:cs="Arial"/>
        </w:rPr>
        <w:t>Camilleri, M. A. (2018). Market Segmentation, Targeting and Positioning. In Travel Marketing, Tourism Economics and the Airline Product (Chapter 4, pp. 69-83). Springer, Cham, Switzerland.</w:t>
      </w:r>
    </w:p>
    <w:p w14:paraId="3C86A6CD" w14:textId="16825DB8" w:rsidR="008E438B" w:rsidRPr="00D231A0" w:rsidRDefault="008E438B" w:rsidP="00CB6348">
      <w:pPr>
        <w:spacing w:line="360" w:lineRule="auto"/>
        <w:rPr>
          <w:rFonts w:ascii="Arial" w:hAnsi="Arial" w:cs="Arial"/>
        </w:rPr>
      </w:pPr>
      <w:r w:rsidRPr="00D231A0">
        <w:rPr>
          <w:rFonts w:ascii="Arial" w:eastAsia="Times New Roman" w:hAnsi="Arial" w:cs="Arial"/>
          <w:color w:val="222222"/>
          <w:shd w:val="clear" w:color="auto" w:fill="FFFFFF"/>
        </w:rPr>
        <w:t>Galaz, G.A., 2019. An overview on the history of sports nutrition beverages. </w:t>
      </w:r>
      <w:r w:rsidRPr="00D231A0">
        <w:rPr>
          <w:rFonts w:ascii="Arial" w:eastAsia="Times New Roman" w:hAnsi="Arial" w:cs="Arial"/>
          <w:i/>
          <w:iCs/>
          <w:color w:val="222222"/>
          <w:shd w:val="clear" w:color="auto" w:fill="FFFFFF"/>
        </w:rPr>
        <w:t>Nutrition and enhanced sports performance</w:t>
      </w:r>
      <w:r w:rsidRPr="00D231A0">
        <w:rPr>
          <w:rFonts w:ascii="Arial" w:eastAsia="Times New Roman" w:hAnsi="Arial" w:cs="Arial"/>
          <w:color w:val="222222"/>
          <w:shd w:val="clear" w:color="auto" w:fill="FFFFFF"/>
        </w:rPr>
        <w:t>, pp.231-237.</w:t>
      </w:r>
    </w:p>
    <w:p w14:paraId="488AC443" w14:textId="77777777" w:rsidR="00CB6348" w:rsidRPr="00D231A0" w:rsidRDefault="00CB6348"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 xml:space="preserve">Khan, M.T., 2014. The concept </w:t>
      </w:r>
      <w:proofErr w:type="spellStart"/>
      <w:r w:rsidRPr="00D231A0">
        <w:rPr>
          <w:rFonts w:ascii="Arial" w:eastAsia="Times New Roman" w:hAnsi="Arial" w:cs="Arial"/>
          <w:color w:val="222222"/>
          <w:shd w:val="clear" w:color="auto" w:fill="FFFFFF"/>
        </w:rPr>
        <w:t>of'marketing</w:t>
      </w:r>
      <w:proofErr w:type="spellEnd"/>
      <w:r w:rsidRPr="00D231A0">
        <w:rPr>
          <w:rFonts w:ascii="Arial" w:eastAsia="Times New Roman" w:hAnsi="Arial" w:cs="Arial"/>
          <w:color w:val="222222"/>
          <w:shd w:val="clear" w:color="auto" w:fill="FFFFFF"/>
        </w:rPr>
        <w:t xml:space="preserve"> </w:t>
      </w:r>
      <w:proofErr w:type="spellStart"/>
      <w:r w:rsidRPr="00D231A0">
        <w:rPr>
          <w:rFonts w:ascii="Arial" w:eastAsia="Times New Roman" w:hAnsi="Arial" w:cs="Arial"/>
          <w:color w:val="222222"/>
          <w:shd w:val="clear" w:color="auto" w:fill="FFFFFF"/>
        </w:rPr>
        <w:t>mix'and</w:t>
      </w:r>
      <w:proofErr w:type="spellEnd"/>
      <w:r w:rsidRPr="00D231A0">
        <w:rPr>
          <w:rFonts w:ascii="Arial" w:eastAsia="Times New Roman" w:hAnsi="Arial" w:cs="Arial"/>
          <w:color w:val="222222"/>
          <w:shd w:val="clear" w:color="auto" w:fill="FFFFFF"/>
        </w:rPr>
        <w:t xml:space="preserve"> its elements (a conceptual review paper). </w:t>
      </w:r>
      <w:r w:rsidRPr="00D231A0">
        <w:rPr>
          <w:rFonts w:ascii="Arial" w:eastAsia="Times New Roman" w:hAnsi="Arial" w:cs="Arial"/>
          <w:i/>
          <w:iCs/>
          <w:color w:val="222222"/>
          <w:shd w:val="clear" w:color="auto" w:fill="FFFFFF"/>
        </w:rPr>
        <w:t>International journal of information, business and management</w:t>
      </w:r>
      <w:r w:rsidRPr="00D231A0">
        <w:rPr>
          <w:rFonts w:ascii="Arial" w:eastAsia="Times New Roman" w:hAnsi="Arial" w:cs="Arial"/>
          <w:color w:val="222222"/>
          <w:shd w:val="clear" w:color="auto" w:fill="FFFFFF"/>
        </w:rPr>
        <w:t>, </w:t>
      </w:r>
      <w:r w:rsidRPr="00D231A0">
        <w:rPr>
          <w:rFonts w:ascii="Arial" w:eastAsia="Times New Roman" w:hAnsi="Arial" w:cs="Arial"/>
          <w:i/>
          <w:iCs/>
          <w:color w:val="222222"/>
          <w:shd w:val="clear" w:color="auto" w:fill="FFFFFF"/>
        </w:rPr>
        <w:t>6</w:t>
      </w:r>
      <w:r w:rsidRPr="00D231A0">
        <w:rPr>
          <w:rFonts w:ascii="Arial" w:eastAsia="Times New Roman" w:hAnsi="Arial" w:cs="Arial"/>
          <w:color w:val="222222"/>
          <w:shd w:val="clear" w:color="auto" w:fill="FFFFFF"/>
        </w:rPr>
        <w:t>(2), p.95.</w:t>
      </w:r>
    </w:p>
    <w:p w14:paraId="0E9824B2" w14:textId="77777777" w:rsidR="00CB6348" w:rsidRPr="00D231A0" w:rsidRDefault="00CB6348" w:rsidP="00CB6348">
      <w:pPr>
        <w:spacing w:line="360" w:lineRule="auto"/>
        <w:rPr>
          <w:rFonts w:ascii="Arial" w:hAnsi="Arial" w:cs="Arial"/>
        </w:rPr>
      </w:pPr>
      <w:r w:rsidRPr="00D231A0">
        <w:rPr>
          <w:rFonts w:ascii="Arial" w:eastAsia="Times New Roman" w:hAnsi="Arial" w:cs="Arial"/>
          <w:color w:val="222222"/>
          <w:shd w:val="clear" w:color="auto" w:fill="FFFFFF"/>
        </w:rPr>
        <w:t>Kotler, P. (2003). Principles of marketing. New York: Pearson education.</w:t>
      </w:r>
    </w:p>
    <w:p w14:paraId="7DC478C8" w14:textId="77777777" w:rsidR="00CB6348" w:rsidRPr="00D231A0" w:rsidRDefault="00CB6348"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Kotler, P. and Armstrong, G.M., 2010. </w:t>
      </w:r>
      <w:r w:rsidRPr="00D231A0">
        <w:rPr>
          <w:rFonts w:ascii="Arial" w:eastAsia="Times New Roman" w:hAnsi="Arial" w:cs="Arial"/>
          <w:i/>
          <w:iCs/>
          <w:color w:val="222222"/>
          <w:shd w:val="clear" w:color="auto" w:fill="FFFFFF"/>
        </w:rPr>
        <w:t>Principles of marketing</w:t>
      </w:r>
      <w:r w:rsidRPr="00D231A0">
        <w:rPr>
          <w:rFonts w:ascii="Arial" w:eastAsia="Times New Roman" w:hAnsi="Arial" w:cs="Arial"/>
          <w:color w:val="222222"/>
          <w:shd w:val="clear" w:color="auto" w:fill="FFFFFF"/>
        </w:rPr>
        <w:t>. Pearson Education India.</w:t>
      </w:r>
    </w:p>
    <w:p w14:paraId="755A92BB" w14:textId="387B85C5" w:rsidR="00CB6348" w:rsidRPr="00D231A0" w:rsidRDefault="00CB6348"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Market Data Forecast (2025) Asia Pacific Protein Supplements Market Size and Share Forecast. Market Data Forecast.</w:t>
      </w:r>
    </w:p>
    <w:p w14:paraId="2EBBF65D" w14:textId="7AB2EDF8" w:rsidR="00CB6348" w:rsidRPr="00D231A0" w:rsidRDefault="00CB6348"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McCarthy, E. J. (1964). Basic Marketing, IL: Richard D. Irwin.</w:t>
      </w:r>
    </w:p>
    <w:p w14:paraId="3D603E34" w14:textId="36CF23BC" w:rsidR="00C75EAA" w:rsidRPr="00D231A0" w:rsidRDefault="00C75EAA" w:rsidP="00C75EAA">
      <w:pPr>
        <w:spacing w:after="240" w:line="360" w:lineRule="auto"/>
        <w:jc w:val="left"/>
        <w:rPr>
          <w:rFonts w:ascii="Arial" w:eastAsia="Times New Roman" w:hAnsi="Arial" w:cs="Arial"/>
          <w:kern w:val="0"/>
          <w14:ligatures w14:val="none"/>
        </w:rPr>
      </w:pPr>
      <w:r w:rsidRPr="00D231A0">
        <w:rPr>
          <w:rFonts w:ascii="Arial" w:eastAsia="Times New Roman" w:hAnsi="Arial" w:cs="Arial"/>
          <w:kern w:val="0"/>
          <w14:ligatures w14:val="none"/>
        </w:rPr>
        <w:t xml:space="preserve">Nestlé (2025) </w:t>
      </w:r>
      <w:r w:rsidRPr="00D231A0">
        <w:rPr>
          <w:rFonts w:ascii="Arial" w:eastAsia="Times New Roman" w:hAnsi="Arial" w:cs="Arial"/>
          <w:i/>
          <w:iCs/>
          <w:kern w:val="0"/>
          <w14:ligatures w14:val="none"/>
        </w:rPr>
        <w:t>At a glance</w:t>
      </w:r>
      <w:r w:rsidRPr="00D231A0">
        <w:rPr>
          <w:rFonts w:ascii="Arial" w:eastAsia="Times New Roman" w:hAnsi="Arial" w:cs="Arial"/>
          <w:kern w:val="0"/>
          <w14:ligatures w14:val="none"/>
        </w:rPr>
        <w:t xml:space="preserve">, </w:t>
      </w:r>
      <w:r w:rsidRPr="00D231A0">
        <w:rPr>
          <w:rFonts w:ascii="Arial" w:eastAsia="Times New Roman" w:hAnsi="Arial" w:cs="Arial"/>
          <w:i/>
          <w:iCs/>
          <w:kern w:val="0"/>
          <w14:ligatures w14:val="none"/>
        </w:rPr>
        <w:t>Nestle</w:t>
      </w:r>
      <w:r w:rsidRPr="00D231A0">
        <w:rPr>
          <w:rFonts w:ascii="Arial" w:eastAsia="Times New Roman" w:hAnsi="Arial" w:cs="Arial"/>
          <w:kern w:val="0"/>
          <w14:ligatures w14:val="none"/>
        </w:rPr>
        <w:t>. Available at: https://www.nestle.com/about/overview.</w:t>
      </w:r>
    </w:p>
    <w:p w14:paraId="7BE70CF2" w14:textId="77777777" w:rsidR="00CB6348" w:rsidRPr="00D231A0" w:rsidRDefault="00CB6348"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Porter, M. E. (2008). Competitive strategy: Techniques for analyzing industries and competitors. New York: Free Press.</w:t>
      </w:r>
    </w:p>
    <w:p w14:paraId="77EB4BDB" w14:textId="23E2C8A5" w:rsidR="00F32383" w:rsidRPr="00D231A0" w:rsidRDefault="00F32383"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 xml:space="preserve">Saini, G.K. and Mukul, K., 2012. What do social marketing </w:t>
      </w:r>
      <w:proofErr w:type="spellStart"/>
      <w:r w:rsidRPr="00D231A0">
        <w:rPr>
          <w:rFonts w:ascii="Arial" w:eastAsia="Times New Roman" w:hAnsi="Arial" w:cs="Arial"/>
          <w:color w:val="222222"/>
          <w:shd w:val="clear" w:color="auto" w:fill="FFFFFF"/>
        </w:rPr>
        <w:t>programmes</w:t>
      </w:r>
      <w:proofErr w:type="spellEnd"/>
      <w:r w:rsidRPr="00D231A0">
        <w:rPr>
          <w:rFonts w:ascii="Arial" w:eastAsia="Times New Roman" w:hAnsi="Arial" w:cs="Arial"/>
          <w:color w:val="222222"/>
          <w:shd w:val="clear" w:color="auto" w:fill="FFFFFF"/>
        </w:rPr>
        <w:t xml:space="preserve"> reveal about social marketing? Evidence from South Asia. </w:t>
      </w:r>
      <w:r w:rsidRPr="00D231A0">
        <w:rPr>
          <w:rFonts w:ascii="Arial" w:eastAsia="Times New Roman" w:hAnsi="Arial" w:cs="Arial"/>
          <w:i/>
          <w:iCs/>
          <w:color w:val="222222"/>
          <w:shd w:val="clear" w:color="auto" w:fill="FFFFFF"/>
        </w:rPr>
        <w:t>International Journal of Nonprofit and Voluntary Sector Marketing</w:t>
      </w:r>
      <w:r w:rsidRPr="00D231A0">
        <w:rPr>
          <w:rFonts w:ascii="Arial" w:eastAsia="Times New Roman" w:hAnsi="Arial" w:cs="Arial"/>
          <w:color w:val="222222"/>
          <w:shd w:val="clear" w:color="auto" w:fill="FFFFFF"/>
        </w:rPr>
        <w:t>, </w:t>
      </w:r>
      <w:r w:rsidRPr="00D231A0">
        <w:rPr>
          <w:rFonts w:ascii="Arial" w:eastAsia="Times New Roman" w:hAnsi="Arial" w:cs="Arial"/>
          <w:i/>
          <w:iCs/>
          <w:color w:val="222222"/>
          <w:shd w:val="clear" w:color="auto" w:fill="FFFFFF"/>
        </w:rPr>
        <w:t>17</w:t>
      </w:r>
      <w:r w:rsidRPr="00D231A0">
        <w:rPr>
          <w:rFonts w:ascii="Arial" w:eastAsia="Times New Roman" w:hAnsi="Arial" w:cs="Arial"/>
          <w:color w:val="222222"/>
          <w:shd w:val="clear" w:color="auto" w:fill="FFFFFF"/>
        </w:rPr>
        <w:t>(4), pp.303-324.</w:t>
      </w:r>
    </w:p>
    <w:p w14:paraId="69E8A4D6" w14:textId="77777777" w:rsidR="00CB6348" w:rsidRPr="00D231A0" w:rsidRDefault="00CB6348" w:rsidP="00CB6348">
      <w:pPr>
        <w:spacing w:line="360" w:lineRule="auto"/>
        <w:rPr>
          <w:rFonts w:ascii="Arial" w:hAnsi="Arial" w:cs="Arial"/>
        </w:rPr>
      </w:pPr>
      <w:r w:rsidRPr="00D231A0">
        <w:rPr>
          <w:rFonts w:ascii="Arial" w:eastAsia="Times New Roman" w:hAnsi="Arial" w:cs="Arial"/>
          <w:color w:val="222222"/>
          <w:shd w:val="clear" w:color="auto" w:fill="FFFFFF"/>
        </w:rPr>
        <w:lastRenderedPageBreak/>
        <w:t xml:space="preserve">Sharma, P., Chung, C.M. and </w:t>
      </w:r>
      <w:proofErr w:type="spellStart"/>
      <w:r w:rsidRPr="00D231A0">
        <w:rPr>
          <w:rFonts w:ascii="Arial" w:eastAsia="Times New Roman" w:hAnsi="Arial" w:cs="Arial"/>
          <w:color w:val="222222"/>
          <w:shd w:val="clear" w:color="auto" w:fill="FFFFFF"/>
        </w:rPr>
        <w:t>Erramilli</w:t>
      </w:r>
      <w:proofErr w:type="spellEnd"/>
      <w:r w:rsidRPr="00D231A0">
        <w:rPr>
          <w:rFonts w:ascii="Arial" w:eastAsia="Times New Roman" w:hAnsi="Arial" w:cs="Arial"/>
          <w:color w:val="222222"/>
          <w:shd w:val="clear" w:color="auto" w:fill="FFFFFF"/>
        </w:rPr>
        <w:t xml:space="preserve">, M.K., 2006. Challenges of marketing to Asian consumers: exploring the influence of different cultures, life styles and values on consumer </w:t>
      </w:r>
      <w:proofErr w:type="spellStart"/>
      <w:r w:rsidRPr="00D231A0">
        <w:rPr>
          <w:rFonts w:ascii="Arial" w:eastAsia="Times New Roman" w:hAnsi="Arial" w:cs="Arial"/>
          <w:color w:val="222222"/>
          <w:shd w:val="clear" w:color="auto" w:fill="FFFFFF"/>
        </w:rPr>
        <w:t>behaviour</w:t>
      </w:r>
      <w:proofErr w:type="spellEnd"/>
      <w:r w:rsidRPr="00D231A0">
        <w:rPr>
          <w:rFonts w:ascii="Arial" w:eastAsia="Times New Roman" w:hAnsi="Arial" w:cs="Arial"/>
          <w:color w:val="222222"/>
          <w:shd w:val="clear" w:color="auto" w:fill="FFFFFF"/>
        </w:rPr>
        <w:t xml:space="preserve"> in Asia. In </w:t>
      </w:r>
      <w:r w:rsidRPr="00D231A0">
        <w:rPr>
          <w:rFonts w:ascii="Arial" w:eastAsia="Times New Roman" w:hAnsi="Arial" w:cs="Arial"/>
          <w:i/>
          <w:iCs/>
          <w:color w:val="222222"/>
          <w:shd w:val="clear" w:color="auto" w:fill="FFFFFF"/>
        </w:rPr>
        <w:t>Handbook of Research on Asian Business</w:t>
      </w:r>
      <w:r w:rsidRPr="00D231A0">
        <w:rPr>
          <w:rFonts w:ascii="Arial" w:eastAsia="Times New Roman" w:hAnsi="Arial" w:cs="Arial"/>
          <w:color w:val="222222"/>
          <w:shd w:val="clear" w:color="auto" w:fill="FFFFFF"/>
        </w:rPr>
        <w:t>. Edward Elgar Publishing.</w:t>
      </w:r>
    </w:p>
    <w:p w14:paraId="1D088893" w14:textId="77777777" w:rsidR="00CB6348" w:rsidRPr="00D231A0" w:rsidRDefault="00CB6348"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Smith, W.R., 1956. Product differentiation and market segmentation as alternative marketing strategies. </w:t>
      </w:r>
      <w:r w:rsidRPr="00D231A0">
        <w:rPr>
          <w:rFonts w:ascii="Arial" w:eastAsia="Times New Roman" w:hAnsi="Arial" w:cs="Arial"/>
          <w:i/>
          <w:iCs/>
          <w:color w:val="222222"/>
          <w:shd w:val="clear" w:color="auto" w:fill="FFFFFF"/>
        </w:rPr>
        <w:t>Journal of marketing</w:t>
      </w:r>
      <w:r w:rsidRPr="00D231A0">
        <w:rPr>
          <w:rFonts w:ascii="Arial" w:eastAsia="Times New Roman" w:hAnsi="Arial" w:cs="Arial"/>
          <w:color w:val="222222"/>
          <w:shd w:val="clear" w:color="auto" w:fill="FFFFFF"/>
        </w:rPr>
        <w:t>, </w:t>
      </w:r>
      <w:r w:rsidRPr="00D231A0">
        <w:rPr>
          <w:rFonts w:ascii="Arial" w:eastAsia="Times New Roman" w:hAnsi="Arial" w:cs="Arial"/>
          <w:i/>
          <w:iCs/>
          <w:color w:val="222222"/>
          <w:shd w:val="clear" w:color="auto" w:fill="FFFFFF"/>
        </w:rPr>
        <w:t>21</w:t>
      </w:r>
      <w:r w:rsidRPr="00D231A0">
        <w:rPr>
          <w:rFonts w:ascii="Arial" w:eastAsia="Times New Roman" w:hAnsi="Arial" w:cs="Arial"/>
          <w:color w:val="222222"/>
          <w:shd w:val="clear" w:color="auto" w:fill="FFFFFF"/>
        </w:rPr>
        <w:t>(1), pp.3-8.</w:t>
      </w:r>
    </w:p>
    <w:p w14:paraId="7FC6B02D" w14:textId="4B993441" w:rsidR="006138A2" w:rsidRPr="00D231A0" w:rsidRDefault="006138A2"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 xml:space="preserve">Soewartini, S., Effendi, N. and </w:t>
      </w:r>
      <w:proofErr w:type="spellStart"/>
      <w:r w:rsidRPr="00D231A0">
        <w:rPr>
          <w:rFonts w:ascii="Arial" w:eastAsia="Times New Roman" w:hAnsi="Arial" w:cs="Arial"/>
          <w:color w:val="222222"/>
          <w:shd w:val="clear" w:color="auto" w:fill="FFFFFF"/>
        </w:rPr>
        <w:t>Kaltum</w:t>
      </w:r>
      <w:proofErr w:type="spellEnd"/>
      <w:r w:rsidRPr="00D231A0">
        <w:rPr>
          <w:rFonts w:ascii="Arial" w:eastAsia="Times New Roman" w:hAnsi="Arial" w:cs="Arial"/>
          <w:color w:val="222222"/>
          <w:shd w:val="clear" w:color="auto" w:fill="FFFFFF"/>
        </w:rPr>
        <w:t xml:space="preserve">, U., 2017. Brand equity and competitive </w:t>
      </w:r>
      <w:proofErr w:type="gramStart"/>
      <w:r w:rsidRPr="00D231A0">
        <w:rPr>
          <w:rFonts w:ascii="Arial" w:eastAsia="Times New Roman" w:hAnsi="Arial" w:cs="Arial"/>
          <w:color w:val="222222"/>
          <w:shd w:val="clear" w:color="auto" w:fill="FFFFFF"/>
        </w:rPr>
        <w:t>advantage based</w:t>
      </w:r>
      <w:proofErr w:type="gramEnd"/>
      <w:r w:rsidRPr="00D231A0">
        <w:rPr>
          <w:rFonts w:ascii="Arial" w:eastAsia="Times New Roman" w:hAnsi="Arial" w:cs="Arial"/>
          <w:color w:val="222222"/>
          <w:shd w:val="clear" w:color="auto" w:fill="FFFFFF"/>
        </w:rPr>
        <w:t xml:space="preserve"> market strategy and marketing mix strategy to improve marketing performance in the bottled water business. South East Asia Journal of Contemporary Business. </w:t>
      </w:r>
      <w:r w:rsidRPr="00D231A0">
        <w:rPr>
          <w:rFonts w:ascii="Arial" w:eastAsia="Times New Roman" w:hAnsi="Arial" w:cs="Arial"/>
          <w:i/>
          <w:iCs/>
          <w:color w:val="222222"/>
          <w:shd w:val="clear" w:color="auto" w:fill="FFFFFF"/>
        </w:rPr>
        <w:t>Economics and Law</w:t>
      </w:r>
      <w:r w:rsidRPr="00D231A0">
        <w:rPr>
          <w:rFonts w:ascii="Arial" w:eastAsia="Times New Roman" w:hAnsi="Arial" w:cs="Arial"/>
          <w:color w:val="222222"/>
          <w:shd w:val="clear" w:color="auto" w:fill="FFFFFF"/>
        </w:rPr>
        <w:t>, </w:t>
      </w:r>
      <w:r w:rsidRPr="00D231A0">
        <w:rPr>
          <w:rFonts w:ascii="Arial" w:eastAsia="Times New Roman" w:hAnsi="Arial" w:cs="Arial"/>
          <w:i/>
          <w:iCs/>
          <w:color w:val="222222"/>
          <w:shd w:val="clear" w:color="auto" w:fill="FFFFFF"/>
        </w:rPr>
        <w:t>12</w:t>
      </w:r>
      <w:r w:rsidRPr="00D231A0">
        <w:rPr>
          <w:rFonts w:ascii="Arial" w:eastAsia="Times New Roman" w:hAnsi="Arial" w:cs="Arial"/>
          <w:color w:val="222222"/>
          <w:shd w:val="clear" w:color="auto" w:fill="FFFFFF"/>
        </w:rPr>
        <w:t>(2), pp.38-47.</w:t>
      </w:r>
    </w:p>
    <w:p w14:paraId="13A7AEA7" w14:textId="46909093" w:rsidR="008F1EA4" w:rsidRPr="00D231A0" w:rsidRDefault="00CB6348" w:rsidP="006C101B">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Statista (2025) Protein Powder – Southern Asia market outlook. Statista.</w:t>
      </w:r>
    </w:p>
    <w:p w14:paraId="31DE5CBE" w14:textId="77777777" w:rsidR="00CB6348" w:rsidRPr="00D231A0" w:rsidRDefault="00CB6348"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Wind, Y.J. and Bell, D.R., 2008. Market segmentation. In </w:t>
      </w:r>
      <w:r w:rsidRPr="00D231A0">
        <w:rPr>
          <w:rFonts w:ascii="Arial" w:eastAsia="Times New Roman" w:hAnsi="Arial" w:cs="Arial"/>
          <w:i/>
          <w:iCs/>
          <w:color w:val="222222"/>
          <w:shd w:val="clear" w:color="auto" w:fill="FFFFFF"/>
        </w:rPr>
        <w:t>The marketing book</w:t>
      </w:r>
      <w:r w:rsidRPr="00D231A0">
        <w:rPr>
          <w:rFonts w:ascii="Arial" w:eastAsia="Times New Roman" w:hAnsi="Arial" w:cs="Arial"/>
          <w:color w:val="222222"/>
          <w:shd w:val="clear" w:color="auto" w:fill="FFFFFF"/>
        </w:rPr>
        <w:t> (pp. 260-282). Routledge.</w:t>
      </w:r>
    </w:p>
    <w:p w14:paraId="286F264D" w14:textId="255DFA87" w:rsidR="00242C20" w:rsidRPr="00D231A0" w:rsidRDefault="00242C20" w:rsidP="00CB6348">
      <w:pPr>
        <w:spacing w:line="360" w:lineRule="auto"/>
        <w:rPr>
          <w:rFonts w:ascii="Arial" w:eastAsia="Times New Roman" w:hAnsi="Arial" w:cs="Arial"/>
          <w:color w:val="222222"/>
          <w:shd w:val="clear" w:color="auto" w:fill="FFFFFF"/>
        </w:rPr>
      </w:pPr>
      <w:r w:rsidRPr="00D231A0">
        <w:rPr>
          <w:rFonts w:ascii="Arial" w:eastAsia="Times New Roman" w:hAnsi="Arial" w:cs="Arial"/>
          <w:color w:val="222222"/>
          <w:shd w:val="clear" w:color="auto" w:fill="FFFFFF"/>
        </w:rPr>
        <w:t>Yadav, H., 2023. Analysis of Marketing Strategies of Nestle Maggi. </w:t>
      </w:r>
      <w:r w:rsidRPr="00D231A0">
        <w:rPr>
          <w:rFonts w:ascii="Arial" w:eastAsia="Times New Roman" w:hAnsi="Arial" w:cs="Arial"/>
          <w:i/>
          <w:iCs/>
          <w:color w:val="222222"/>
          <w:shd w:val="clear" w:color="auto" w:fill="FFFFFF"/>
        </w:rPr>
        <w:t xml:space="preserve">International Journal </w:t>
      </w:r>
      <w:proofErr w:type="gramStart"/>
      <w:r w:rsidRPr="00D231A0">
        <w:rPr>
          <w:rFonts w:ascii="Arial" w:eastAsia="Times New Roman" w:hAnsi="Arial" w:cs="Arial"/>
          <w:i/>
          <w:iCs/>
          <w:color w:val="222222"/>
          <w:shd w:val="clear" w:color="auto" w:fill="FFFFFF"/>
        </w:rPr>
        <w:t>For</w:t>
      </w:r>
      <w:proofErr w:type="gramEnd"/>
      <w:r w:rsidRPr="00D231A0">
        <w:rPr>
          <w:rFonts w:ascii="Arial" w:eastAsia="Times New Roman" w:hAnsi="Arial" w:cs="Arial"/>
          <w:i/>
          <w:iCs/>
          <w:color w:val="222222"/>
          <w:shd w:val="clear" w:color="auto" w:fill="FFFFFF"/>
        </w:rPr>
        <w:t xml:space="preserve"> Multidisciplinary Research</w:t>
      </w:r>
      <w:r w:rsidRPr="00D231A0">
        <w:rPr>
          <w:rFonts w:ascii="Arial" w:eastAsia="Times New Roman" w:hAnsi="Arial" w:cs="Arial"/>
          <w:color w:val="222222"/>
          <w:shd w:val="clear" w:color="auto" w:fill="FFFFFF"/>
        </w:rPr>
        <w:t>, </w:t>
      </w:r>
      <w:r w:rsidRPr="00D231A0">
        <w:rPr>
          <w:rFonts w:ascii="Arial" w:eastAsia="Times New Roman" w:hAnsi="Arial" w:cs="Arial"/>
          <w:i/>
          <w:iCs/>
          <w:color w:val="222222"/>
          <w:shd w:val="clear" w:color="auto" w:fill="FFFFFF"/>
        </w:rPr>
        <w:t>5</w:t>
      </w:r>
      <w:r w:rsidRPr="00D231A0">
        <w:rPr>
          <w:rFonts w:ascii="Arial" w:eastAsia="Times New Roman" w:hAnsi="Arial" w:cs="Arial"/>
          <w:color w:val="222222"/>
          <w:shd w:val="clear" w:color="auto" w:fill="FFFFFF"/>
        </w:rPr>
        <w:t>(2).</w:t>
      </w:r>
    </w:p>
    <w:p w14:paraId="3A98B9EB" w14:textId="77777777" w:rsidR="00CB6348" w:rsidRPr="00D231A0" w:rsidRDefault="00CB6348" w:rsidP="00CB6348">
      <w:pPr>
        <w:spacing w:line="360" w:lineRule="auto"/>
        <w:rPr>
          <w:rFonts w:ascii="Arial" w:hAnsi="Arial" w:cs="Arial"/>
        </w:rPr>
      </w:pPr>
      <w:proofErr w:type="spellStart"/>
      <w:r w:rsidRPr="00D231A0">
        <w:rPr>
          <w:rFonts w:ascii="Arial" w:hAnsi="Arial" w:cs="Arial"/>
        </w:rPr>
        <w:t>Yudelson</w:t>
      </w:r>
      <w:proofErr w:type="spellEnd"/>
      <w:r w:rsidRPr="00D231A0">
        <w:rPr>
          <w:rFonts w:ascii="Arial" w:hAnsi="Arial" w:cs="Arial"/>
        </w:rPr>
        <w:t xml:space="preserve"> J. (1999). Adapting McCarthy’s Four </w:t>
      </w:r>
      <w:proofErr w:type="gramStart"/>
      <w:r w:rsidRPr="00D231A0">
        <w:rPr>
          <w:rFonts w:ascii="Arial" w:hAnsi="Arial" w:cs="Arial"/>
        </w:rPr>
        <w:t>P’s</w:t>
      </w:r>
      <w:proofErr w:type="gramEnd"/>
      <w:r w:rsidRPr="00D231A0">
        <w:rPr>
          <w:rFonts w:ascii="Arial" w:hAnsi="Arial" w:cs="Arial"/>
        </w:rPr>
        <w:t xml:space="preserve"> for the Twenty-First Century. Journal of Marketing Education, 21(1): 60-67.</w:t>
      </w:r>
    </w:p>
    <w:p w14:paraId="2840DD12" w14:textId="439AB139" w:rsidR="00E43CE7" w:rsidRDefault="00CB6348" w:rsidP="00CB6348">
      <w:pPr>
        <w:pStyle w:val="Heading1"/>
        <w:rPr>
          <w:rFonts w:eastAsia="Times New Roman"/>
        </w:rPr>
      </w:pPr>
      <w:bookmarkStart w:id="10" w:name="_Toc215041075"/>
      <w:r>
        <w:rPr>
          <w:rFonts w:eastAsia="Times New Roman"/>
        </w:rPr>
        <w:lastRenderedPageBreak/>
        <w:t>Appendix</w:t>
      </w:r>
      <w:bookmarkEnd w:id="10"/>
    </w:p>
    <w:p w14:paraId="4EC55FE9" w14:textId="1D187381" w:rsidR="00716EF1" w:rsidRPr="00716EF1" w:rsidRDefault="00716EF1" w:rsidP="00716EF1">
      <w:pPr>
        <w:spacing w:before="100" w:beforeAutospacing="1" w:after="100" w:afterAutospacing="1"/>
        <w:ind w:firstLine="720"/>
        <w:jc w:val="left"/>
        <w:rPr>
          <w:rFonts w:eastAsia="Times New Roman" w:cs="Times New Roman"/>
          <w:kern w:val="0"/>
          <w14:ligatures w14:val="none"/>
        </w:rPr>
      </w:pPr>
      <w:r w:rsidRPr="00690BB8">
        <w:rPr>
          <w:rFonts w:ascii="Arial" w:eastAsia="Times New Roman" w:hAnsi="Arial" w:cs="Arial"/>
          <w:noProof/>
          <w:kern w:val="0"/>
          <w14:ligatures w14:val="none"/>
        </w:rPr>
        <w:drawing>
          <wp:inline distT="0" distB="0" distL="0" distR="0" wp14:anchorId="037230C3" wp14:editId="18877F57">
            <wp:extent cx="4687478" cy="72463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a:stretch>
                      <a:fillRect/>
                    </a:stretch>
                  </pic:blipFill>
                  <pic:spPr bwMode="auto">
                    <a:xfrm>
                      <a:off x="0" y="0"/>
                      <a:ext cx="4687478" cy="7246342"/>
                    </a:xfrm>
                    <a:prstGeom prst="rect">
                      <a:avLst/>
                    </a:prstGeom>
                    <a:noFill/>
                    <a:ln>
                      <a:noFill/>
                    </a:ln>
                  </pic:spPr>
                </pic:pic>
              </a:graphicData>
            </a:graphic>
          </wp:inline>
        </w:drawing>
      </w:r>
    </w:p>
    <w:p w14:paraId="06765155" w14:textId="668DE101" w:rsidR="00A02F37" w:rsidRPr="002D370E" w:rsidRDefault="00A02F37" w:rsidP="002D370E">
      <w:pPr>
        <w:spacing w:before="100" w:beforeAutospacing="1" w:after="100" w:afterAutospacing="1"/>
        <w:jc w:val="left"/>
        <w:rPr>
          <w:rFonts w:eastAsia="Times New Roman" w:cs="Times New Roman"/>
          <w:kern w:val="0"/>
          <w14:ligatures w14:val="none"/>
        </w:rPr>
      </w:pPr>
    </w:p>
    <w:sectPr w:rsidR="00A02F37" w:rsidRPr="002D370E">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523BA" w14:textId="77777777" w:rsidR="00E20560" w:rsidRDefault="00E20560" w:rsidP="002311F6">
      <w:pPr>
        <w:spacing w:after="0"/>
      </w:pPr>
      <w:r>
        <w:separator/>
      </w:r>
    </w:p>
  </w:endnote>
  <w:endnote w:type="continuationSeparator" w:id="0">
    <w:p w14:paraId="11F34407" w14:textId="77777777" w:rsidR="00E20560" w:rsidRDefault="00E20560" w:rsidP="002311F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2912620"/>
      <w:docPartObj>
        <w:docPartGallery w:val="Page Numbers (Bottom of Page)"/>
        <w:docPartUnique/>
      </w:docPartObj>
    </w:sdtPr>
    <w:sdtContent>
      <w:p w14:paraId="6CF079BC" w14:textId="6B2366E3" w:rsidR="007106F1" w:rsidRDefault="007106F1" w:rsidP="0054536A">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58982777"/>
      <w:docPartObj>
        <w:docPartGallery w:val="Page Numbers (Bottom of Page)"/>
        <w:docPartUnique/>
      </w:docPartObj>
    </w:sdtPr>
    <w:sdtContent>
      <w:p w14:paraId="04A96004" w14:textId="4BD5BC8A" w:rsidR="007106F1" w:rsidRDefault="007106F1" w:rsidP="007106F1">
        <w:pPr>
          <w:pStyle w:val="Footer"/>
          <w:framePr w:wrap="none" w:vAnchor="text" w:hAnchor="margin" w:xAlign="right" w:y="1"/>
          <w:ind w:right="360"/>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sidR="00690BB8">
          <w:rPr>
            <w:rStyle w:val="PageNumber"/>
          </w:rPr>
          <w:fldChar w:fldCharType="separate"/>
        </w:r>
        <w:r w:rsidR="00690BB8">
          <w:rPr>
            <w:rStyle w:val="PageNumber"/>
            <w:noProof/>
          </w:rPr>
          <w:t>17</w:t>
        </w:r>
        <w:r>
          <w:rPr>
            <w:rStyle w:val="PageNumber"/>
          </w:rPr>
          <w:fldChar w:fldCharType="end"/>
        </w:r>
      </w:p>
    </w:sdtContent>
  </w:sdt>
  <w:sdt>
    <w:sdtPr>
      <w:rPr>
        <w:rStyle w:val="PageNumber"/>
      </w:rPr>
      <w:id w:val="-1480681258"/>
      <w:docPartObj>
        <w:docPartGallery w:val="Page Numbers (Bottom of Page)"/>
        <w:docPartUnique/>
      </w:docPartObj>
    </w:sdtPr>
    <w:sdtContent>
      <w:p w14:paraId="674CD767" w14:textId="6914892F" w:rsidR="007106F1" w:rsidRDefault="007106F1" w:rsidP="007106F1">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36508305"/>
      <w:docPartObj>
        <w:docPartGallery w:val="Page Numbers (Bottom of Page)"/>
        <w:docPartUnique/>
      </w:docPartObj>
    </w:sdtPr>
    <w:sdtContent>
      <w:p w14:paraId="0B8906A8" w14:textId="4BA7660F" w:rsidR="007106F1" w:rsidRDefault="007106F1" w:rsidP="007106F1">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98758812"/>
      <w:docPartObj>
        <w:docPartGallery w:val="Page Numbers (Bottom of Page)"/>
        <w:docPartUnique/>
      </w:docPartObj>
    </w:sdtPr>
    <w:sdtContent>
      <w:p w14:paraId="04E8FD7F" w14:textId="4CCE8514" w:rsidR="007106F1" w:rsidRDefault="007106F1" w:rsidP="007106F1">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7F056A" w14:textId="77777777" w:rsidR="002311F6" w:rsidRDefault="002311F6" w:rsidP="007106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5965418"/>
      <w:docPartObj>
        <w:docPartGallery w:val="Page Numbers (Bottom of Page)"/>
        <w:docPartUnique/>
      </w:docPartObj>
    </w:sdtPr>
    <w:sdtContent>
      <w:p w14:paraId="0C529396" w14:textId="0CA8D922" w:rsidR="007106F1" w:rsidRDefault="007106F1" w:rsidP="0054536A">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3351BF9" w14:textId="0060A787" w:rsidR="007106F1" w:rsidRDefault="007106F1" w:rsidP="007106F1">
    <w:pPr>
      <w:pStyle w:val="Footer"/>
      <w:framePr w:wrap="none" w:vAnchor="text" w:hAnchor="margin" w:xAlign="right" w:y="1"/>
      <w:ind w:right="360"/>
      <w:jc w:val="right"/>
      <w:rPr>
        <w:rStyle w:val="PageNumber"/>
      </w:rPr>
    </w:pPr>
  </w:p>
  <w:p w14:paraId="4AFBCDC0" w14:textId="77777777" w:rsidR="002311F6" w:rsidRDefault="002311F6" w:rsidP="007106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A6090" w14:textId="77777777" w:rsidR="00E20560" w:rsidRDefault="00E20560" w:rsidP="002311F6">
      <w:pPr>
        <w:spacing w:after="0"/>
      </w:pPr>
      <w:r>
        <w:separator/>
      </w:r>
    </w:p>
  </w:footnote>
  <w:footnote w:type="continuationSeparator" w:id="0">
    <w:p w14:paraId="04086576" w14:textId="77777777" w:rsidR="00E20560" w:rsidRDefault="00E20560" w:rsidP="002311F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B43F0"/>
    <w:multiLevelType w:val="hybridMultilevel"/>
    <w:tmpl w:val="3BCEDF4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30C6818"/>
    <w:multiLevelType w:val="hybridMultilevel"/>
    <w:tmpl w:val="5C664C76"/>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503553A"/>
    <w:multiLevelType w:val="hybridMultilevel"/>
    <w:tmpl w:val="B2469B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F659E3"/>
    <w:multiLevelType w:val="hybridMultilevel"/>
    <w:tmpl w:val="45AC6E12"/>
    <w:lvl w:ilvl="0" w:tplc="4BCC60E0">
      <w:start w:val="1"/>
      <w:numFmt w:val="decimal"/>
      <w:lvlText w:val="%1."/>
      <w:lvlJc w:val="left"/>
      <w:pPr>
        <w:ind w:left="360" w:hanging="360"/>
      </w:pPr>
      <w:rPr>
        <w:rFonts w:hint="default"/>
        <w:color w:val="00000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3F1D0C"/>
    <w:multiLevelType w:val="hybridMultilevel"/>
    <w:tmpl w:val="B0DA3F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B7B5802"/>
    <w:multiLevelType w:val="hybridMultilevel"/>
    <w:tmpl w:val="212C0634"/>
    <w:lvl w:ilvl="0" w:tplc="A5E4CA30">
      <w:start w:val="1"/>
      <w:numFmt w:val="decimal"/>
      <w:lvlText w:val="%1."/>
      <w:lvlJc w:val="left"/>
      <w:pPr>
        <w:ind w:left="492" w:hanging="492"/>
      </w:pPr>
      <w:rPr>
        <w:rFonts w:hint="default"/>
        <w:color w:val="000000"/>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53E71B76"/>
    <w:multiLevelType w:val="hybridMultilevel"/>
    <w:tmpl w:val="659A37A0"/>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55F1437D"/>
    <w:multiLevelType w:val="hybridMultilevel"/>
    <w:tmpl w:val="83E6ABB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79557CC0"/>
    <w:multiLevelType w:val="hybridMultilevel"/>
    <w:tmpl w:val="CD6E8BC8"/>
    <w:lvl w:ilvl="0" w:tplc="4BCC60E0">
      <w:start w:val="1"/>
      <w:numFmt w:val="decimal"/>
      <w:lvlText w:val="%1."/>
      <w:lvlJc w:val="left"/>
      <w:pPr>
        <w:ind w:left="360" w:hanging="360"/>
      </w:pPr>
      <w:rPr>
        <w:rFonts w:hint="default"/>
        <w:color w:val="000000"/>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325742681">
    <w:abstractNumId w:val="2"/>
  </w:num>
  <w:num w:numId="2" w16cid:durableId="64298757">
    <w:abstractNumId w:val="1"/>
  </w:num>
  <w:num w:numId="3" w16cid:durableId="286854904">
    <w:abstractNumId w:val="6"/>
  </w:num>
  <w:num w:numId="4" w16cid:durableId="914440187">
    <w:abstractNumId w:val="7"/>
  </w:num>
  <w:num w:numId="5" w16cid:durableId="694230454">
    <w:abstractNumId w:val="4"/>
  </w:num>
  <w:num w:numId="6" w16cid:durableId="967589909">
    <w:abstractNumId w:val="0"/>
  </w:num>
  <w:num w:numId="7" w16cid:durableId="680009529">
    <w:abstractNumId w:val="8"/>
  </w:num>
  <w:num w:numId="8" w16cid:durableId="1236743545">
    <w:abstractNumId w:val="3"/>
  </w:num>
  <w:num w:numId="9" w16cid:durableId="8162649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533"/>
    <w:rsid w:val="000372D0"/>
    <w:rsid w:val="000376A9"/>
    <w:rsid w:val="0004733D"/>
    <w:rsid w:val="0005662A"/>
    <w:rsid w:val="0007092B"/>
    <w:rsid w:val="00072A86"/>
    <w:rsid w:val="00084171"/>
    <w:rsid w:val="00093A7B"/>
    <w:rsid w:val="000A4B73"/>
    <w:rsid w:val="000C38E2"/>
    <w:rsid w:val="000D4AF8"/>
    <w:rsid w:val="000D5377"/>
    <w:rsid w:val="000D6BFA"/>
    <w:rsid w:val="000E07EB"/>
    <w:rsid w:val="000E1B12"/>
    <w:rsid w:val="000E48F2"/>
    <w:rsid w:val="000E4F8E"/>
    <w:rsid w:val="00123800"/>
    <w:rsid w:val="001418E9"/>
    <w:rsid w:val="0014671C"/>
    <w:rsid w:val="00165412"/>
    <w:rsid w:val="00170EF9"/>
    <w:rsid w:val="001775D6"/>
    <w:rsid w:val="001807A2"/>
    <w:rsid w:val="00187A74"/>
    <w:rsid w:val="00197C47"/>
    <w:rsid w:val="001A14BB"/>
    <w:rsid w:val="001C228D"/>
    <w:rsid w:val="001C69CD"/>
    <w:rsid w:val="001C78F5"/>
    <w:rsid w:val="001D3001"/>
    <w:rsid w:val="001E7400"/>
    <w:rsid w:val="001F7107"/>
    <w:rsid w:val="00221DFA"/>
    <w:rsid w:val="002311F6"/>
    <w:rsid w:val="00237AC2"/>
    <w:rsid w:val="00242C20"/>
    <w:rsid w:val="00251411"/>
    <w:rsid w:val="00254961"/>
    <w:rsid w:val="0025584F"/>
    <w:rsid w:val="00255D58"/>
    <w:rsid w:val="002571E9"/>
    <w:rsid w:val="002A0087"/>
    <w:rsid w:val="002A6F9B"/>
    <w:rsid w:val="002D04D6"/>
    <w:rsid w:val="002D370E"/>
    <w:rsid w:val="002D3DBC"/>
    <w:rsid w:val="002D74C8"/>
    <w:rsid w:val="00310C63"/>
    <w:rsid w:val="00314AB1"/>
    <w:rsid w:val="00320BD7"/>
    <w:rsid w:val="00326CDB"/>
    <w:rsid w:val="00332344"/>
    <w:rsid w:val="00350C91"/>
    <w:rsid w:val="00353DE6"/>
    <w:rsid w:val="00382E69"/>
    <w:rsid w:val="00393843"/>
    <w:rsid w:val="00393B33"/>
    <w:rsid w:val="00393F82"/>
    <w:rsid w:val="0039678B"/>
    <w:rsid w:val="003A4CDF"/>
    <w:rsid w:val="003A68C1"/>
    <w:rsid w:val="003B0E99"/>
    <w:rsid w:val="003B385D"/>
    <w:rsid w:val="003F01D3"/>
    <w:rsid w:val="003F6F5C"/>
    <w:rsid w:val="003F7680"/>
    <w:rsid w:val="00411635"/>
    <w:rsid w:val="004237BC"/>
    <w:rsid w:val="00431279"/>
    <w:rsid w:val="00450B6E"/>
    <w:rsid w:val="00452693"/>
    <w:rsid w:val="004648AE"/>
    <w:rsid w:val="004721B0"/>
    <w:rsid w:val="004853C8"/>
    <w:rsid w:val="0049352D"/>
    <w:rsid w:val="004A7544"/>
    <w:rsid w:val="004B72FF"/>
    <w:rsid w:val="004C7A45"/>
    <w:rsid w:val="004E5484"/>
    <w:rsid w:val="004E5E59"/>
    <w:rsid w:val="00502950"/>
    <w:rsid w:val="00515775"/>
    <w:rsid w:val="00516E92"/>
    <w:rsid w:val="00524CED"/>
    <w:rsid w:val="00527C8F"/>
    <w:rsid w:val="00542C91"/>
    <w:rsid w:val="00562A1E"/>
    <w:rsid w:val="0056307E"/>
    <w:rsid w:val="005717ED"/>
    <w:rsid w:val="00576565"/>
    <w:rsid w:val="005A3F73"/>
    <w:rsid w:val="005A4B62"/>
    <w:rsid w:val="005B0A51"/>
    <w:rsid w:val="005B38A0"/>
    <w:rsid w:val="005B413A"/>
    <w:rsid w:val="005B5476"/>
    <w:rsid w:val="005C179B"/>
    <w:rsid w:val="005D3165"/>
    <w:rsid w:val="005F2B02"/>
    <w:rsid w:val="005F6238"/>
    <w:rsid w:val="0060372C"/>
    <w:rsid w:val="0060554A"/>
    <w:rsid w:val="006138A2"/>
    <w:rsid w:val="00613EDE"/>
    <w:rsid w:val="00617328"/>
    <w:rsid w:val="006228B9"/>
    <w:rsid w:val="00634299"/>
    <w:rsid w:val="00636885"/>
    <w:rsid w:val="00637266"/>
    <w:rsid w:val="006379BA"/>
    <w:rsid w:val="006449D1"/>
    <w:rsid w:val="00656889"/>
    <w:rsid w:val="00662538"/>
    <w:rsid w:val="00665B33"/>
    <w:rsid w:val="0067100D"/>
    <w:rsid w:val="006849CB"/>
    <w:rsid w:val="00685EFD"/>
    <w:rsid w:val="00690BB8"/>
    <w:rsid w:val="00691662"/>
    <w:rsid w:val="006A4E98"/>
    <w:rsid w:val="006A7953"/>
    <w:rsid w:val="006B6D88"/>
    <w:rsid w:val="006C101B"/>
    <w:rsid w:val="006C50D8"/>
    <w:rsid w:val="006C6A0C"/>
    <w:rsid w:val="006D2855"/>
    <w:rsid w:val="006D394D"/>
    <w:rsid w:val="006E0C03"/>
    <w:rsid w:val="006E5526"/>
    <w:rsid w:val="006F4D65"/>
    <w:rsid w:val="007106F1"/>
    <w:rsid w:val="00714585"/>
    <w:rsid w:val="00716EF1"/>
    <w:rsid w:val="00741B39"/>
    <w:rsid w:val="00763851"/>
    <w:rsid w:val="007712ED"/>
    <w:rsid w:val="007818CD"/>
    <w:rsid w:val="007859DD"/>
    <w:rsid w:val="007902C8"/>
    <w:rsid w:val="00791CD6"/>
    <w:rsid w:val="00792C01"/>
    <w:rsid w:val="007A5BBA"/>
    <w:rsid w:val="007B4B67"/>
    <w:rsid w:val="007B4FBB"/>
    <w:rsid w:val="007C2E1B"/>
    <w:rsid w:val="007C37E2"/>
    <w:rsid w:val="007E1479"/>
    <w:rsid w:val="007E2344"/>
    <w:rsid w:val="007E407D"/>
    <w:rsid w:val="007F4943"/>
    <w:rsid w:val="008006DE"/>
    <w:rsid w:val="00801D77"/>
    <w:rsid w:val="00811D94"/>
    <w:rsid w:val="00811EA6"/>
    <w:rsid w:val="00817CFF"/>
    <w:rsid w:val="008403D7"/>
    <w:rsid w:val="00847168"/>
    <w:rsid w:val="008504C4"/>
    <w:rsid w:val="00855BD4"/>
    <w:rsid w:val="008604D8"/>
    <w:rsid w:val="0086348D"/>
    <w:rsid w:val="00866880"/>
    <w:rsid w:val="008941A0"/>
    <w:rsid w:val="008B36B6"/>
    <w:rsid w:val="008B41FD"/>
    <w:rsid w:val="008D453E"/>
    <w:rsid w:val="008D7C4A"/>
    <w:rsid w:val="008E2920"/>
    <w:rsid w:val="008E438B"/>
    <w:rsid w:val="008E5114"/>
    <w:rsid w:val="008F14B4"/>
    <w:rsid w:val="008F1EA4"/>
    <w:rsid w:val="009040F3"/>
    <w:rsid w:val="009062A8"/>
    <w:rsid w:val="009263D8"/>
    <w:rsid w:val="00936A7A"/>
    <w:rsid w:val="009422A0"/>
    <w:rsid w:val="00945F32"/>
    <w:rsid w:val="00952DAA"/>
    <w:rsid w:val="00955EA2"/>
    <w:rsid w:val="00956885"/>
    <w:rsid w:val="00971449"/>
    <w:rsid w:val="00982CC3"/>
    <w:rsid w:val="00983AF6"/>
    <w:rsid w:val="009932CE"/>
    <w:rsid w:val="009A414B"/>
    <w:rsid w:val="009A49B4"/>
    <w:rsid w:val="009B0CEB"/>
    <w:rsid w:val="009C4944"/>
    <w:rsid w:val="009D7E0B"/>
    <w:rsid w:val="009F59A0"/>
    <w:rsid w:val="00A019B0"/>
    <w:rsid w:val="00A02F37"/>
    <w:rsid w:val="00A119D4"/>
    <w:rsid w:val="00A20DD0"/>
    <w:rsid w:val="00A333AA"/>
    <w:rsid w:val="00A41A9E"/>
    <w:rsid w:val="00A42EA2"/>
    <w:rsid w:val="00A62E2B"/>
    <w:rsid w:val="00A62EE8"/>
    <w:rsid w:val="00A73B8C"/>
    <w:rsid w:val="00A90082"/>
    <w:rsid w:val="00A91FA5"/>
    <w:rsid w:val="00A95C41"/>
    <w:rsid w:val="00AA0A36"/>
    <w:rsid w:val="00AA41B5"/>
    <w:rsid w:val="00AA46C3"/>
    <w:rsid w:val="00AA5CC4"/>
    <w:rsid w:val="00AA5D49"/>
    <w:rsid w:val="00AD20B4"/>
    <w:rsid w:val="00AE1A45"/>
    <w:rsid w:val="00AF3F9E"/>
    <w:rsid w:val="00AF6DCE"/>
    <w:rsid w:val="00B021BA"/>
    <w:rsid w:val="00B22DE0"/>
    <w:rsid w:val="00B23D68"/>
    <w:rsid w:val="00B412BA"/>
    <w:rsid w:val="00B506B5"/>
    <w:rsid w:val="00B61635"/>
    <w:rsid w:val="00B66566"/>
    <w:rsid w:val="00B94C45"/>
    <w:rsid w:val="00BB423D"/>
    <w:rsid w:val="00BC7522"/>
    <w:rsid w:val="00BE03F1"/>
    <w:rsid w:val="00BE4FF5"/>
    <w:rsid w:val="00C02FA0"/>
    <w:rsid w:val="00C14754"/>
    <w:rsid w:val="00C17299"/>
    <w:rsid w:val="00C175EE"/>
    <w:rsid w:val="00C6083A"/>
    <w:rsid w:val="00C6298E"/>
    <w:rsid w:val="00C667DF"/>
    <w:rsid w:val="00C75EAA"/>
    <w:rsid w:val="00C829F9"/>
    <w:rsid w:val="00C84FA7"/>
    <w:rsid w:val="00C84FEF"/>
    <w:rsid w:val="00C90640"/>
    <w:rsid w:val="00CB1A29"/>
    <w:rsid w:val="00CB6348"/>
    <w:rsid w:val="00CE6EEB"/>
    <w:rsid w:val="00CF3A14"/>
    <w:rsid w:val="00D231A0"/>
    <w:rsid w:val="00D52EB3"/>
    <w:rsid w:val="00D84533"/>
    <w:rsid w:val="00DC53F5"/>
    <w:rsid w:val="00DC6E48"/>
    <w:rsid w:val="00DF366E"/>
    <w:rsid w:val="00DF652D"/>
    <w:rsid w:val="00DF6AF3"/>
    <w:rsid w:val="00E20560"/>
    <w:rsid w:val="00E218F5"/>
    <w:rsid w:val="00E21DB1"/>
    <w:rsid w:val="00E228B2"/>
    <w:rsid w:val="00E25617"/>
    <w:rsid w:val="00E30761"/>
    <w:rsid w:val="00E42019"/>
    <w:rsid w:val="00E43CE7"/>
    <w:rsid w:val="00E43FAA"/>
    <w:rsid w:val="00E44640"/>
    <w:rsid w:val="00E6147F"/>
    <w:rsid w:val="00E64899"/>
    <w:rsid w:val="00E70831"/>
    <w:rsid w:val="00E90CFD"/>
    <w:rsid w:val="00EA1076"/>
    <w:rsid w:val="00EA7179"/>
    <w:rsid w:val="00EB04BA"/>
    <w:rsid w:val="00EB0F7F"/>
    <w:rsid w:val="00EB176D"/>
    <w:rsid w:val="00EC5F3D"/>
    <w:rsid w:val="00ED1C77"/>
    <w:rsid w:val="00EE008B"/>
    <w:rsid w:val="00F0114B"/>
    <w:rsid w:val="00F03FC6"/>
    <w:rsid w:val="00F13D42"/>
    <w:rsid w:val="00F14833"/>
    <w:rsid w:val="00F23CB3"/>
    <w:rsid w:val="00F32383"/>
    <w:rsid w:val="00F37740"/>
    <w:rsid w:val="00F42979"/>
    <w:rsid w:val="00F57518"/>
    <w:rsid w:val="00F60786"/>
    <w:rsid w:val="00F74D9D"/>
    <w:rsid w:val="00F75DFF"/>
    <w:rsid w:val="00F77C5F"/>
    <w:rsid w:val="00F8010E"/>
    <w:rsid w:val="00F91FA4"/>
    <w:rsid w:val="00FA0AD6"/>
    <w:rsid w:val="00FB1E23"/>
    <w:rsid w:val="00FB24F6"/>
    <w:rsid w:val="00FC3680"/>
    <w:rsid w:val="00FE4C8C"/>
    <w:rsid w:val="00FE66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BB73B"/>
  <w15:chartTrackingRefBased/>
  <w15:docId w15:val="{77ADB67C-742D-3A4B-8BDE-A5927D499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FA7"/>
    <w:pPr>
      <w:spacing w:line="240" w:lineRule="auto"/>
      <w:jc w:val="both"/>
    </w:pPr>
    <w:rPr>
      <w:rFonts w:ascii="Times New Roman" w:hAnsi="Times New Roman"/>
    </w:rPr>
  </w:style>
  <w:style w:type="paragraph" w:styleId="Heading1">
    <w:name w:val="heading 1"/>
    <w:basedOn w:val="Normal"/>
    <w:next w:val="Normal"/>
    <w:link w:val="Heading1Char"/>
    <w:uiPriority w:val="9"/>
    <w:qFormat/>
    <w:rsid w:val="00982CC3"/>
    <w:pPr>
      <w:keepNext/>
      <w:keepLines/>
      <w:spacing w:before="480" w:after="200" w:line="360" w:lineRule="auto"/>
      <w:outlineLvl w:val="0"/>
    </w:pPr>
    <w:rPr>
      <w:rFonts w:eastAsiaTheme="majorEastAsia" w:cstheme="majorBidi"/>
      <w:color w:val="0F4761" w:themeColor="accent1" w:themeShade="BF"/>
      <w:sz w:val="28"/>
      <w:szCs w:val="40"/>
    </w:rPr>
  </w:style>
  <w:style w:type="paragraph" w:styleId="Heading2">
    <w:name w:val="heading 2"/>
    <w:basedOn w:val="Normal"/>
    <w:next w:val="Normal"/>
    <w:link w:val="Heading2Char"/>
    <w:uiPriority w:val="9"/>
    <w:semiHidden/>
    <w:unhideWhenUsed/>
    <w:qFormat/>
    <w:rsid w:val="00D845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5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5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5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5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5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5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5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CC3"/>
    <w:rPr>
      <w:rFonts w:ascii="Times New Roman" w:eastAsiaTheme="majorEastAsia" w:hAnsi="Times New Roman" w:cstheme="majorBidi"/>
      <w:color w:val="0F4761" w:themeColor="accent1" w:themeShade="BF"/>
      <w:sz w:val="28"/>
      <w:szCs w:val="40"/>
    </w:rPr>
  </w:style>
  <w:style w:type="character" w:customStyle="1" w:styleId="Heading2Char">
    <w:name w:val="Heading 2 Char"/>
    <w:basedOn w:val="DefaultParagraphFont"/>
    <w:link w:val="Heading2"/>
    <w:uiPriority w:val="9"/>
    <w:semiHidden/>
    <w:rsid w:val="00D845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5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5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5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5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5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5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533"/>
    <w:rPr>
      <w:rFonts w:eastAsiaTheme="majorEastAsia" w:cstheme="majorBidi"/>
      <w:color w:val="272727" w:themeColor="text1" w:themeTint="D8"/>
    </w:rPr>
  </w:style>
  <w:style w:type="paragraph" w:styleId="Title">
    <w:name w:val="Title"/>
    <w:basedOn w:val="Normal"/>
    <w:next w:val="Normal"/>
    <w:link w:val="TitleChar"/>
    <w:uiPriority w:val="10"/>
    <w:qFormat/>
    <w:rsid w:val="00D8453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5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5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5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533"/>
    <w:pPr>
      <w:spacing w:before="160"/>
      <w:jc w:val="center"/>
    </w:pPr>
    <w:rPr>
      <w:i/>
      <w:iCs/>
      <w:color w:val="404040" w:themeColor="text1" w:themeTint="BF"/>
    </w:rPr>
  </w:style>
  <w:style w:type="character" w:customStyle="1" w:styleId="QuoteChar">
    <w:name w:val="Quote Char"/>
    <w:basedOn w:val="DefaultParagraphFont"/>
    <w:link w:val="Quote"/>
    <w:uiPriority w:val="29"/>
    <w:rsid w:val="00D84533"/>
    <w:rPr>
      <w:i/>
      <w:iCs/>
      <w:color w:val="404040" w:themeColor="text1" w:themeTint="BF"/>
    </w:rPr>
  </w:style>
  <w:style w:type="paragraph" w:styleId="ListParagraph">
    <w:name w:val="List Paragraph"/>
    <w:basedOn w:val="Normal"/>
    <w:uiPriority w:val="34"/>
    <w:qFormat/>
    <w:rsid w:val="00D84533"/>
    <w:pPr>
      <w:ind w:left="720"/>
      <w:contextualSpacing/>
    </w:pPr>
  </w:style>
  <w:style w:type="character" w:styleId="IntenseEmphasis">
    <w:name w:val="Intense Emphasis"/>
    <w:basedOn w:val="DefaultParagraphFont"/>
    <w:uiPriority w:val="21"/>
    <w:qFormat/>
    <w:rsid w:val="00D84533"/>
    <w:rPr>
      <w:i/>
      <w:iCs/>
      <w:color w:val="0F4761" w:themeColor="accent1" w:themeShade="BF"/>
    </w:rPr>
  </w:style>
  <w:style w:type="paragraph" w:styleId="IntenseQuote">
    <w:name w:val="Intense Quote"/>
    <w:basedOn w:val="Normal"/>
    <w:next w:val="Normal"/>
    <w:link w:val="IntenseQuoteChar"/>
    <w:uiPriority w:val="30"/>
    <w:qFormat/>
    <w:rsid w:val="00D845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533"/>
    <w:rPr>
      <w:i/>
      <w:iCs/>
      <w:color w:val="0F4761" w:themeColor="accent1" w:themeShade="BF"/>
    </w:rPr>
  </w:style>
  <w:style w:type="character" w:styleId="IntenseReference">
    <w:name w:val="Intense Reference"/>
    <w:basedOn w:val="DefaultParagraphFont"/>
    <w:uiPriority w:val="32"/>
    <w:qFormat/>
    <w:rsid w:val="00D84533"/>
    <w:rPr>
      <w:b/>
      <w:bCs/>
      <w:smallCaps/>
      <w:color w:val="0F4761" w:themeColor="accent1" w:themeShade="BF"/>
      <w:spacing w:val="5"/>
    </w:rPr>
  </w:style>
  <w:style w:type="paragraph" w:styleId="NormalWeb">
    <w:name w:val="Normal (Web)"/>
    <w:basedOn w:val="Normal"/>
    <w:uiPriority w:val="99"/>
    <w:unhideWhenUsed/>
    <w:rsid w:val="00093A7B"/>
    <w:pPr>
      <w:spacing w:before="100" w:beforeAutospacing="1" w:after="100" w:afterAutospacing="1"/>
    </w:pPr>
    <w:rPr>
      <w:rFonts w:cs="Times New Roman"/>
      <w:kern w:val="0"/>
      <w14:ligatures w14:val="none"/>
    </w:rPr>
  </w:style>
  <w:style w:type="character" w:styleId="Strong">
    <w:name w:val="Strong"/>
    <w:basedOn w:val="DefaultParagraphFont"/>
    <w:uiPriority w:val="22"/>
    <w:qFormat/>
    <w:rsid w:val="00093A7B"/>
    <w:rPr>
      <w:b/>
      <w:bCs/>
    </w:rPr>
  </w:style>
  <w:style w:type="paragraph" w:styleId="TOCHeading">
    <w:name w:val="TOC Heading"/>
    <w:basedOn w:val="Heading1"/>
    <w:next w:val="Normal"/>
    <w:uiPriority w:val="39"/>
    <w:unhideWhenUsed/>
    <w:qFormat/>
    <w:rsid w:val="00A41A9E"/>
    <w:pPr>
      <w:spacing w:before="240" w:after="0" w:line="259" w:lineRule="auto"/>
      <w:jc w:val="left"/>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A41A9E"/>
    <w:pPr>
      <w:spacing w:after="100"/>
    </w:pPr>
  </w:style>
  <w:style w:type="character" w:styleId="Hyperlink">
    <w:name w:val="Hyperlink"/>
    <w:basedOn w:val="DefaultParagraphFont"/>
    <w:uiPriority w:val="99"/>
    <w:unhideWhenUsed/>
    <w:rsid w:val="00A41A9E"/>
    <w:rPr>
      <w:color w:val="467886" w:themeColor="hyperlink"/>
      <w:u w:val="single"/>
    </w:rPr>
  </w:style>
  <w:style w:type="paragraph" w:styleId="TOC2">
    <w:name w:val="toc 2"/>
    <w:basedOn w:val="Normal"/>
    <w:next w:val="Normal"/>
    <w:autoRedefine/>
    <w:uiPriority w:val="39"/>
    <w:unhideWhenUsed/>
    <w:rsid w:val="00685EFD"/>
    <w:pPr>
      <w:spacing w:after="100" w:line="259" w:lineRule="auto"/>
      <w:ind w:left="220"/>
    </w:pPr>
    <w:rPr>
      <w:rFonts w:cs="Times New Roman"/>
      <w:kern w:val="0"/>
      <w:sz w:val="22"/>
      <w:szCs w:val="22"/>
      <w14:ligatures w14:val="none"/>
    </w:rPr>
  </w:style>
  <w:style w:type="paragraph" w:styleId="TOC3">
    <w:name w:val="toc 3"/>
    <w:basedOn w:val="Normal"/>
    <w:next w:val="Normal"/>
    <w:autoRedefine/>
    <w:uiPriority w:val="39"/>
    <w:unhideWhenUsed/>
    <w:rsid w:val="00685EFD"/>
    <w:pPr>
      <w:spacing w:after="100" w:line="259" w:lineRule="auto"/>
      <w:ind w:left="440"/>
    </w:pPr>
    <w:rPr>
      <w:rFonts w:cs="Times New Roman"/>
      <w:kern w:val="0"/>
      <w:sz w:val="22"/>
      <w:szCs w:val="22"/>
      <w14:ligatures w14:val="none"/>
    </w:rPr>
  </w:style>
  <w:style w:type="paragraph" w:styleId="Caption">
    <w:name w:val="caption"/>
    <w:basedOn w:val="Normal"/>
    <w:next w:val="Normal"/>
    <w:uiPriority w:val="35"/>
    <w:unhideWhenUsed/>
    <w:qFormat/>
    <w:rsid w:val="002D370E"/>
    <w:pPr>
      <w:spacing w:after="200"/>
    </w:pPr>
    <w:rPr>
      <w:i/>
      <w:iCs/>
      <w:color w:val="0E2841" w:themeColor="text2"/>
      <w:sz w:val="18"/>
      <w:szCs w:val="18"/>
    </w:rPr>
  </w:style>
  <w:style w:type="character" w:styleId="UnresolvedMention">
    <w:name w:val="Unresolved Mention"/>
    <w:basedOn w:val="DefaultParagraphFont"/>
    <w:uiPriority w:val="99"/>
    <w:semiHidden/>
    <w:unhideWhenUsed/>
    <w:rsid w:val="00B22DE0"/>
    <w:rPr>
      <w:color w:val="605E5C"/>
      <w:shd w:val="clear" w:color="auto" w:fill="E1DFDD"/>
    </w:rPr>
  </w:style>
  <w:style w:type="character" w:styleId="FollowedHyperlink">
    <w:name w:val="FollowedHyperlink"/>
    <w:basedOn w:val="DefaultParagraphFont"/>
    <w:uiPriority w:val="99"/>
    <w:semiHidden/>
    <w:unhideWhenUsed/>
    <w:rsid w:val="005717ED"/>
    <w:rPr>
      <w:color w:val="96607D" w:themeColor="followedHyperlink"/>
      <w:u w:val="single"/>
    </w:rPr>
  </w:style>
  <w:style w:type="character" w:customStyle="1" w:styleId="apple-tab-span">
    <w:name w:val="apple-tab-span"/>
    <w:basedOn w:val="DefaultParagraphFont"/>
    <w:rsid w:val="00BE03F1"/>
  </w:style>
  <w:style w:type="paragraph" w:styleId="TableofFigures">
    <w:name w:val="table of figures"/>
    <w:basedOn w:val="Normal"/>
    <w:next w:val="Normal"/>
    <w:uiPriority w:val="99"/>
    <w:unhideWhenUsed/>
    <w:rsid w:val="008941A0"/>
    <w:pPr>
      <w:spacing w:after="0"/>
    </w:pPr>
  </w:style>
  <w:style w:type="paragraph" w:styleId="Header">
    <w:name w:val="header"/>
    <w:basedOn w:val="Normal"/>
    <w:link w:val="HeaderChar"/>
    <w:uiPriority w:val="99"/>
    <w:unhideWhenUsed/>
    <w:rsid w:val="002311F6"/>
    <w:pPr>
      <w:tabs>
        <w:tab w:val="center" w:pos="4680"/>
        <w:tab w:val="right" w:pos="9360"/>
      </w:tabs>
      <w:spacing w:after="0"/>
    </w:pPr>
  </w:style>
  <w:style w:type="character" w:customStyle="1" w:styleId="HeaderChar">
    <w:name w:val="Header Char"/>
    <w:basedOn w:val="DefaultParagraphFont"/>
    <w:link w:val="Header"/>
    <w:uiPriority w:val="99"/>
    <w:rsid w:val="002311F6"/>
    <w:rPr>
      <w:rFonts w:ascii="Times New Roman" w:hAnsi="Times New Roman"/>
    </w:rPr>
  </w:style>
  <w:style w:type="paragraph" w:styleId="Footer">
    <w:name w:val="footer"/>
    <w:basedOn w:val="Normal"/>
    <w:link w:val="FooterChar"/>
    <w:uiPriority w:val="99"/>
    <w:unhideWhenUsed/>
    <w:rsid w:val="002311F6"/>
    <w:pPr>
      <w:tabs>
        <w:tab w:val="center" w:pos="4680"/>
        <w:tab w:val="right" w:pos="9360"/>
      </w:tabs>
      <w:spacing w:after="0"/>
    </w:pPr>
  </w:style>
  <w:style w:type="character" w:customStyle="1" w:styleId="FooterChar">
    <w:name w:val="Footer Char"/>
    <w:basedOn w:val="DefaultParagraphFont"/>
    <w:link w:val="Footer"/>
    <w:uiPriority w:val="99"/>
    <w:rsid w:val="002311F6"/>
    <w:rPr>
      <w:rFonts w:ascii="Times New Roman" w:hAnsi="Times New Roman"/>
    </w:rPr>
  </w:style>
  <w:style w:type="character" w:styleId="PageNumber">
    <w:name w:val="page number"/>
    <w:basedOn w:val="DefaultParagraphFont"/>
    <w:uiPriority w:val="99"/>
    <w:semiHidden/>
    <w:unhideWhenUsed/>
    <w:rsid w:val="00710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747736">
      <w:bodyDiv w:val="1"/>
      <w:marLeft w:val="0"/>
      <w:marRight w:val="0"/>
      <w:marTop w:val="0"/>
      <w:marBottom w:val="0"/>
      <w:divBdr>
        <w:top w:val="none" w:sz="0" w:space="0" w:color="auto"/>
        <w:left w:val="none" w:sz="0" w:space="0" w:color="auto"/>
        <w:bottom w:val="none" w:sz="0" w:space="0" w:color="auto"/>
        <w:right w:val="none" w:sz="0" w:space="0" w:color="auto"/>
      </w:divBdr>
    </w:div>
    <w:div w:id="189413101">
      <w:bodyDiv w:val="1"/>
      <w:marLeft w:val="0"/>
      <w:marRight w:val="0"/>
      <w:marTop w:val="0"/>
      <w:marBottom w:val="0"/>
      <w:divBdr>
        <w:top w:val="none" w:sz="0" w:space="0" w:color="auto"/>
        <w:left w:val="none" w:sz="0" w:space="0" w:color="auto"/>
        <w:bottom w:val="none" w:sz="0" w:space="0" w:color="auto"/>
        <w:right w:val="none" w:sz="0" w:space="0" w:color="auto"/>
      </w:divBdr>
    </w:div>
    <w:div w:id="638994464">
      <w:bodyDiv w:val="1"/>
      <w:marLeft w:val="0"/>
      <w:marRight w:val="0"/>
      <w:marTop w:val="0"/>
      <w:marBottom w:val="0"/>
      <w:divBdr>
        <w:top w:val="none" w:sz="0" w:space="0" w:color="auto"/>
        <w:left w:val="none" w:sz="0" w:space="0" w:color="auto"/>
        <w:bottom w:val="none" w:sz="0" w:space="0" w:color="auto"/>
        <w:right w:val="none" w:sz="0" w:space="0" w:color="auto"/>
      </w:divBdr>
    </w:div>
    <w:div w:id="797794285">
      <w:bodyDiv w:val="1"/>
      <w:marLeft w:val="0"/>
      <w:marRight w:val="0"/>
      <w:marTop w:val="0"/>
      <w:marBottom w:val="0"/>
      <w:divBdr>
        <w:top w:val="none" w:sz="0" w:space="0" w:color="auto"/>
        <w:left w:val="none" w:sz="0" w:space="0" w:color="auto"/>
        <w:bottom w:val="none" w:sz="0" w:space="0" w:color="auto"/>
        <w:right w:val="none" w:sz="0" w:space="0" w:color="auto"/>
      </w:divBdr>
    </w:div>
    <w:div w:id="832335038">
      <w:bodyDiv w:val="1"/>
      <w:marLeft w:val="0"/>
      <w:marRight w:val="0"/>
      <w:marTop w:val="0"/>
      <w:marBottom w:val="0"/>
      <w:divBdr>
        <w:top w:val="none" w:sz="0" w:space="0" w:color="auto"/>
        <w:left w:val="none" w:sz="0" w:space="0" w:color="auto"/>
        <w:bottom w:val="none" w:sz="0" w:space="0" w:color="auto"/>
        <w:right w:val="none" w:sz="0" w:space="0" w:color="auto"/>
      </w:divBdr>
    </w:div>
    <w:div w:id="906456205">
      <w:bodyDiv w:val="1"/>
      <w:marLeft w:val="0"/>
      <w:marRight w:val="0"/>
      <w:marTop w:val="0"/>
      <w:marBottom w:val="0"/>
      <w:divBdr>
        <w:top w:val="none" w:sz="0" w:space="0" w:color="auto"/>
        <w:left w:val="none" w:sz="0" w:space="0" w:color="auto"/>
        <w:bottom w:val="none" w:sz="0" w:space="0" w:color="auto"/>
        <w:right w:val="none" w:sz="0" w:space="0" w:color="auto"/>
      </w:divBdr>
      <w:divsChild>
        <w:div w:id="1397122834">
          <w:marLeft w:val="0"/>
          <w:marRight w:val="0"/>
          <w:marTop w:val="0"/>
          <w:marBottom w:val="0"/>
          <w:divBdr>
            <w:top w:val="none" w:sz="0" w:space="0" w:color="auto"/>
            <w:left w:val="none" w:sz="0" w:space="0" w:color="auto"/>
            <w:bottom w:val="none" w:sz="0" w:space="0" w:color="auto"/>
            <w:right w:val="none" w:sz="0" w:space="0" w:color="auto"/>
          </w:divBdr>
        </w:div>
      </w:divsChild>
    </w:div>
    <w:div w:id="917596140">
      <w:bodyDiv w:val="1"/>
      <w:marLeft w:val="0"/>
      <w:marRight w:val="0"/>
      <w:marTop w:val="0"/>
      <w:marBottom w:val="0"/>
      <w:divBdr>
        <w:top w:val="none" w:sz="0" w:space="0" w:color="auto"/>
        <w:left w:val="none" w:sz="0" w:space="0" w:color="auto"/>
        <w:bottom w:val="none" w:sz="0" w:space="0" w:color="auto"/>
        <w:right w:val="none" w:sz="0" w:space="0" w:color="auto"/>
      </w:divBdr>
    </w:div>
    <w:div w:id="1012759685">
      <w:bodyDiv w:val="1"/>
      <w:marLeft w:val="0"/>
      <w:marRight w:val="0"/>
      <w:marTop w:val="0"/>
      <w:marBottom w:val="0"/>
      <w:divBdr>
        <w:top w:val="none" w:sz="0" w:space="0" w:color="auto"/>
        <w:left w:val="none" w:sz="0" w:space="0" w:color="auto"/>
        <w:bottom w:val="none" w:sz="0" w:space="0" w:color="auto"/>
        <w:right w:val="none" w:sz="0" w:space="0" w:color="auto"/>
      </w:divBdr>
    </w:div>
    <w:div w:id="1158301298">
      <w:bodyDiv w:val="1"/>
      <w:marLeft w:val="0"/>
      <w:marRight w:val="0"/>
      <w:marTop w:val="0"/>
      <w:marBottom w:val="0"/>
      <w:divBdr>
        <w:top w:val="none" w:sz="0" w:space="0" w:color="auto"/>
        <w:left w:val="none" w:sz="0" w:space="0" w:color="auto"/>
        <w:bottom w:val="none" w:sz="0" w:space="0" w:color="auto"/>
        <w:right w:val="none" w:sz="0" w:space="0" w:color="auto"/>
      </w:divBdr>
    </w:div>
    <w:div w:id="1379891756">
      <w:bodyDiv w:val="1"/>
      <w:marLeft w:val="0"/>
      <w:marRight w:val="0"/>
      <w:marTop w:val="0"/>
      <w:marBottom w:val="0"/>
      <w:divBdr>
        <w:top w:val="none" w:sz="0" w:space="0" w:color="auto"/>
        <w:left w:val="none" w:sz="0" w:space="0" w:color="auto"/>
        <w:bottom w:val="none" w:sz="0" w:space="0" w:color="auto"/>
        <w:right w:val="none" w:sz="0" w:space="0" w:color="auto"/>
      </w:divBdr>
    </w:div>
    <w:div w:id="1475831394">
      <w:bodyDiv w:val="1"/>
      <w:marLeft w:val="0"/>
      <w:marRight w:val="0"/>
      <w:marTop w:val="0"/>
      <w:marBottom w:val="0"/>
      <w:divBdr>
        <w:top w:val="none" w:sz="0" w:space="0" w:color="auto"/>
        <w:left w:val="none" w:sz="0" w:space="0" w:color="auto"/>
        <w:bottom w:val="none" w:sz="0" w:space="0" w:color="auto"/>
        <w:right w:val="none" w:sz="0" w:space="0" w:color="auto"/>
      </w:divBdr>
    </w:div>
    <w:div w:id="166731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gmentationstudyguide.com/understanding-the-stdp-process-in-marketing/"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0A952F-4004-4A78-BAAA-5FD36848B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3439</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aminur islam</cp:lastModifiedBy>
  <cp:revision>2</cp:revision>
  <cp:lastPrinted>2025-11-23T21:38:00Z</cp:lastPrinted>
  <dcterms:created xsi:type="dcterms:W3CDTF">2025-12-12T21:01:00Z</dcterms:created>
  <dcterms:modified xsi:type="dcterms:W3CDTF">2025-12-12T21:01:00Z</dcterms:modified>
</cp:coreProperties>
</file>