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E2E7DB" w14:textId="01FEE875" w:rsidR="00A24A33" w:rsidRDefault="00A24A33">
      <w:r w:rsidRPr="00A24A33">
        <w:rPr>
          <w:noProof/>
        </w:rPr>
        <w:drawing>
          <wp:inline distT="0" distB="0" distL="0" distR="0" wp14:anchorId="3BDC9187" wp14:editId="14C9B593">
            <wp:extent cx="2514600" cy="1384300"/>
            <wp:effectExtent l="0" t="0" r="0" b="6350"/>
            <wp:docPr id="645701154"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14600" cy="1384300"/>
                    </a:xfrm>
                    <a:prstGeom prst="rect">
                      <a:avLst/>
                    </a:prstGeom>
                    <a:noFill/>
                    <a:ln>
                      <a:noFill/>
                    </a:ln>
                  </pic:spPr>
                </pic:pic>
              </a:graphicData>
            </a:graphic>
          </wp:inline>
        </w:drawing>
      </w:r>
    </w:p>
    <w:p w14:paraId="4279C93E" w14:textId="77777777" w:rsidR="00A24A33" w:rsidRDefault="00A24A33">
      <w:pPr>
        <w:rPr>
          <w:sz w:val="22"/>
          <w:szCs w:val="22"/>
        </w:rPr>
      </w:pPr>
    </w:p>
    <w:p w14:paraId="50E2986D" w14:textId="084625BF" w:rsidR="00D77117" w:rsidRPr="0007735C" w:rsidRDefault="00D77117" w:rsidP="00D77117">
      <w:pPr>
        <w:rPr>
          <w:sz w:val="32"/>
          <w:szCs w:val="32"/>
        </w:rPr>
      </w:pPr>
      <w:r w:rsidRPr="0007735C">
        <w:rPr>
          <w:b/>
          <w:bCs/>
          <w:sz w:val="32"/>
          <w:szCs w:val="32"/>
        </w:rPr>
        <w:t>Module name</w:t>
      </w:r>
      <w:r w:rsidRPr="0007735C">
        <w:rPr>
          <w:sz w:val="32"/>
          <w:szCs w:val="32"/>
        </w:rPr>
        <w:t xml:space="preserve">: </w:t>
      </w:r>
      <w:r w:rsidR="00B775D0">
        <w:rPr>
          <w:sz w:val="32"/>
          <w:szCs w:val="32"/>
        </w:rPr>
        <w:t xml:space="preserve">Principles of </w:t>
      </w:r>
      <w:r w:rsidR="002446F7">
        <w:rPr>
          <w:sz w:val="32"/>
          <w:szCs w:val="32"/>
        </w:rPr>
        <w:t>Health and Social Practice</w:t>
      </w:r>
    </w:p>
    <w:p w14:paraId="7E5FDF05" w14:textId="6026387E" w:rsidR="00D77117" w:rsidRPr="0007735C" w:rsidRDefault="00D77117" w:rsidP="00D77117">
      <w:pPr>
        <w:rPr>
          <w:sz w:val="32"/>
          <w:szCs w:val="32"/>
        </w:rPr>
      </w:pPr>
      <w:r w:rsidRPr="0007735C">
        <w:rPr>
          <w:b/>
          <w:bCs/>
          <w:sz w:val="32"/>
          <w:szCs w:val="32"/>
        </w:rPr>
        <w:t xml:space="preserve">Module </w:t>
      </w:r>
      <w:r w:rsidR="001403B3" w:rsidRPr="0007735C">
        <w:rPr>
          <w:b/>
          <w:bCs/>
          <w:sz w:val="32"/>
          <w:szCs w:val="32"/>
        </w:rPr>
        <w:t>code</w:t>
      </w:r>
      <w:r w:rsidR="001403B3" w:rsidRPr="0007735C">
        <w:rPr>
          <w:sz w:val="32"/>
          <w:szCs w:val="32"/>
        </w:rPr>
        <w:t>: BMHP</w:t>
      </w:r>
      <w:r w:rsidR="00A66D48" w:rsidRPr="0007735C">
        <w:rPr>
          <w:sz w:val="32"/>
          <w:szCs w:val="32"/>
        </w:rPr>
        <w:t>5016</w:t>
      </w:r>
    </w:p>
    <w:p w14:paraId="3EFBB874" w14:textId="20ACEC45" w:rsidR="00D77117" w:rsidRPr="0007735C" w:rsidRDefault="00D77117" w:rsidP="00D77117">
      <w:pPr>
        <w:rPr>
          <w:sz w:val="32"/>
          <w:szCs w:val="32"/>
        </w:rPr>
      </w:pPr>
      <w:r w:rsidRPr="0007735C">
        <w:rPr>
          <w:b/>
          <w:bCs/>
          <w:sz w:val="32"/>
          <w:szCs w:val="32"/>
        </w:rPr>
        <w:t xml:space="preserve">Student </w:t>
      </w:r>
      <w:r w:rsidR="001403B3" w:rsidRPr="0007735C">
        <w:rPr>
          <w:b/>
          <w:bCs/>
          <w:sz w:val="32"/>
          <w:szCs w:val="32"/>
        </w:rPr>
        <w:t>name</w:t>
      </w:r>
      <w:r w:rsidR="001403B3" w:rsidRPr="0007735C">
        <w:rPr>
          <w:sz w:val="32"/>
          <w:szCs w:val="32"/>
        </w:rPr>
        <w:t>: Gifty</w:t>
      </w:r>
      <w:r w:rsidR="005B1F32" w:rsidRPr="0007735C">
        <w:rPr>
          <w:sz w:val="32"/>
          <w:szCs w:val="32"/>
        </w:rPr>
        <w:t xml:space="preserve"> </w:t>
      </w:r>
      <w:r w:rsidR="001403B3" w:rsidRPr="0007735C">
        <w:rPr>
          <w:sz w:val="32"/>
          <w:szCs w:val="32"/>
        </w:rPr>
        <w:t>Opoku</w:t>
      </w:r>
    </w:p>
    <w:p w14:paraId="0573C9F6" w14:textId="3801F8FD" w:rsidR="00D77117" w:rsidRPr="0007735C" w:rsidRDefault="00D77117" w:rsidP="00D77117">
      <w:pPr>
        <w:rPr>
          <w:sz w:val="32"/>
          <w:szCs w:val="32"/>
        </w:rPr>
      </w:pPr>
      <w:r w:rsidRPr="0007735C">
        <w:rPr>
          <w:b/>
          <w:bCs/>
          <w:sz w:val="32"/>
          <w:szCs w:val="32"/>
        </w:rPr>
        <w:t>Student ID</w:t>
      </w:r>
      <w:r w:rsidRPr="0007735C">
        <w:rPr>
          <w:sz w:val="32"/>
          <w:szCs w:val="32"/>
        </w:rPr>
        <w:t>:</w:t>
      </w:r>
      <w:r w:rsidR="00895DD0" w:rsidRPr="0007735C">
        <w:rPr>
          <w:sz w:val="32"/>
          <w:szCs w:val="32"/>
        </w:rPr>
        <w:t>2416544</w:t>
      </w:r>
    </w:p>
    <w:p w14:paraId="461799E4" w14:textId="382C7AAB" w:rsidR="00D77117" w:rsidRPr="0007735C" w:rsidRDefault="00D77117" w:rsidP="00D77117">
      <w:pPr>
        <w:rPr>
          <w:sz w:val="32"/>
          <w:szCs w:val="32"/>
        </w:rPr>
      </w:pPr>
      <w:r w:rsidRPr="0007735C">
        <w:rPr>
          <w:b/>
          <w:bCs/>
          <w:sz w:val="32"/>
          <w:szCs w:val="32"/>
        </w:rPr>
        <w:t xml:space="preserve">Lecturer’s </w:t>
      </w:r>
      <w:r w:rsidR="0007735C" w:rsidRPr="0007735C">
        <w:rPr>
          <w:b/>
          <w:bCs/>
          <w:sz w:val="32"/>
          <w:szCs w:val="32"/>
        </w:rPr>
        <w:t>name</w:t>
      </w:r>
      <w:r w:rsidR="0007735C" w:rsidRPr="0007735C">
        <w:rPr>
          <w:sz w:val="32"/>
          <w:szCs w:val="32"/>
        </w:rPr>
        <w:t>: Farah</w:t>
      </w:r>
    </w:p>
    <w:p w14:paraId="234BB8E0" w14:textId="77777777" w:rsidR="00262DC7" w:rsidRPr="0007735C" w:rsidRDefault="00262DC7">
      <w:pPr>
        <w:rPr>
          <w:sz w:val="32"/>
          <w:szCs w:val="32"/>
        </w:rPr>
      </w:pPr>
    </w:p>
    <w:p w14:paraId="40E0AC07" w14:textId="77777777" w:rsidR="00262DC7" w:rsidRDefault="00262DC7">
      <w:pPr>
        <w:rPr>
          <w:sz w:val="22"/>
          <w:szCs w:val="22"/>
        </w:rPr>
      </w:pPr>
    </w:p>
    <w:p w14:paraId="22DFF914" w14:textId="77777777" w:rsidR="00262DC7" w:rsidRDefault="00262DC7">
      <w:pPr>
        <w:rPr>
          <w:sz w:val="22"/>
          <w:szCs w:val="22"/>
        </w:rPr>
      </w:pPr>
    </w:p>
    <w:p w14:paraId="48E70AF6" w14:textId="77777777" w:rsidR="00262DC7" w:rsidRDefault="00262DC7">
      <w:pPr>
        <w:rPr>
          <w:sz w:val="22"/>
          <w:szCs w:val="22"/>
        </w:rPr>
      </w:pPr>
    </w:p>
    <w:p w14:paraId="23817325" w14:textId="77777777" w:rsidR="00262DC7" w:rsidRDefault="00262DC7">
      <w:pPr>
        <w:rPr>
          <w:sz w:val="22"/>
          <w:szCs w:val="22"/>
        </w:rPr>
      </w:pPr>
    </w:p>
    <w:p w14:paraId="65A2F923" w14:textId="77777777" w:rsidR="00262DC7" w:rsidRDefault="00262DC7">
      <w:pPr>
        <w:rPr>
          <w:sz w:val="22"/>
          <w:szCs w:val="22"/>
        </w:rPr>
      </w:pPr>
    </w:p>
    <w:p w14:paraId="076B229D" w14:textId="77777777" w:rsidR="00262DC7" w:rsidRDefault="00262DC7">
      <w:pPr>
        <w:rPr>
          <w:sz w:val="22"/>
          <w:szCs w:val="22"/>
        </w:rPr>
      </w:pPr>
    </w:p>
    <w:p w14:paraId="210ED7E9" w14:textId="77777777" w:rsidR="00262DC7" w:rsidRDefault="00262DC7">
      <w:pPr>
        <w:rPr>
          <w:sz w:val="22"/>
          <w:szCs w:val="22"/>
        </w:rPr>
      </w:pPr>
    </w:p>
    <w:p w14:paraId="47049FF4" w14:textId="12BF0BBB" w:rsidR="00262DC7" w:rsidRPr="00DB6994" w:rsidRDefault="00FD4BDB" w:rsidP="00262DC7">
      <w:pPr>
        <w:rPr>
          <w:b/>
          <w:bCs/>
          <w:sz w:val="32"/>
          <w:szCs w:val="32"/>
        </w:rPr>
      </w:pPr>
      <w:r>
        <w:rPr>
          <w:b/>
          <w:bCs/>
          <w:sz w:val="32"/>
          <w:szCs w:val="32"/>
        </w:rPr>
        <w:t xml:space="preserve">  Disability, Social Model, and Person-Centred Care in the UK </w:t>
      </w:r>
    </w:p>
    <w:p w14:paraId="17793247" w14:textId="77777777" w:rsidR="00262DC7" w:rsidRPr="00DB6994" w:rsidRDefault="00262DC7" w:rsidP="00262DC7">
      <w:pPr>
        <w:rPr>
          <w:b/>
          <w:bCs/>
          <w:sz w:val="32"/>
          <w:szCs w:val="32"/>
        </w:rPr>
      </w:pPr>
      <w:r w:rsidRPr="00DB6994">
        <w:rPr>
          <w:b/>
          <w:bCs/>
          <w:sz w:val="32"/>
          <w:szCs w:val="32"/>
        </w:rPr>
        <w:t>Introduction</w:t>
      </w:r>
    </w:p>
    <w:p w14:paraId="1F8A9115" w14:textId="0156064E" w:rsidR="00262DC7" w:rsidRPr="00262DC7" w:rsidRDefault="00330763" w:rsidP="00262DC7">
      <w:pPr>
        <w:rPr>
          <w:sz w:val="22"/>
          <w:szCs w:val="22"/>
        </w:rPr>
      </w:pPr>
      <w:r>
        <w:rPr>
          <w:sz w:val="22"/>
          <w:szCs w:val="22"/>
        </w:rPr>
        <w:t>Person-centred care focuses on the individual, not just their illness or needs. It acknowledges that people have their own choices, beliefs, strengths, and goals. The social model of disability supports this by stating that people living with disability are affected not only by impairments but also by societal barriers such as inaccessible buildings, poor communication, discrimination, and inflexible services (Oliver, 201</w:t>
      </w:r>
      <w:r w:rsidR="00615A33">
        <w:rPr>
          <w:sz w:val="22"/>
          <w:szCs w:val="22"/>
        </w:rPr>
        <w:t>7</w:t>
      </w:r>
      <w:r>
        <w:rPr>
          <w:sz w:val="22"/>
          <w:szCs w:val="22"/>
        </w:rPr>
        <w:t xml:space="preserve">). This contrasts with the medical model, which concentrates on treating or managing the person's condition. </w:t>
      </w:r>
    </w:p>
    <w:p w14:paraId="21EC8A74" w14:textId="79E25F60" w:rsidR="00262DC7" w:rsidRPr="00262DC7" w:rsidRDefault="00854DA9" w:rsidP="00262DC7">
      <w:pPr>
        <w:rPr>
          <w:sz w:val="22"/>
          <w:szCs w:val="22"/>
        </w:rPr>
      </w:pPr>
      <w:r>
        <w:rPr>
          <w:sz w:val="22"/>
          <w:szCs w:val="22"/>
        </w:rPr>
        <w:t xml:space="preserve">This essay examines the development of the social model of disability in the UK and its support for person-centred care. It discusses criticisms and </w:t>
      </w:r>
      <w:r w:rsidR="008F20CE">
        <w:rPr>
          <w:sz w:val="22"/>
          <w:szCs w:val="22"/>
        </w:rPr>
        <w:t>responses and</w:t>
      </w:r>
      <w:r w:rsidR="00D006F4">
        <w:rPr>
          <w:sz w:val="22"/>
          <w:szCs w:val="22"/>
        </w:rPr>
        <w:t xml:space="preserve"> evaluates the impact on UK </w:t>
      </w:r>
      <w:r w:rsidR="00D006F4">
        <w:rPr>
          <w:sz w:val="22"/>
          <w:szCs w:val="22"/>
        </w:rPr>
        <w:lastRenderedPageBreak/>
        <w:t xml:space="preserve">health and social care policy, including the Equality Act 2010, the Care Act 2014, CQC Regulation 9, and the </w:t>
      </w:r>
      <w:r>
        <w:rPr>
          <w:sz w:val="22"/>
          <w:szCs w:val="22"/>
        </w:rPr>
        <w:t>NHS Accessible Information Standard. Finally, it offers recommendations to improve person-centred care for people with disabilities.</w:t>
      </w:r>
    </w:p>
    <w:p w14:paraId="0A8843FC" w14:textId="371F8826" w:rsidR="00262DC7" w:rsidRPr="00A7001C" w:rsidRDefault="0093482F" w:rsidP="00262DC7">
      <w:pPr>
        <w:rPr>
          <w:b/>
          <w:bCs/>
          <w:sz w:val="32"/>
          <w:szCs w:val="32"/>
        </w:rPr>
      </w:pPr>
      <w:r>
        <w:rPr>
          <w:b/>
          <w:bCs/>
          <w:sz w:val="32"/>
          <w:szCs w:val="32"/>
        </w:rPr>
        <w:t>D</w:t>
      </w:r>
      <w:r w:rsidR="00262DC7" w:rsidRPr="00A7001C">
        <w:rPr>
          <w:b/>
          <w:bCs/>
          <w:sz w:val="32"/>
          <w:szCs w:val="32"/>
        </w:rPr>
        <w:t>evelopment of the social model of disability</w:t>
      </w:r>
    </w:p>
    <w:p w14:paraId="28A4C4BC" w14:textId="27F0A9FD" w:rsidR="00262DC7" w:rsidRPr="00262DC7" w:rsidRDefault="00551716" w:rsidP="00262DC7">
      <w:pPr>
        <w:rPr>
          <w:sz w:val="22"/>
          <w:szCs w:val="22"/>
        </w:rPr>
      </w:pPr>
      <w:r>
        <w:rPr>
          <w:sz w:val="22"/>
          <w:szCs w:val="22"/>
        </w:rPr>
        <w:t xml:space="preserve">The social model from the 1970s British disability rights movement challenged segregation and limited control for disabled people. UPIAS argued that disability was societal, not just due to impairments, and that disabled individuals should have greater control, with professionals supporting, not making, decisions. This opposed the view of disabled people as dependent. </w:t>
      </w:r>
    </w:p>
    <w:p w14:paraId="541C1DE3" w14:textId="6AB690D1" w:rsidR="00262DC7" w:rsidRPr="00262DC7" w:rsidRDefault="00173A68" w:rsidP="00262DC7">
      <w:pPr>
        <w:rPr>
          <w:sz w:val="22"/>
          <w:szCs w:val="22"/>
        </w:rPr>
      </w:pPr>
      <w:r>
        <w:rPr>
          <w:sz w:val="22"/>
          <w:szCs w:val="22"/>
        </w:rPr>
        <w:t>The social model was later expanded by British scholar Michael Oliver, who distinguished between impairment and disability. Impairment is a physical, sensory, intellectual, or mental difference, while disability arises from barriers that hinder full societal participation. For instance, a wheelchair user might have a physical impairment but is disabled by a building with stairs and no lift. Similarly, someone with hearing loss faces barriers if a hospital lacks appropriate communication support. Oliver (201</w:t>
      </w:r>
      <w:r w:rsidR="003714F3">
        <w:rPr>
          <w:sz w:val="22"/>
          <w:szCs w:val="22"/>
        </w:rPr>
        <w:t>7</w:t>
      </w:r>
      <w:r>
        <w:rPr>
          <w:sz w:val="22"/>
          <w:szCs w:val="22"/>
        </w:rPr>
        <w:t xml:space="preserve">) clarified that the social model was developed as a practical framework </w:t>
      </w:r>
      <w:r w:rsidR="00D66843">
        <w:rPr>
          <w:sz w:val="22"/>
          <w:szCs w:val="22"/>
        </w:rPr>
        <w:t>for identifying and eliminating</w:t>
      </w:r>
      <w:r>
        <w:rPr>
          <w:sz w:val="22"/>
          <w:szCs w:val="22"/>
        </w:rPr>
        <w:t xml:space="preserve"> these barriers, not as a comprehensive explanation of every disability experience. </w:t>
      </w:r>
    </w:p>
    <w:p w14:paraId="55B37324" w14:textId="07E45B20" w:rsidR="00262DC7" w:rsidRPr="00262DC7" w:rsidRDefault="009E352F" w:rsidP="00262DC7">
      <w:pPr>
        <w:rPr>
          <w:sz w:val="22"/>
          <w:szCs w:val="22"/>
        </w:rPr>
      </w:pPr>
      <w:r>
        <w:rPr>
          <w:sz w:val="22"/>
          <w:szCs w:val="22"/>
        </w:rPr>
        <w:t xml:space="preserve">This </w:t>
      </w:r>
      <w:r w:rsidR="00C33353">
        <w:rPr>
          <w:sz w:val="22"/>
          <w:szCs w:val="22"/>
        </w:rPr>
        <w:t xml:space="preserve">thinking approach is vital for person-centred care because it shifts the focus away </w:t>
      </w:r>
      <w:r>
        <w:rPr>
          <w:sz w:val="22"/>
          <w:szCs w:val="22"/>
        </w:rPr>
        <w:t>from blaming the individual. Instead of professionals solely asking what is wrong with a person, they are encouraged to consider the barriers preventing the individual from living the life they desire. This promotes independence, dignity, equality, and participation. It also acknowledges that disabled people have knowledge and experience of their own lives and should therefore be involved in decisions about their care. The social model helped shift thinking about disability from a charity-based approach to a rights-based approach.</w:t>
      </w:r>
    </w:p>
    <w:p w14:paraId="60551893" w14:textId="170D31C6" w:rsidR="00262DC7" w:rsidRPr="00262DC7" w:rsidRDefault="00FB7635" w:rsidP="00262DC7">
      <w:pPr>
        <w:rPr>
          <w:sz w:val="22"/>
          <w:szCs w:val="22"/>
        </w:rPr>
      </w:pPr>
      <w:r>
        <w:rPr>
          <w:sz w:val="22"/>
          <w:szCs w:val="22"/>
        </w:rPr>
        <w:t>The model encouraged disabled people to challenge discrimination, inaccessible services, and negative attitudes. It shifted the view of disability from a personal medical issue to one involving societal change. This has influenced modern health and social care, where professionals now focus on the individual's environment, not just their diagnosis.</w:t>
      </w:r>
    </w:p>
    <w:p w14:paraId="3B9C99D7" w14:textId="007EE01F" w:rsidR="00262DC7" w:rsidRPr="001F1FA2" w:rsidRDefault="00262DC7" w:rsidP="00262DC7">
      <w:pPr>
        <w:rPr>
          <w:b/>
          <w:bCs/>
          <w:sz w:val="32"/>
          <w:szCs w:val="32"/>
        </w:rPr>
      </w:pPr>
      <w:r w:rsidRPr="001F1FA2">
        <w:rPr>
          <w:b/>
          <w:bCs/>
          <w:sz w:val="32"/>
          <w:szCs w:val="32"/>
        </w:rPr>
        <w:t>Criticisms</w:t>
      </w:r>
    </w:p>
    <w:p w14:paraId="01C6B02A" w14:textId="2FD56BD7" w:rsidR="00262DC7" w:rsidRPr="00262DC7" w:rsidRDefault="00E70DCF" w:rsidP="00262DC7">
      <w:pPr>
        <w:rPr>
          <w:sz w:val="22"/>
          <w:szCs w:val="22"/>
        </w:rPr>
      </w:pPr>
      <w:r>
        <w:rPr>
          <w:sz w:val="22"/>
          <w:szCs w:val="22"/>
        </w:rPr>
        <w:t xml:space="preserve">While the social model is influential, it is criticised for overlooking the direct effects of impairment. Shakespeare and Watson (2002) argued that issues such as pain, fatigue, seizures, or loss of mobility can persist even after social barriers are removed. For example, removing steps improves access but does not eliminate chronic pain or medical needs. </w:t>
      </w:r>
    </w:p>
    <w:p w14:paraId="3E60F3AE" w14:textId="5CCDC239" w:rsidR="00262DC7" w:rsidRPr="00262DC7" w:rsidRDefault="00A97D6B" w:rsidP="00262DC7">
      <w:pPr>
        <w:rPr>
          <w:sz w:val="22"/>
          <w:szCs w:val="22"/>
        </w:rPr>
      </w:pPr>
      <w:r>
        <w:rPr>
          <w:sz w:val="22"/>
          <w:szCs w:val="22"/>
        </w:rPr>
        <w:t>This critique is vital in health and social care because individuals often need both social support and medical treatment. Professionals who focus solely on social barriers may overlook symptoms and treatment needs that affect quality of life. However, this doesn't mean abandoning the social model. Oliver (201</w:t>
      </w:r>
      <w:r w:rsidR="008E134E">
        <w:rPr>
          <w:sz w:val="22"/>
          <w:szCs w:val="22"/>
        </w:rPr>
        <w:t>7</w:t>
      </w:r>
      <w:r>
        <w:rPr>
          <w:sz w:val="22"/>
          <w:szCs w:val="22"/>
        </w:rPr>
        <w:t xml:space="preserve">) explained that the social model primarily highlights disabling obstacles and opposes the previous individual model, without explaining all aspects of disability. </w:t>
      </w:r>
    </w:p>
    <w:p w14:paraId="28712B70" w14:textId="2C645F84" w:rsidR="00262DC7" w:rsidRPr="00262DC7" w:rsidRDefault="00320D17" w:rsidP="00262DC7">
      <w:pPr>
        <w:rPr>
          <w:sz w:val="22"/>
          <w:szCs w:val="22"/>
        </w:rPr>
      </w:pPr>
      <w:r>
        <w:rPr>
          <w:sz w:val="22"/>
          <w:szCs w:val="22"/>
        </w:rPr>
        <w:lastRenderedPageBreak/>
        <w:t>This response indicates that the social model is most effective when used alongside a broader person-centred approach. Medical treatment remains important. For example, someone with a physical disability might need medication, physiotherapy, or surgery. Simultaneously, they may also need accessible housing, transport, employment opportunities, and support to participate in their community. Therefore, providing for medical needs does not mean social barriers should be overlooked.</w:t>
      </w:r>
    </w:p>
    <w:p w14:paraId="189C2E46" w14:textId="2D5CECD6" w:rsidR="00262DC7" w:rsidRPr="00262DC7" w:rsidRDefault="004D0F2C" w:rsidP="00262DC7">
      <w:pPr>
        <w:rPr>
          <w:sz w:val="22"/>
          <w:szCs w:val="22"/>
        </w:rPr>
      </w:pPr>
      <w:r>
        <w:rPr>
          <w:sz w:val="22"/>
          <w:szCs w:val="22"/>
        </w:rPr>
        <w:t>Another critique is that the social model may draw a sharp line between impairment and disability, even though real life is more complex. Factors such as a person's health, emotions, housing, relationships, income, and access to services are all connected. As a result, two individuals with the same diagnosis might have very different experiences, depending on their personal circumstances and support networks.</w:t>
      </w:r>
    </w:p>
    <w:p w14:paraId="6A418820" w14:textId="72EE8FE1" w:rsidR="0097183A" w:rsidRDefault="00A03883" w:rsidP="00262DC7">
      <w:pPr>
        <w:rPr>
          <w:sz w:val="22"/>
          <w:szCs w:val="22"/>
        </w:rPr>
      </w:pPr>
      <w:r>
        <w:rPr>
          <w:sz w:val="22"/>
          <w:szCs w:val="22"/>
        </w:rPr>
        <w:t>Disability interacts with age, ethnicity, gender, poverty, and culture</w:t>
      </w:r>
      <w:r w:rsidR="0097183A">
        <w:rPr>
          <w:sz w:val="22"/>
          <w:szCs w:val="22"/>
        </w:rPr>
        <w:t>.</w:t>
      </w:r>
      <w:r w:rsidR="0097183A" w:rsidRPr="0097183A">
        <w:rPr>
          <w:sz w:val="22"/>
          <w:szCs w:val="22"/>
        </w:rPr>
        <w:t xml:space="preserve"> UK research by The King's </w:t>
      </w:r>
    </w:p>
    <w:p w14:paraId="3AA7EAF4" w14:textId="74669BF8" w:rsidR="00262DC7" w:rsidRPr="00262DC7" w:rsidRDefault="007429CE" w:rsidP="00262DC7">
      <w:pPr>
        <w:rPr>
          <w:sz w:val="22"/>
          <w:szCs w:val="22"/>
        </w:rPr>
      </w:pPr>
      <w:r>
        <w:rPr>
          <w:sz w:val="22"/>
          <w:szCs w:val="22"/>
        </w:rPr>
        <w:t xml:space="preserve">Fund and Disability Rights UK demonstrate that health and care services must recognise the diverse experiences of people with disabilities and involve them in service design (Fenney et al., 2022). The study drew on contributions from over 50 participants, including disabled people, OI representatives, NHS staff, and local authorities. It also identified instances in which disabled people's involvement in health and care planning was limited or tokenistic. </w:t>
      </w:r>
    </w:p>
    <w:p w14:paraId="56ED5CF8" w14:textId="6055CCC2" w:rsidR="00262DC7" w:rsidRPr="00262DC7" w:rsidRDefault="006E068A" w:rsidP="00262DC7">
      <w:pPr>
        <w:rPr>
          <w:sz w:val="22"/>
          <w:szCs w:val="22"/>
        </w:rPr>
      </w:pPr>
      <w:r>
        <w:rPr>
          <w:sz w:val="22"/>
          <w:szCs w:val="22"/>
        </w:rPr>
        <w:t>A balanced approach is essential. Nurses, social workers, or care workers should address both medical concerns and social barriers. For example, someone with arthritis might need medication and pain relief, as well as accessible housing, transport, and home adaptations. These methods can work together. When used thoughtfully, the social model helps workers see that effective person-centred care involves more than just treating illness; it also means supporting the individual's ability to participate in daily life.</w:t>
      </w:r>
    </w:p>
    <w:p w14:paraId="0B2AE916" w14:textId="1E669CFE" w:rsidR="00262DC7" w:rsidRPr="00262DC7" w:rsidRDefault="000C1D76" w:rsidP="00262DC7">
      <w:pPr>
        <w:rPr>
          <w:sz w:val="22"/>
          <w:szCs w:val="22"/>
        </w:rPr>
      </w:pPr>
      <w:r>
        <w:rPr>
          <w:sz w:val="22"/>
          <w:szCs w:val="22"/>
        </w:rPr>
        <w:t>The social model is clear in UK equality law. The Equality Act 2010 protects disabled people from discrimination</w:t>
      </w:r>
      <w:r w:rsidR="00D006F4">
        <w:rPr>
          <w:sz w:val="22"/>
          <w:szCs w:val="22"/>
        </w:rPr>
        <w:t>. It requires</w:t>
      </w:r>
      <w:r>
        <w:rPr>
          <w:sz w:val="22"/>
          <w:szCs w:val="22"/>
        </w:rPr>
        <w:t xml:space="preserve"> organisations to make reasonable adjustments, such as changing policies or physical features, or providing aids, when disabled individuals face significant disadvantages (Great Britain, 2010). In health and social care, these include accessible information, extra appointment time, communication support, or accessible buildings. </w:t>
      </w:r>
    </w:p>
    <w:p w14:paraId="083C982F" w14:textId="28967AB2" w:rsidR="00262DC7" w:rsidRPr="00262DC7" w:rsidRDefault="00B94328" w:rsidP="00262DC7">
      <w:pPr>
        <w:rPr>
          <w:sz w:val="22"/>
          <w:szCs w:val="22"/>
        </w:rPr>
      </w:pPr>
      <w:r>
        <w:rPr>
          <w:sz w:val="22"/>
          <w:szCs w:val="22"/>
        </w:rPr>
        <w:t>This illustrates the social model by recognising that issues often originate from the service rather than the individual. For example, if someone with a learning disability cannot understand a standard appointment letter, the solution isn't to blame them. Instead, the service can remove the communication barrier by providing clear and simple information. This method encourages equality and helps individuals better understand their choices and participate in decisions about their own care.</w:t>
      </w:r>
    </w:p>
    <w:p w14:paraId="17A6F67A" w14:textId="0ABF5883" w:rsidR="00262DC7" w:rsidRPr="00262DC7" w:rsidRDefault="008D5C2F" w:rsidP="00262DC7">
      <w:pPr>
        <w:rPr>
          <w:sz w:val="22"/>
          <w:szCs w:val="22"/>
        </w:rPr>
      </w:pPr>
      <w:r>
        <w:rPr>
          <w:sz w:val="22"/>
          <w:szCs w:val="22"/>
        </w:rPr>
        <w:t xml:space="preserve">The Care Act 2014 also closely aligns with person-centred practice. It mandates </w:t>
      </w:r>
      <w:r w:rsidR="0070513D">
        <w:rPr>
          <w:sz w:val="22"/>
          <w:szCs w:val="22"/>
        </w:rPr>
        <w:t>that local authorities promote an individual's wellbeing, including</w:t>
      </w:r>
      <w:r>
        <w:rPr>
          <w:sz w:val="22"/>
          <w:szCs w:val="22"/>
        </w:rPr>
        <w:t xml:space="preserve"> dignity, physical and mental health, control over daily life, relationships, participation in work, education, or recreation, and suitable accommodation (Great Britain, 2014). Additionally, the Act stresses that the individual's views, wishes, feelings, and beliefs must be </w:t>
      </w:r>
      <w:r w:rsidR="0070513D">
        <w:rPr>
          <w:sz w:val="22"/>
          <w:szCs w:val="22"/>
        </w:rPr>
        <w:t>considered</w:t>
      </w:r>
      <w:r>
        <w:rPr>
          <w:sz w:val="22"/>
          <w:szCs w:val="22"/>
        </w:rPr>
        <w:t xml:space="preserve">, and that the person should be supported to be as involved as possible in decisions that affect them. </w:t>
      </w:r>
    </w:p>
    <w:p w14:paraId="7B4A7105" w14:textId="093A1508" w:rsidR="00262DC7" w:rsidRPr="00262DC7" w:rsidRDefault="00B94328" w:rsidP="00262DC7">
      <w:pPr>
        <w:rPr>
          <w:sz w:val="22"/>
          <w:szCs w:val="22"/>
        </w:rPr>
      </w:pPr>
      <w:r>
        <w:rPr>
          <w:sz w:val="22"/>
          <w:szCs w:val="22"/>
        </w:rPr>
        <w:lastRenderedPageBreak/>
        <w:t xml:space="preserve">The Care and Support Statutory Guidance stresses that the main aim of adult care is to </w:t>
      </w:r>
      <w:r w:rsidR="000C1D76">
        <w:rPr>
          <w:sz w:val="22"/>
          <w:szCs w:val="22"/>
        </w:rPr>
        <w:t>help individuals achieve</w:t>
      </w:r>
      <w:r>
        <w:rPr>
          <w:sz w:val="22"/>
          <w:szCs w:val="22"/>
        </w:rPr>
        <w:t xml:space="preserve"> their personal outcomes. Local authorities should understand each person's needs and goals, not judge based on age, condition, or appearance (Department of Health and Social Care, 2025). This aligns with the social model, which prioritises what individuals want to achieve and the support they need, rather than focusing solely on their limitations. </w:t>
      </w:r>
    </w:p>
    <w:p w14:paraId="71DED0B0" w14:textId="11C2CF5E" w:rsidR="00262DC7" w:rsidRPr="00262DC7" w:rsidRDefault="00946587" w:rsidP="00262DC7">
      <w:pPr>
        <w:rPr>
          <w:sz w:val="22"/>
          <w:szCs w:val="22"/>
        </w:rPr>
      </w:pPr>
      <w:r>
        <w:rPr>
          <w:sz w:val="22"/>
          <w:szCs w:val="22"/>
        </w:rPr>
        <w:t xml:space="preserve">Another key policy is Regulation 9 of the Health and Social Care Act 2008 (Regulated Activities) Regulations 2014. The Care Quality Commission states that care and treatment must be </w:t>
      </w:r>
      <w:r w:rsidR="00AA0469">
        <w:rPr>
          <w:sz w:val="22"/>
          <w:szCs w:val="22"/>
        </w:rPr>
        <w:t>personalised</w:t>
      </w:r>
      <w:r>
        <w:rPr>
          <w:sz w:val="22"/>
          <w:szCs w:val="22"/>
        </w:rPr>
        <w:t>, grounded in an assessment of the individual's needs and preferences. Providers are expected to collaborate with the person, support informed decision-making, and implement reasonable adjustments when needed (CQC, 202</w:t>
      </w:r>
      <w:r w:rsidR="000D7C18">
        <w:rPr>
          <w:sz w:val="22"/>
          <w:szCs w:val="22"/>
        </w:rPr>
        <w:t>4</w:t>
      </w:r>
      <w:r>
        <w:rPr>
          <w:sz w:val="22"/>
          <w:szCs w:val="22"/>
        </w:rPr>
        <w:t xml:space="preserve">). </w:t>
      </w:r>
    </w:p>
    <w:p w14:paraId="0BF8E428" w14:textId="79811F66" w:rsidR="00262DC7" w:rsidRPr="00262DC7" w:rsidRDefault="00611075" w:rsidP="00262DC7">
      <w:pPr>
        <w:rPr>
          <w:sz w:val="22"/>
          <w:szCs w:val="22"/>
        </w:rPr>
      </w:pPr>
      <w:r>
        <w:rPr>
          <w:sz w:val="22"/>
          <w:szCs w:val="22"/>
        </w:rPr>
        <w:t xml:space="preserve">A care plan should be more than </w:t>
      </w:r>
      <w:r w:rsidR="00AB6F75">
        <w:rPr>
          <w:sz w:val="22"/>
          <w:szCs w:val="22"/>
        </w:rPr>
        <w:t>a task list</w:t>
      </w:r>
      <w:r>
        <w:rPr>
          <w:sz w:val="22"/>
          <w:szCs w:val="22"/>
        </w:rPr>
        <w:t xml:space="preserve">; it should consider individual preferences like wake-up times, </w:t>
      </w:r>
      <w:r w:rsidR="001D7C20">
        <w:rPr>
          <w:sz w:val="22"/>
          <w:szCs w:val="22"/>
        </w:rPr>
        <w:t>favourite</w:t>
      </w:r>
      <w:r>
        <w:rPr>
          <w:sz w:val="22"/>
          <w:szCs w:val="22"/>
        </w:rPr>
        <w:t xml:space="preserve"> foods, cultural needs, activities, and communication preferences. This ensures a person-</w:t>
      </w:r>
      <w:r w:rsidR="001D7C20">
        <w:rPr>
          <w:sz w:val="22"/>
          <w:szCs w:val="22"/>
        </w:rPr>
        <w:t>centred</w:t>
      </w:r>
      <w:r>
        <w:rPr>
          <w:sz w:val="22"/>
          <w:szCs w:val="22"/>
        </w:rPr>
        <w:t xml:space="preserve"> approach</w:t>
      </w:r>
      <w:r w:rsidR="001D7C20">
        <w:rPr>
          <w:sz w:val="22"/>
          <w:szCs w:val="22"/>
        </w:rPr>
        <w:t>.</w:t>
      </w:r>
      <w:r>
        <w:rPr>
          <w:sz w:val="22"/>
          <w:szCs w:val="22"/>
        </w:rPr>
        <w:t xml:space="preserve"> </w:t>
      </w:r>
    </w:p>
    <w:p w14:paraId="66557B84" w14:textId="6B6F4674" w:rsidR="00262DC7" w:rsidRPr="00262DC7" w:rsidRDefault="00B518CA" w:rsidP="00262DC7">
      <w:pPr>
        <w:rPr>
          <w:sz w:val="22"/>
          <w:szCs w:val="22"/>
        </w:rPr>
      </w:pPr>
      <w:r>
        <w:rPr>
          <w:sz w:val="22"/>
          <w:szCs w:val="22"/>
        </w:rPr>
        <w:t xml:space="preserve">The NHS Accessible Information Standard offers a clear example of this. Its goal is to ensure that individuals with disabilities, impairments, or sensory losses can access and comprehend information </w:t>
      </w:r>
      <w:r w:rsidR="00AA0469">
        <w:rPr>
          <w:sz w:val="22"/>
          <w:szCs w:val="22"/>
        </w:rPr>
        <w:t>and</w:t>
      </w:r>
      <w:r>
        <w:rPr>
          <w:sz w:val="22"/>
          <w:szCs w:val="22"/>
        </w:rPr>
        <w:t xml:space="preserve"> receive necessary communication support when using NHS and adult social care services (NHS England, 2025a). Support can be delivered </w:t>
      </w:r>
      <w:r w:rsidR="00AA0469">
        <w:rPr>
          <w:sz w:val="22"/>
          <w:szCs w:val="22"/>
        </w:rPr>
        <w:t>in formats such as</w:t>
      </w:r>
      <w:r>
        <w:rPr>
          <w:sz w:val="22"/>
          <w:szCs w:val="22"/>
        </w:rPr>
        <w:t xml:space="preserve"> Easy Read, British Sign Language, audio, or electronic braille. </w:t>
      </w:r>
    </w:p>
    <w:p w14:paraId="09E655C1" w14:textId="6AFA1013" w:rsidR="00262DC7" w:rsidRPr="00BD6FFD" w:rsidRDefault="00B54506" w:rsidP="00262DC7">
      <w:pPr>
        <w:rPr>
          <w:sz w:val="22"/>
          <w:szCs w:val="22"/>
        </w:rPr>
      </w:pPr>
      <w:r>
        <w:rPr>
          <w:sz w:val="22"/>
          <w:szCs w:val="22"/>
        </w:rPr>
        <w:t>This is vital because a person cannot make an informed choice if the information is inaccessible or unreadable. Making communication accessible promotes independence, informed consent, and participation.</w:t>
      </w:r>
    </w:p>
    <w:p w14:paraId="64748D53" w14:textId="5E47BA03" w:rsidR="00262DC7" w:rsidRPr="00262DC7" w:rsidRDefault="007E78F4" w:rsidP="00262DC7">
      <w:pPr>
        <w:rPr>
          <w:sz w:val="22"/>
          <w:szCs w:val="22"/>
        </w:rPr>
      </w:pPr>
      <w:r>
        <w:rPr>
          <w:sz w:val="22"/>
          <w:szCs w:val="22"/>
        </w:rPr>
        <w:t xml:space="preserve"> </w:t>
      </w:r>
      <w:r w:rsidR="00A348FC">
        <w:rPr>
          <w:sz w:val="22"/>
          <w:szCs w:val="22"/>
        </w:rPr>
        <w:t>The</w:t>
      </w:r>
      <w:r>
        <w:rPr>
          <w:sz w:val="22"/>
          <w:szCs w:val="22"/>
        </w:rPr>
        <w:t xml:space="preserve"> social model encourages professionals to look beyond diagnoses. During assessments, social workers should not only inquire about difficulties with activities but also consider factors such as poor housing, lack of transport, financial problems, inaccessible information, and gaps in support. This approach results in more comprehensive care plans and helps individuals maintain independence.</w:t>
      </w:r>
    </w:p>
    <w:p w14:paraId="56742C1E" w14:textId="77777777" w:rsidR="001C5718" w:rsidRDefault="007215C4" w:rsidP="00262DC7">
      <w:pPr>
        <w:rPr>
          <w:sz w:val="22"/>
          <w:szCs w:val="22"/>
        </w:rPr>
      </w:pPr>
      <w:r>
        <w:rPr>
          <w:sz w:val="22"/>
          <w:szCs w:val="22"/>
        </w:rPr>
        <w:t xml:space="preserve">The same principle applies to nursing and care. Sometimes, a person may be labelled as “difficult” or “non-compliant,” but the real issue is that professionals haven't communicated effectively. Someone with a learning disability might need simple language and additional time, while an autistic person may benefit from a quieter waiting area or clearer explanations. A person with hearing loss may require communication support. These examples demonstrate how services can adapt instead of expecting individuals to conform to a system that doesn't meet their needs. </w:t>
      </w:r>
    </w:p>
    <w:p w14:paraId="665E9C8A" w14:textId="0D267013" w:rsidR="00262DC7" w:rsidRPr="00262DC7" w:rsidRDefault="005408C8" w:rsidP="00262DC7">
      <w:pPr>
        <w:rPr>
          <w:sz w:val="22"/>
          <w:szCs w:val="22"/>
        </w:rPr>
      </w:pPr>
      <w:r>
        <w:rPr>
          <w:sz w:val="22"/>
          <w:szCs w:val="22"/>
        </w:rPr>
        <w:t>Research by the King's</w:t>
      </w:r>
      <w:r w:rsidR="00D93004">
        <w:rPr>
          <w:sz w:val="22"/>
          <w:szCs w:val="22"/>
        </w:rPr>
        <w:t xml:space="preserve"> Fund</w:t>
      </w:r>
      <w:r w:rsidR="007215C4">
        <w:rPr>
          <w:sz w:val="22"/>
          <w:szCs w:val="22"/>
        </w:rPr>
        <w:t xml:space="preserve"> also found that professionals should consider whether difficulties are caused by inaccessible environments (Fenney et al., 2022). </w:t>
      </w:r>
    </w:p>
    <w:p w14:paraId="56A84FD8" w14:textId="3F4D2216" w:rsidR="00262DC7" w:rsidRPr="00262DC7" w:rsidRDefault="005408C8" w:rsidP="00262DC7">
      <w:pPr>
        <w:rPr>
          <w:sz w:val="22"/>
          <w:szCs w:val="22"/>
        </w:rPr>
      </w:pPr>
      <w:r>
        <w:rPr>
          <w:sz w:val="22"/>
          <w:szCs w:val="22"/>
        </w:rPr>
        <w:t xml:space="preserve">Recent UK evidence emphasises the importance of these adjustments. The LeDeR program's 2023 data </w:t>
      </w:r>
      <w:r w:rsidR="00D006F4">
        <w:rPr>
          <w:sz w:val="22"/>
          <w:szCs w:val="22"/>
        </w:rPr>
        <w:t>show</w:t>
      </w:r>
      <w:r>
        <w:rPr>
          <w:sz w:val="22"/>
          <w:szCs w:val="22"/>
        </w:rPr>
        <w:t xml:space="preserve"> adults with a learning disability die approximately 20 years earlier than the general population. About 39% of their deaths were preventable, compared to 22% for others. </w:t>
      </w:r>
      <w:r>
        <w:rPr>
          <w:sz w:val="22"/>
          <w:szCs w:val="22"/>
        </w:rPr>
        <w:lastRenderedPageBreak/>
        <w:t xml:space="preserve">LeDeR also identified delays, gaps in care, and organisational issues (King's College London, 2024; NHS England, 2025b). </w:t>
      </w:r>
    </w:p>
    <w:p w14:paraId="120BF906" w14:textId="230B535C" w:rsidR="00262DC7" w:rsidRPr="00262DC7" w:rsidRDefault="001E4344" w:rsidP="00262DC7">
      <w:pPr>
        <w:rPr>
          <w:sz w:val="22"/>
          <w:szCs w:val="22"/>
        </w:rPr>
      </w:pPr>
      <w:r>
        <w:rPr>
          <w:sz w:val="22"/>
          <w:szCs w:val="22"/>
        </w:rPr>
        <w:t>These findings are important for the social model because they show that poor health outcomes are not always caused solely by an individual's impairment. The way healthcare is organised, access to services, communication, and reasonable adjustments can also affect people's experiences and outcomes.</w:t>
      </w:r>
    </w:p>
    <w:p w14:paraId="705D0FB4" w14:textId="6BE2BD81" w:rsidR="00262DC7" w:rsidRPr="00D455EF" w:rsidRDefault="00D455EF" w:rsidP="00262DC7">
      <w:pPr>
        <w:rPr>
          <w:sz w:val="22"/>
          <w:szCs w:val="22"/>
        </w:rPr>
      </w:pPr>
      <w:r w:rsidRPr="00D455EF">
        <w:rPr>
          <w:sz w:val="22"/>
          <w:szCs w:val="22"/>
        </w:rPr>
        <w:t xml:space="preserve">Co-production is a key method for </w:t>
      </w:r>
      <w:r w:rsidR="008C3939">
        <w:rPr>
          <w:sz w:val="22"/>
          <w:szCs w:val="22"/>
        </w:rPr>
        <w:t>practically applying the social model</w:t>
      </w:r>
      <w:r w:rsidRPr="00D455EF">
        <w:rPr>
          <w:sz w:val="22"/>
          <w:szCs w:val="22"/>
        </w:rPr>
        <w:t xml:space="preserve">. According to the Social Care Institute for Excellence, co-production involves service users, carers, and professionals collaborating as partners and sharing decision-making power (SCIE, 2022). Instead of professionals creating services independently, disabled people and carers should be actively involved from the start. </w:t>
      </w:r>
    </w:p>
    <w:p w14:paraId="1741CC42" w14:textId="77777777" w:rsidR="00E424F8" w:rsidRDefault="009A2C18" w:rsidP="00262DC7">
      <w:pPr>
        <w:rPr>
          <w:sz w:val="22"/>
          <w:szCs w:val="22"/>
        </w:rPr>
      </w:pPr>
      <w:r>
        <w:rPr>
          <w:sz w:val="22"/>
          <w:szCs w:val="22"/>
        </w:rPr>
        <w:t xml:space="preserve">In a residential home, residents participate in decisions regarding activities, meals, routines, and service enhancements. Disabled individuals can also contribute to </w:t>
      </w:r>
      <w:r w:rsidR="008C3939">
        <w:rPr>
          <w:sz w:val="22"/>
          <w:szCs w:val="22"/>
        </w:rPr>
        <w:t>the design of staff training, accessible information</w:t>
      </w:r>
      <w:r>
        <w:rPr>
          <w:sz w:val="22"/>
          <w:szCs w:val="22"/>
        </w:rPr>
        <w:t>, and new services.</w:t>
      </w:r>
    </w:p>
    <w:p w14:paraId="3D3052E5" w14:textId="686D5B5C" w:rsidR="00262DC7" w:rsidRPr="00262DC7" w:rsidRDefault="009A2C18" w:rsidP="00262DC7">
      <w:pPr>
        <w:rPr>
          <w:sz w:val="22"/>
          <w:szCs w:val="22"/>
        </w:rPr>
      </w:pPr>
      <w:r>
        <w:rPr>
          <w:sz w:val="22"/>
          <w:szCs w:val="22"/>
        </w:rPr>
        <w:t xml:space="preserve"> This approach promotes person-centred care by </w:t>
      </w:r>
      <w:r w:rsidR="008C3939">
        <w:rPr>
          <w:sz w:val="22"/>
          <w:szCs w:val="22"/>
        </w:rPr>
        <w:t>recognising</w:t>
      </w:r>
      <w:r>
        <w:rPr>
          <w:sz w:val="22"/>
          <w:szCs w:val="22"/>
        </w:rPr>
        <w:t xml:space="preserve"> people as partners with valuable insights rather than </w:t>
      </w:r>
      <w:r w:rsidR="00A348FC">
        <w:rPr>
          <w:sz w:val="22"/>
          <w:szCs w:val="22"/>
        </w:rPr>
        <w:t>merely passive recipients of care</w:t>
      </w:r>
      <w:r>
        <w:rPr>
          <w:sz w:val="22"/>
          <w:szCs w:val="22"/>
        </w:rPr>
        <w:t>.</w:t>
      </w:r>
    </w:p>
    <w:p w14:paraId="01E8E141" w14:textId="772F1441" w:rsidR="00262DC7" w:rsidRPr="00262DC7" w:rsidRDefault="002604AD" w:rsidP="00262DC7">
      <w:pPr>
        <w:rPr>
          <w:sz w:val="22"/>
          <w:szCs w:val="22"/>
        </w:rPr>
      </w:pPr>
      <w:r>
        <w:rPr>
          <w:sz w:val="22"/>
          <w:szCs w:val="22"/>
        </w:rPr>
        <w:t xml:space="preserve">Despite policies promoting a person-centred approach, actual practice often falls short. Care services may claim to prioritise individuals but still enforce uniform routines for everyone. Challenges such as staff shortages, limited budgets, time constraints, and a lack of suitable local resources can prevent </w:t>
      </w:r>
      <w:r w:rsidR="00A348FC">
        <w:rPr>
          <w:sz w:val="22"/>
          <w:szCs w:val="22"/>
        </w:rPr>
        <w:t>the delivery of truly</w:t>
      </w:r>
      <w:r>
        <w:rPr>
          <w:sz w:val="22"/>
          <w:szCs w:val="22"/>
        </w:rPr>
        <w:t xml:space="preserve"> personalised options. Research by The King's Fund and Disability Rights UK revealed that disabled individuals are sometimes asked to participate in service planning, yet their input does not lead to real change (Fenney et al., 2022). This situation becomes tokenistic when organisations listen </w:t>
      </w:r>
      <w:r w:rsidR="00D006F4">
        <w:rPr>
          <w:sz w:val="22"/>
          <w:szCs w:val="22"/>
        </w:rPr>
        <w:t>to people's feedback but do not act on it</w:t>
      </w:r>
      <w:r>
        <w:rPr>
          <w:sz w:val="22"/>
          <w:szCs w:val="22"/>
        </w:rPr>
        <w:t xml:space="preserve">. </w:t>
      </w:r>
    </w:p>
    <w:p w14:paraId="5E1627B8" w14:textId="1B3A6585" w:rsidR="00262DC7" w:rsidRPr="00012257" w:rsidRDefault="00517B75" w:rsidP="00262DC7">
      <w:pPr>
        <w:rPr>
          <w:b/>
          <w:bCs/>
          <w:sz w:val="32"/>
          <w:szCs w:val="32"/>
        </w:rPr>
      </w:pPr>
      <w:r>
        <w:rPr>
          <w:b/>
          <w:bCs/>
          <w:sz w:val="32"/>
          <w:szCs w:val="32"/>
        </w:rPr>
        <w:t xml:space="preserve">Policy and Practice for </w:t>
      </w:r>
      <w:r w:rsidR="00E13029">
        <w:rPr>
          <w:b/>
          <w:bCs/>
          <w:sz w:val="32"/>
          <w:szCs w:val="32"/>
        </w:rPr>
        <w:t>Health and Social Care</w:t>
      </w:r>
    </w:p>
    <w:p w14:paraId="12FEA507" w14:textId="5CA84067" w:rsidR="00262DC7" w:rsidRPr="00262DC7" w:rsidRDefault="00720EE7" w:rsidP="00262DC7">
      <w:pPr>
        <w:rPr>
          <w:sz w:val="22"/>
          <w:szCs w:val="22"/>
        </w:rPr>
      </w:pPr>
      <w:r>
        <w:rPr>
          <w:sz w:val="22"/>
          <w:szCs w:val="22"/>
        </w:rPr>
        <w:t xml:space="preserve"> </w:t>
      </w:r>
      <w:r w:rsidR="00E865B2">
        <w:rPr>
          <w:sz w:val="22"/>
          <w:szCs w:val="22"/>
        </w:rPr>
        <w:t>Organisations</w:t>
      </w:r>
      <w:r>
        <w:rPr>
          <w:sz w:val="22"/>
          <w:szCs w:val="22"/>
        </w:rPr>
        <w:t xml:space="preserve"> should keep using the social model with a balanced approach. Staff need regular training on disability equality and person-centred care, </w:t>
      </w:r>
      <w:r w:rsidR="00895D6E">
        <w:rPr>
          <w:sz w:val="22"/>
          <w:szCs w:val="22"/>
        </w:rPr>
        <w:t>which goes beyond</w:t>
      </w:r>
      <w:r>
        <w:rPr>
          <w:sz w:val="22"/>
          <w:szCs w:val="22"/>
        </w:rPr>
        <w:t xml:space="preserve"> health conditions. Training should help workers identify barriers and understand their responsibilities under the Equality Act 2010.</w:t>
      </w:r>
    </w:p>
    <w:p w14:paraId="4E0DA63A" w14:textId="77E1471E" w:rsidR="00262DC7" w:rsidRPr="00262DC7" w:rsidRDefault="00FB6577" w:rsidP="00262DC7">
      <w:pPr>
        <w:rPr>
          <w:sz w:val="22"/>
          <w:szCs w:val="22"/>
        </w:rPr>
      </w:pPr>
      <w:r>
        <w:rPr>
          <w:sz w:val="22"/>
          <w:szCs w:val="22"/>
        </w:rPr>
        <w:t>People with disabilities should participate more in planning, delivering, and reviewing health and social care. Co-production should occur before decisions</w:t>
      </w:r>
      <w:r w:rsidR="001856E6">
        <w:rPr>
          <w:sz w:val="22"/>
          <w:szCs w:val="22"/>
        </w:rPr>
        <w:t xml:space="preserve"> are made, and organisations should demonstrate how user opinions influence decisions</w:t>
      </w:r>
      <w:r>
        <w:rPr>
          <w:sz w:val="22"/>
          <w:szCs w:val="22"/>
        </w:rPr>
        <w:t xml:space="preserve">. This can reduce tokenism and increase disabled people's influence (SCIE, 2022). </w:t>
      </w:r>
    </w:p>
    <w:p w14:paraId="7CAEF11C" w14:textId="728AE6CD" w:rsidR="00262DC7" w:rsidRPr="00262DC7" w:rsidRDefault="00F83D48" w:rsidP="00262DC7">
      <w:pPr>
        <w:rPr>
          <w:sz w:val="22"/>
          <w:szCs w:val="22"/>
        </w:rPr>
      </w:pPr>
      <w:r>
        <w:rPr>
          <w:sz w:val="22"/>
          <w:szCs w:val="22"/>
        </w:rPr>
        <w:t xml:space="preserve"> Adjustments must be well documented and consistently applied. Information should be integrated into routine care, not only after issues arise. NHS and adult social care groups should regularly ensure communication needs are acknowledged and met (NHS England, 2025a). </w:t>
      </w:r>
    </w:p>
    <w:p w14:paraId="107B43FC" w14:textId="0362AF23" w:rsidR="00DA6C73" w:rsidRDefault="000312D5" w:rsidP="00262DC7">
      <w:pPr>
        <w:rPr>
          <w:sz w:val="22"/>
          <w:szCs w:val="22"/>
        </w:rPr>
      </w:pPr>
      <w:r>
        <w:rPr>
          <w:sz w:val="22"/>
          <w:szCs w:val="22"/>
        </w:rPr>
        <w:t xml:space="preserve">Policymakers and service leaders ought to focus on outcomes that are important to individuals, including independence, dignity, relationships, safety, and </w:t>
      </w:r>
      <w:r w:rsidR="001856E6">
        <w:rPr>
          <w:sz w:val="22"/>
          <w:szCs w:val="22"/>
        </w:rPr>
        <w:t>community involvement</w:t>
      </w:r>
      <w:r>
        <w:rPr>
          <w:sz w:val="22"/>
          <w:szCs w:val="22"/>
        </w:rPr>
        <w:t xml:space="preserve">. </w:t>
      </w:r>
    </w:p>
    <w:p w14:paraId="5E64AA8B" w14:textId="1BE8CC73" w:rsidR="00262DC7" w:rsidRPr="00262DC7" w:rsidRDefault="000312D5" w:rsidP="00262DC7">
      <w:pPr>
        <w:rPr>
          <w:sz w:val="22"/>
          <w:szCs w:val="22"/>
        </w:rPr>
      </w:pPr>
      <w:r>
        <w:rPr>
          <w:sz w:val="22"/>
          <w:szCs w:val="22"/>
        </w:rPr>
        <w:lastRenderedPageBreak/>
        <w:t xml:space="preserve"> The Department of Health and Social Care's reform promotes person-centred care by focusing on housing, technology, carers, and workforce development (Department of Health and Social Care 2021). However, real person-centred care needs trained staff, funding, and accessible services, not just policies. </w:t>
      </w:r>
    </w:p>
    <w:p w14:paraId="56EF7B93" w14:textId="77777777" w:rsidR="00262DC7" w:rsidRPr="007C1913" w:rsidRDefault="00262DC7" w:rsidP="00262DC7">
      <w:pPr>
        <w:rPr>
          <w:b/>
          <w:bCs/>
          <w:sz w:val="32"/>
          <w:szCs w:val="32"/>
        </w:rPr>
      </w:pPr>
      <w:r w:rsidRPr="007C1913">
        <w:rPr>
          <w:b/>
          <w:bCs/>
          <w:sz w:val="32"/>
          <w:szCs w:val="32"/>
        </w:rPr>
        <w:t>Conclusion</w:t>
      </w:r>
    </w:p>
    <w:p w14:paraId="3C649184" w14:textId="68D7ECE3" w:rsidR="00262DC7" w:rsidRPr="00262DC7" w:rsidRDefault="004E0502" w:rsidP="00262DC7">
      <w:pPr>
        <w:rPr>
          <w:sz w:val="22"/>
          <w:szCs w:val="22"/>
        </w:rPr>
      </w:pPr>
      <w:r>
        <w:rPr>
          <w:sz w:val="22"/>
          <w:szCs w:val="22"/>
        </w:rPr>
        <w:t xml:space="preserve"> The social model of disability has influenced person-centred care in the UK. It, from the disability rights movement, challenged the idea that disability is only a personal problem. It highlighted barriers like inaccessible environments, discrimination, poor communication, and rigid services that worsen challenges for disabled people. This approach </w:t>
      </w:r>
      <w:r w:rsidR="001856E6">
        <w:rPr>
          <w:sz w:val="22"/>
          <w:szCs w:val="22"/>
        </w:rPr>
        <w:t>emphasises principles such as</w:t>
      </w:r>
      <w:r>
        <w:rPr>
          <w:sz w:val="22"/>
          <w:szCs w:val="22"/>
        </w:rPr>
        <w:t xml:space="preserve"> equality, independence, participation, dignity, and control.</w:t>
      </w:r>
    </w:p>
    <w:p w14:paraId="792F49FE" w14:textId="0C1F91AA" w:rsidR="00262DC7" w:rsidRPr="00262DC7" w:rsidRDefault="00130B98" w:rsidP="00262DC7">
      <w:pPr>
        <w:rPr>
          <w:sz w:val="22"/>
          <w:szCs w:val="22"/>
        </w:rPr>
      </w:pPr>
      <w:r>
        <w:rPr>
          <w:sz w:val="22"/>
          <w:szCs w:val="22"/>
        </w:rPr>
        <w:t xml:space="preserve">The social model has limits, as it may not fully explain pain, illness, or impairment effects, and people with the same disability can have different experiences. It shouldn't be the sole perspective; a balanced approach must </w:t>
      </w:r>
      <w:r w:rsidR="001856E6">
        <w:rPr>
          <w:sz w:val="22"/>
          <w:szCs w:val="22"/>
        </w:rPr>
        <w:t>recognise</w:t>
      </w:r>
      <w:r>
        <w:rPr>
          <w:sz w:val="22"/>
          <w:szCs w:val="22"/>
        </w:rPr>
        <w:t xml:space="preserve"> medical needs and social barriers.</w:t>
      </w:r>
    </w:p>
    <w:p w14:paraId="26369BB2" w14:textId="6F1FCBC2" w:rsidR="00262DC7" w:rsidRDefault="008D4722" w:rsidP="00262DC7">
      <w:pPr>
        <w:rPr>
          <w:sz w:val="22"/>
          <w:szCs w:val="22"/>
        </w:rPr>
      </w:pPr>
      <w:r>
        <w:rPr>
          <w:sz w:val="22"/>
          <w:szCs w:val="22"/>
        </w:rPr>
        <w:t xml:space="preserve">UK legislation </w:t>
      </w:r>
      <w:r w:rsidR="001856E6">
        <w:rPr>
          <w:sz w:val="22"/>
          <w:szCs w:val="22"/>
        </w:rPr>
        <w:t>such as the Care Act 2014, CQC Regulation 9, and NHS Standards exemplifies</w:t>
      </w:r>
      <w:r>
        <w:rPr>
          <w:sz w:val="22"/>
          <w:szCs w:val="22"/>
        </w:rPr>
        <w:t xml:space="preserve"> social model principles in action. Nonetheless, policies by themselves are insufficient. Care providers need to implement reasonable adjustments, actively listen to disabled individuals, collaborate effectively, and equip staff with the necessary time, training, and resources to deliver person-centred support. This approach enables disabled people to enjoy authentic choice, dignity, participation, and control.</w:t>
      </w:r>
    </w:p>
    <w:p w14:paraId="64D74F7E" w14:textId="77777777" w:rsidR="008D4722" w:rsidRDefault="008D4722" w:rsidP="00262DC7">
      <w:pPr>
        <w:rPr>
          <w:sz w:val="22"/>
          <w:szCs w:val="22"/>
        </w:rPr>
      </w:pPr>
    </w:p>
    <w:p w14:paraId="428D6383" w14:textId="77777777" w:rsidR="008D4722" w:rsidRDefault="008D4722" w:rsidP="00262DC7">
      <w:pPr>
        <w:rPr>
          <w:sz w:val="22"/>
          <w:szCs w:val="22"/>
        </w:rPr>
      </w:pPr>
    </w:p>
    <w:p w14:paraId="48E6B064" w14:textId="77777777" w:rsidR="008D4722" w:rsidRDefault="008D4722" w:rsidP="00262DC7">
      <w:pPr>
        <w:rPr>
          <w:sz w:val="22"/>
          <w:szCs w:val="22"/>
        </w:rPr>
      </w:pPr>
    </w:p>
    <w:p w14:paraId="72DBF31A" w14:textId="77777777" w:rsidR="008D4722" w:rsidRDefault="008D4722" w:rsidP="00262DC7">
      <w:pPr>
        <w:rPr>
          <w:sz w:val="22"/>
          <w:szCs w:val="22"/>
        </w:rPr>
      </w:pPr>
    </w:p>
    <w:p w14:paraId="4D744FAD" w14:textId="77777777" w:rsidR="008D4722" w:rsidRPr="00262DC7" w:rsidRDefault="008D4722" w:rsidP="00262DC7">
      <w:pPr>
        <w:rPr>
          <w:sz w:val="22"/>
          <w:szCs w:val="22"/>
        </w:rPr>
      </w:pPr>
    </w:p>
    <w:p w14:paraId="17FFD069" w14:textId="09D6A71D" w:rsidR="00262DC7" w:rsidRPr="000D4C70" w:rsidRDefault="00262DC7" w:rsidP="00262DC7">
      <w:pPr>
        <w:rPr>
          <w:b/>
          <w:bCs/>
          <w:sz w:val="32"/>
          <w:szCs w:val="32"/>
        </w:rPr>
      </w:pPr>
      <w:r w:rsidRPr="000D4C70">
        <w:rPr>
          <w:b/>
          <w:bCs/>
          <w:sz w:val="32"/>
          <w:szCs w:val="32"/>
        </w:rPr>
        <w:t xml:space="preserve"> Reference </w:t>
      </w:r>
    </w:p>
    <w:p w14:paraId="4BEB1054" w14:textId="77777777" w:rsidR="00262DC7" w:rsidRDefault="00262DC7" w:rsidP="00262DC7">
      <w:pPr>
        <w:rPr>
          <w:sz w:val="22"/>
          <w:szCs w:val="22"/>
        </w:rPr>
      </w:pPr>
      <w:r w:rsidRPr="00262DC7">
        <w:rPr>
          <w:sz w:val="22"/>
          <w:szCs w:val="22"/>
        </w:rPr>
        <w:t xml:space="preserve">Care Quality Commission (CQC) (2025) </w:t>
      </w:r>
      <w:r w:rsidRPr="00262DC7">
        <w:rPr>
          <w:i/>
          <w:iCs/>
          <w:sz w:val="22"/>
          <w:szCs w:val="22"/>
        </w:rPr>
        <w:t>Regulation 9: Person-centred care</w:t>
      </w:r>
      <w:r w:rsidRPr="00262DC7">
        <w:rPr>
          <w:sz w:val="22"/>
          <w:szCs w:val="22"/>
        </w:rPr>
        <w:t xml:space="preserve">. Newcastle upon Tyne: Care Quality Commission. Available from the Care Quality Commission website (Accessed: 10 August 2026). </w:t>
      </w:r>
    </w:p>
    <w:p w14:paraId="15195AA3" w14:textId="6FAA1FF1" w:rsidR="00F946E8" w:rsidRPr="00262DC7" w:rsidRDefault="00FC3CFB" w:rsidP="00262DC7">
      <w:pPr>
        <w:rPr>
          <w:sz w:val="22"/>
          <w:szCs w:val="22"/>
        </w:rPr>
      </w:pPr>
      <w:r w:rsidRPr="00FC3CFB">
        <w:rPr>
          <w:sz w:val="22"/>
          <w:szCs w:val="22"/>
        </w:rPr>
        <w:t xml:space="preserve">Care Quality Commission (2024). </w:t>
      </w:r>
      <w:r w:rsidRPr="00FC3CFB">
        <w:rPr>
          <w:i/>
          <w:iCs/>
          <w:sz w:val="22"/>
          <w:szCs w:val="22"/>
        </w:rPr>
        <w:t>Regulations for service providers and managers</w:t>
      </w:r>
      <w:r w:rsidRPr="00FC3CFB">
        <w:rPr>
          <w:sz w:val="22"/>
          <w:szCs w:val="22"/>
        </w:rPr>
        <w:t xml:space="preserve">. [online] </w:t>
      </w:r>
      <w:r w:rsidRPr="00FC3CFB">
        <w:rPr>
          <w:i/>
          <w:iCs/>
          <w:sz w:val="22"/>
          <w:szCs w:val="22"/>
        </w:rPr>
        <w:t>Cqc.org.uk</w:t>
      </w:r>
      <w:r w:rsidRPr="00FC3CFB">
        <w:rPr>
          <w:sz w:val="22"/>
          <w:szCs w:val="22"/>
        </w:rPr>
        <w:t xml:space="preserve">. Available at: </w:t>
      </w:r>
      <w:hyperlink r:id="rId5" w:history="1">
        <w:r w:rsidR="0091361B" w:rsidRPr="007B7B07">
          <w:rPr>
            <w:rStyle w:val="Hyperlink"/>
            <w:sz w:val="22"/>
            <w:szCs w:val="22"/>
          </w:rPr>
          <w:t>https://www.cqc.org.uk/guidance-regulation/providers/regulations-</w:t>
        </w:r>
      </w:hyperlink>
    </w:p>
    <w:p w14:paraId="13DE4B99" w14:textId="0463099C" w:rsidR="00262DC7" w:rsidRDefault="00262DC7" w:rsidP="00262DC7">
      <w:pPr>
        <w:rPr>
          <w:sz w:val="22"/>
          <w:szCs w:val="22"/>
        </w:rPr>
      </w:pPr>
      <w:r w:rsidRPr="00262DC7">
        <w:rPr>
          <w:sz w:val="22"/>
          <w:szCs w:val="22"/>
        </w:rPr>
        <w:t>.</w:t>
      </w:r>
      <w:r w:rsidR="004A0F25" w:rsidRPr="004A0F25">
        <w:rPr>
          <w:rFonts w:ascii="Times New Roman" w:eastAsia="Times New Roman" w:hAnsi="Times New Roman" w:cs="Times New Roman"/>
          <w:kern w:val="0"/>
          <w:sz w:val="22"/>
          <w:szCs w:val="22"/>
          <w:lang w:eastAsia="en-GB"/>
          <w14:ligatures w14:val="none"/>
        </w:rPr>
        <w:t xml:space="preserve"> </w:t>
      </w:r>
      <w:r w:rsidR="004A0F25" w:rsidRPr="004A0F25">
        <w:rPr>
          <w:sz w:val="22"/>
          <w:szCs w:val="22"/>
        </w:rPr>
        <w:t xml:space="preserve">Department of Health and Social Care (2022). </w:t>
      </w:r>
      <w:r w:rsidR="004A0F25" w:rsidRPr="004A0F25">
        <w:rPr>
          <w:i/>
          <w:iCs/>
          <w:sz w:val="22"/>
          <w:szCs w:val="22"/>
        </w:rPr>
        <w:t>People at the heart of care: Adult social care reform</w:t>
      </w:r>
      <w:r w:rsidR="004A0F25" w:rsidRPr="004A0F25">
        <w:rPr>
          <w:sz w:val="22"/>
          <w:szCs w:val="22"/>
        </w:rPr>
        <w:t xml:space="preserve">. [online] </w:t>
      </w:r>
      <w:r w:rsidR="004A0F25" w:rsidRPr="004A0F25">
        <w:rPr>
          <w:i/>
          <w:iCs/>
          <w:sz w:val="22"/>
          <w:szCs w:val="22"/>
        </w:rPr>
        <w:t>GOV.UK</w:t>
      </w:r>
      <w:r w:rsidR="004A0F25" w:rsidRPr="004A0F25">
        <w:rPr>
          <w:sz w:val="22"/>
          <w:szCs w:val="22"/>
        </w:rPr>
        <w:t>. Available at: https://www.gov.uk/government/publications/people-at-the-heart-of-care-adult-social-care-reform-white-paper/people-at-the-heart-of-care-adult-social-care-reform [Accessed 13 Aug. 2026].</w:t>
      </w:r>
    </w:p>
    <w:p w14:paraId="13072586" w14:textId="1BDB3CB8" w:rsidR="003061AA" w:rsidRDefault="00DE57CD" w:rsidP="00262DC7">
      <w:pPr>
        <w:rPr>
          <w:sz w:val="22"/>
          <w:szCs w:val="22"/>
        </w:rPr>
      </w:pPr>
      <w:r w:rsidRPr="00DE57CD">
        <w:rPr>
          <w:sz w:val="22"/>
          <w:szCs w:val="22"/>
        </w:rPr>
        <w:t xml:space="preserve">Department of Health and Social Care (2025). </w:t>
      </w:r>
      <w:r w:rsidRPr="00DE57CD">
        <w:rPr>
          <w:i/>
          <w:iCs/>
          <w:sz w:val="22"/>
          <w:szCs w:val="22"/>
        </w:rPr>
        <w:t>Care and support statutory guidance</w:t>
      </w:r>
      <w:r w:rsidRPr="00DE57CD">
        <w:rPr>
          <w:sz w:val="22"/>
          <w:szCs w:val="22"/>
        </w:rPr>
        <w:t xml:space="preserve">. London: Department of Health and Social Care. Updated 22 July 2025 (Accessed: 10 August </w:t>
      </w:r>
      <w:r w:rsidR="003061AA">
        <w:rPr>
          <w:sz w:val="22"/>
          <w:szCs w:val="22"/>
        </w:rPr>
        <w:t>2026</w:t>
      </w:r>
      <w:r w:rsidR="007900BE">
        <w:rPr>
          <w:sz w:val="22"/>
          <w:szCs w:val="22"/>
        </w:rPr>
        <w:t>)</w:t>
      </w:r>
    </w:p>
    <w:p w14:paraId="23FA97D4" w14:textId="77777777" w:rsidR="003061AA" w:rsidRDefault="003061AA" w:rsidP="00262DC7">
      <w:pPr>
        <w:rPr>
          <w:sz w:val="22"/>
          <w:szCs w:val="22"/>
        </w:rPr>
      </w:pPr>
    </w:p>
    <w:p w14:paraId="6CFF4EEC" w14:textId="141345AA" w:rsidR="00262DC7" w:rsidRPr="00262DC7" w:rsidRDefault="003061AA" w:rsidP="00262DC7">
      <w:pPr>
        <w:rPr>
          <w:sz w:val="22"/>
          <w:szCs w:val="22"/>
        </w:rPr>
      </w:pPr>
      <w:r>
        <w:rPr>
          <w:sz w:val="22"/>
          <w:szCs w:val="22"/>
        </w:rPr>
        <w:t xml:space="preserve"> Fenney</w:t>
      </w:r>
      <w:r w:rsidR="00262DC7" w:rsidRPr="00262DC7">
        <w:rPr>
          <w:sz w:val="22"/>
          <w:szCs w:val="22"/>
        </w:rPr>
        <w:t xml:space="preserve">, D., Wellings, D., Lennon, E. and Hadi, F. (2022) </w:t>
      </w:r>
      <w:r w:rsidR="00262DC7" w:rsidRPr="00262DC7">
        <w:rPr>
          <w:i/>
          <w:iCs/>
          <w:sz w:val="22"/>
          <w:szCs w:val="22"/>
        </w:rPr>
        <w:t>Towards a new partnership between disabled people and health and care services: getting our voices heard</w:t>
      </w:r>
      <w:r w:rsidR="00262DC7" w:rsidRPr="00262DC7">
        <w:rPr>
          <w:sz w:val="22"/>
          <w:szCs w:val="22"/>
        </w:rPr>
        <w:t xml:space="preserve">. London: The King's Fund and Disability Rights UK. </w:t>
      </w:r>
    </w:p>
    <w:p w14:paraId="2B451894" w14:textId="78719845" w:rsidR="00E27FF6" w:rsidRPr="00E27FF6" w:rsidRDefault="00E27FF6" w:rsidP="00E27FF6">
      <w:pPr>
        <w:rPr>
          <w:sz w:val="22"/>
          <w:szCs w:val="22"/>
        </w:rPr>
      </w:pPr>
      <w:r w:rsidRPr="00E27FF6">
        <w:rPr>
          <w:sz w:val="22"/>
          <w:szCs w:val="22"/>
        </w:rPr>
        <w:t xml:space="preserve">GOV.UK (2013). </w:t>
      </w:r>
      <w:r w:rsidRPr="00E27FF6">
        <w:rPr>
          <w:i/>
          <w:iCs/>
          <w:sz w:val="22"/>
          <w:szCs w:val="22"/>
        </w:rPr>
        <w:t xml:space="preserve">Equality </w:t>
      </w:r>
      <w:r>
        <w:rPr>
          <w:i/>
          <w:iCs/>
          <w:sz w:val="22"/>
          <w:szCs w:val="22"/>
        </w:rPr>
        <w:t>Act</w:t>
      </w:r>
      <w:r w:rsidRPr="00E27FF6">
        <w:rPr>
          <w:i/>
          <w:iCs/>
          <w:sz w:val="22"/>
          <w:szCs w:val="22"/>
        </w:rPr>
        <w:t xml:space="preserve"> 2010</w:t>
      </w:r>
      <w:r w:rsidRPr="00E27FF6">
        <w:rPr>
          <w:sz w:val="22"/>
          <w:szCs w:val="22"/>
        </w:rPr>
        <w:t xml:space="preserve">. [online] </w:t>
      </w:r>
      <w:r w:rsidRPr="00E27FF6">
        <w:rPr>
          <w:i/>
          <w:iCs/>
          <w:sz w:val="22"/>
          <w:szCs w:val="22"/>
        </w:rPr>
        <w:t>GOV.UK</w:t>
      </w:r>
      <w:r w:rsidRPr="00E27FF6">
        <w:rPr>
          <w:sz w:val="22"/>
          <w:szCs w:val="22"/>
        </w:rPr>
        <w:t>. Available at: https://www.gov.uk/guidance/equality-act-2010-guidance [Accessed 13 Aug. 2026].</w:t>
      </w:r>
    </w:p>
    <w:p w14:paraId="3E2B50F5" w14:textId="77777777" w:rsidR="00262DC7" w:rsidRPr="00262DC7" w:rsidRDefault="00262DC7" w:rsidP="00262DC7">
      <w:pPr>
        <w:rPr>
          <w:sz w:val="22"/>
          <w:szCs w:val="22"/>
        </w:rPr>
      </w:pPr>
      <w:r w:rsidRPr="00262DC7">
        <w:rPr>
          <w:sz w:val="22"/>
          <w:szCs w:val="22"/>
        </w:rPr>
        <w:t xml:space="preserve">King's College London (2024) </w:t>
      </w:r>
      <w:r w:rsidRPr="00262DC7">
        <w:rPr>
          <w:i/>
          <w:iCs/>
          <w:sz w:val="22"/>
          <w:szCs w:val="22"/>
        </w:rPr>
        <w:t>Learning from Lives and Deaths – People with a Learning Disability and Autistic People (LeDeR): 2023 Report</w:t>
      </w:r>
      <w:r w:rsidRPr="00262DC7">
        <w:rPr>
          <w:sz w:val="22"/>
          <w:szCs w:val="22"/>
        </w:rPr>
        <w:t xml:space="preserve">. London: King's College London. </w:t>
      </w:r>
    </w:p>
    <w:p w14:paraId="1ECDAC16" w14:textId="77777777" w:rsidR="00262DC7" w:rsidRPr="00262DC7" w:rsidRDefault="00262DC7" w:rsidP="00262DC7">
      <w:pPr>
        <w:rPr>
          <w:sz w:val="22"/>
          <w:szCs w:val="22"/>
        </w:rPr>
      </w:pPr>
      <w:r w:rsidRPr="00262DC7">
        <w:rPr>
          <w:sz w:val="22"/>
          <w:szCs w:val="22"/>
        </w:rPr>
        <w:t xml:space="preserve">NHS England (2025a) </w:t>
      </w:r>
      <w:r w:rsidRPr="00262DC7">
        <w:rPr>
          <w:i/>
          <w:iCs/>
          <w:sz w:val="22"/>
          <w:szCs w:val="22"/>
        </w:rPr>
        <w:t>Accessible Information Standard</w:t>
      </w:r>
      <w:r w:rsidRPr="00262DC7">
        <w:rPr>
          <w:sz w:val="22"/>
          <w:szCs w:val="22"/>
        </w:rPr>
        <w:t xml:space="preserve">. London: NHS England. </w:t>
      </w:r>
    </w:p>
    <w:p w14:paraId="28663C61" w14:textId="1E1435CC" w:rsidR="003B397F" w:rsidRDefault="00262DC7" w:rsidP="00262DC7">
      <w:pPr>
        <w:rPr>
          <w:sz w:val="22"/>
          <w:szCs w:val="22"/>
        </w:rPr>
      </w:pPr>
      <w:r w:rsidRPr="00262DC7">
        <w:rPr>
          <w:sz w:val="22"/>
          <w:szCs w:val="22"/>
        </w:rPr>
        <w:t xml:space="preserve">NHS England (2025b) </w:t>
      </w:r>
      <w:r w:rsidRPr="00262DC7">
        <w:rPr>
          <w:i/>
          <w:iCs/>
          <w:sz w:val="22"/>
          <w:szCs w:val="22"/>
        </w:rPr>
        <w:t>LeDeR Action from Learning Report 2023/24: Supporting People with a Learning Disability and Autistic People to Live Longer, Healthier Lives</w:t>
      </w:r>
      <w:r w:rsidRPr="00262DC7">
        <w:rPr>
          <w:sz w:val="22"/>
          <w:szCs w:val="22"/>
        </w:rPr>
        <w:t xml:space="preserve">. London: NHS England. </w:t>
      </w:r>
    </w:p>
    <w:p w14:paraId="7B79A19B" w14:textId="0C232F96" w:rsidR="003B397F" w:rsidRDefault="003B397F" w:rsidP="00262DC7">
      <w:pPr>
        <w:rPr>
          <w:sz w:val="22"/>
          <w:szCs w:val="22"/>
        </w:rPr>
      </w:pPr>
      <w:r w:rsidRPr="003B397F">
        <w:rPr>
          <w:sz w:val="22"/>
          <w:szCs w:val="22"/>
        </w:rPr>
        <w:t xml:space="preserve">Oliver, D. (2017). David Oliver: Choosing to be honest about patient choice. </w:t>
      </w:r>
      <w:r w:rsidRPr="003B397F">
        <w:rPr>
          <w:i/>
          <w:iCs/>
          <w:sz w:val="22"/>
          <w:szCs w:val="22"/>
        </w:rPr>
        <w:t>BMJ</w:t>
      </w:r>
      <w:r w:rsidRPr="003B397F">
        <w:rPr>
          <w:sz w:val="22"/>
          <w:szCs w:val="22"/>
        </w:rPr>
        <w:t>, [online] 357. doi:10.1136/</w:t>
      </w:r>
      <w:r w:rsidR="002A5171" w:rsidRPr="003B397F">
        <w:rPr>
          <w:sz w:val="22"/>
          <w:szCs w:val="22"/>
        </w:rPr>
        <w:t>bmj. j</w:t>
      </w:r>
      <w:r w:rsidRPr="003B397F">
        <w:rPr>
          <w:sz w:val="22"/>
          <w:szCs w:val="22"/>
        </w:rPr>
        <w:t>1829.</w:t>
      </w:r>
    </w:p>
    <w:p w14:paraId="6F996927" w14:textId="61C881BE" w:rsidR="003B397F" w:rsidRDefault="00CC4358" w:rsidP="00262DC7">
      <w:pPr>
        <w:rPr>
          <w:sz w:val="22"/>
          <w:szCs w:val="22"/>
        </w:rPr>
      </w:pPr>
      <w:r w:rsidRPr="00CC4358">
        <w:rPr>
          <w:sz w:val="22"/>
          <w:szCs w:val="22"/>
        </w:rPr>
        <w:t xml:space="preserve">Shakespeare, T. and Watson, N. (2001) </w:t>
      </w:r>
      <w:r w:rsidR="002A5171">
        <w:rPr>
          <w:sz w:val="22"/>
          <w:szCs w:val="22"/>
        </w:rPr>
        <w:t>The social model of disability: an outdated ideology in research in social science and disability, volume 2, Exploring</w:t>
      </w:r>
      <w:r w:rsidRPr="00CC4358">
        <w:rPr>
          <w:sz w:val="22"/>
          <w:szCs w:val="22"/>
        </w:rPr>
        <w:t xml:space="preserve"> theories and expanding methodologies, Elsevier Science Ltd., Berlin, 9-28. - references - scientific research publishing. (2014). [online] </w:t>
      </w:r>
      <w:r w:rsidRPr="00CC4358">
        <w:rPr>
          <w:i/>
          <w:iCs/>
          <w:sz w:val="22"/>
          <w:szCs w:val="22"/>
        </w:rPr>
        <w:t>Scirp.org</w:t>
      </w:r>
      <w:r w:rsidRPr="00CC4358">
        <w:rPr>
          <w:sz w:val="22"/>
          <w:szCs w:val="22"/>
        </w:rPr>
        <w:t>. Available at: https://www.scirp.org/reference/referencespapers?referenceid=1271980 [Accessed 13 Aug. 202</w:t>
      </w:r>
    </w:p>
    <w:p w14:paraId="2B29B864" w14:textId="744AAB45" w:rsidR="00262DC7" w:rsidRPr="00262DC7" w:rsidRDefault="00262DC7" w:rsidP="00262DC7">
      <w:pPr>
        <w:rPr>
          <w:sz w:val="22"/>
          <w:szCs w:val="22"/>
        </w:rPr>
      </w:pPr>
      <w:r w:rsidRPr="00262DC7">
        <w:rPr>
          <w:sz w:val="22"/>
          <w:szCs w:val="22"/>
        </w:rPr>
        <w:t xml:space="preserve">Social Care Institute for Excellence (SCIE) (2022) </w:t>
      </w:r>
      <w:r w:rsidRPr="00262DC7">
        <w:rPr>
          <w:i/>
          <w:iCs/>
          <w:sz w:val="22"/>
          <w:szCs w:val="22"/>
        </w:rPr>
        <w:t>Co-production: What it is and how to do it</w:t>
      </w:r>
      <w:r w:rsidRPr="00262DC7">
        <w:rPr>
          <w:sz w:val="22"/>
          <w:szCs w:val="22"/>
        </w:rPr>
        <w:t xml:space="preserve">. London: SCIE. </w:t>
      </w:r>
    </w:p>
    <w:p w14:paraId="7A93B0F0" w14:textId="77777777" w:rsidR="00262DC7" w:rsidRPr="00262DC7" w:rsidRDefault="00262DC7" w:rsidP="00262DC7">
      <w:pPr>
        <w:rPr>
          <w:sz w:val="22"/>
          <w:szCs w:val="22"/>
        </w:rPr>
      </w:pPr>
      <w:r w:rsidRPr="00262DC7">
        <w:rPr>
          <w:sz w:val="22"/>
          <w:szCs w:val="22"/>
        </w:rPr>
        <w:t xml:space="preserve">Union of the Physically Impaired Against Segregation (UPIAS) (1976) </w:t>
      </w:r>
      <w:r w:rsidRPr="00262DC7">
        <w:rPr>
          <w:i/>
          <w:iCs/>
          <w:sz w:val="22"/>
          <w:szCs w:val="22"/>
        </w:rPr>
        <w:t>Fundamental Principles of Disability</w:t>
      </w:r>
      <w:r w:rsidRPr="00262DC7">
        <w:rPr>
          <w:sz w:val="22"/>
          <w:szCs w:val="22"/>
        </w:rPr>
        <w:t xml:space="preserve">. London: UPIAS. </w:t>
      </w:r>
    </w:p>
    <w:p w14:paraId="0EF7D483" w14:textId="77777777" w:rsidR="00262DC7" w:rsidRPr="00262DC7" w:rsidRDefault="00262DC7" w:rsidP="00262DC7">
      <w:pPr>
        <w:rPr>
          <w:vanish/>
          <w:sz w:val="22"/>
          <w:szCs w:val="22"/>
        </w:rPr>
      </w:pPr>
      <w:r w:rsidRPr="00262DC7">
        <w:rPr>
          <w:vanish/>
          <w:sz w:val="22"/>
          <w:szCs w:val="22"/>
        </w:rPr>
        <w:t>Top of Form</w:t>
      </w:r>
    </w:p>
    <w:p w14:paraId="54A059AA" w14:textId="77777777" w:rsidR="00262DC7" w:rsidRPr="00262DC7" w:rsidRDefault="00262DC7" w:rsidP="00262DC7">
      <w:pPr>
        <w:rPr>
          <w:sz w:val="22"/>
          <w:szCs w:val="22"/>
        </w:rPr>
      </w:pPr>
    </w:p>
    <w:p w14:paraId="269CB1D1" w14:textId="77777777" w:rsidR="00262DC7" w:rsidRPr="00262DC7" w:rsidRDefault="00262DC7" w:rsidP="00262DC7">
      <w:pPr>
        <w:rPr>
          <w:vanish/>
          <w:sz w:val="22"/>
          <w:szCs w:val="22"/>
        </w:rPr>
      </w:pPr>
      <w:r w:rsidRPr="00262DC7">
        <w:rPr>
          <w:vanish/>
          <w:sz w:val="22"/>
          <w:szCs w:val="22"/>
        </w:rPr>
        <w:t>Bottom of Form</w:t>
      </w:r>
    </w:p>
    <w:p w14:paraId="6238E925" w14:textId="77777777" w:rsidR="00262DC7" w:rsidRDefault="00262DC7">
      <w:pPr>
        <w:rPr>
          <w:sz w:val="22"/>
          <w:szCs w:val="22"/>
        </w:rPr>
      </w:pPr>
    </w:p>
    <w:p w14:paraId="4F9071D6" w14:textId="77777777" w:rsidR="00DB6994" w:rsidRPr="00A403F5" w:rsidRDefault="00DB6994">
      <w:pPr>
        <w:rPr>
          <w:sz w:val="22"/>
          <w:szCs w:val="22"/>
        </w:rPr>
      </w:pPr>
    </w:p>
    <w:sectPr w:rsidR="00DB6994" w:rsidRPr="00A403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A33"/>
    <w:rsid w:val="000063F4"/>
    <w:rsid w:val="00011E93"/>
    <w:rsid w:val="00012257"/>
    <w:rsid w:val="000312D5"/>
    <w:rsid w:val="00034271"/>
    <w:rsid w:val="000427A8"/>
    <w:rsid w:val="0007735C"/>
    <w:rsid w:val="000C1D76"/>
    <w:rsid w:val="000D40BE"/>
    <w:rsid w:val="000D4C70"/>
    <w:rsid w:val="000D64B9"/>
    <w:rsid w:val="000D6C9E"/>
    <w:rsid w:val="000D7465"/>
    <w:rsid w:val="000D7C18"/>
    <w:rsid w:val="000E6DAC"/>
    <w:rsid w:val="00130B98"/>
    <w:rsid w:val="001403B3"/>
    <w:rsid w:val="00173A68"/>
    <w:rsid w:val="001856E6"/>
    <w:rsid w:val="001C4E77"/>
    <w:rsid w:val="001C5718"/>
    <w:rsid w:val="001C67BD"/>
    <w:rsid w:val="001D7C20"/>
    <w:rsid w:val="001E4344"/>
    <w:rsid w:val="001F1FA2"/>
    <w:rsid w:val="00204C23"/>
    <w:rsid w:val="00222CF7"/>
    <w:rsid w:val="002415F4"/>
    <w:rsid w:val="002446F7"/>
    <w:rsid w:val="00256DD5"/>
    <w:rsid w:val="002604AD"/>
    <w:rsid w:val="00261DF9"/>
    <w:rsid w:val="00262DC7"/>
    <w:rsid w:val="00264FCE"/>
    <w:rsid w:val="00267047"/>
    <w:rsid w:val="002673B3"/>
    <w:rsid w:val="00275D45"/>
    <w:rsid w:val="00280FC6"/>
    <w:rsid w:val="00283E22"/>
    <w:rsid w:val="002A5171"/>
    <w:rsid w:val="002B280D"/>
    <w:rsid w:val="002E13C4"/>
    <w:rsid w:val="003061AA"/>
    <w:rsid w:val="00307742"/>
    <w:rsid w:val="00320D17"/>
    <w:rsid w:val="00330763"/>
    <w:rsid w:val="003714F3"/>
    <w:rsid w:val="003B397F"/>
    <w:rsid w:val="003B3EB2"/>
    <w:rsid w:val="003E6CAE"/>
    <w:rsid w:val="004149EE"/>
    <w:rsid w:val="00422652"/>
    <w:rsid w:val="00497308"/>
    <w:rsid w:val="004A0F25"/>
    <w:rsid w:val="004D0F2C"/>
    <w:rsid w:val="004E0502"/>
    <w:rsid w:val="004E2AE0"/>
    <w:rsid w:val="004F23F4"/>
    <w:rsid w:val="004F521D"/>
    <w:rsid w:val="00504428"/>
    <w:rsid w:val="00506A1F"/>
    <w:rsid w:val="005125EB"/>
    <w:rsid w:val="0051418C"/>
    <w:rsid w:val="00517B75"/>
    <w:rsid w:val="00521938"/>
    <w:rsid w:val="005300FE"/>
    <w:rsid w:val="005359E2"/>
    <w:rsid w:val="005408C8"/>
    <w:rsid w:val="005457C8"/>
    <w:rsid w:val="00546F67"/>
    <w:rsid w:val="00551716"/>
    <w:rsid w:val="005774E3"/>
    <w:rsid w:val="00587A81"/>
    <w:rsid w:val="00595252"/>
    <w:rsid w:val="00597C46"/>
    <w:rsid w:val="005B1F32"/>
    <w:rsid w:val="005B2FB9"/>
    <w:rsid w:val="00611075"/>
    <w:rsid w:val="006154B4"/>
    <w:rsid w:val="00615A33"/>
    <w:rsid w:val="00640ACD"/>
    <w:rsid w:val="006418A8"/>
    <w:rsid w:val="00650283"/>
    <w:rsid w:val="0065329E"/>
    <w:rsid w:val="00663EDC"/>
    <w:rsid w:val="00673398"/>
    <w:rsid w:val="006770DD"/>
    <w:rsid w:val="006B5CC1"/>
    <w:rsid w:val="006D7193"/>
    <w:rsid w:val="006E068A"/>
    <w:rsid w:val="006F1D66"/>
    <w:rsid w:val="0070299E"/>
    <w:rsid w:val="00703A54"/>
    <w:rsid w:val="0070513D"/>
    <w:rsid w:val="00720EE7"/>
    <w:rsid w:val="007215C4"/>
    <w:rsid w:val="007366C5"/>
    <w:rsid w:val="007429CE"/>
    <w:rsid w:val="00773079"/>
    <w:rsid w:val="007900BE"/>
    <w:rsid w:val="007B45CC"/>
    <w:rsid w:val="007C1913"/>
    <w:rsid w:val="007E78F4"/>
    <w:rsid w:val="00822A48"/>
    <w:rsid w:val="0082404D"/>
    <w:rsid w:val="00827BCE"/>
    <w:rsid w:val="0083008D"/>
    <w:rsid w:val="00844ECA"/>
    <w:rsid w:val="00854DA9"/>
    <w:rsid w:val="008779EC"/>
    <w:rsid w:val="00895D6E"/>
    <w:rsid w:val="00895DD0"/>
    <w:rsid w:val="008A35EA"/>
    <w:rsid w:val="008A747F"/>
    <w:rsid w:val="008C1330"/>
    <w:rsid w:val="008C3939"/>
    <w:rsid w:val="008D4722"/>
    <w:rsid w:val="008D5C2F"/>
    <w:rsid w:val="008D79DC"/>
    <w:rsid w:val="008E134E"/>
    <w:rsid w:val="008E48DB"/>
    <w:rsid w:val="008F20CE"/>
    <w:rsid w:val="00902E3F"/>
    <w:rsid w:val="009035B7"/>
    <w:rsid w:val="0091361B"/>
    <w:rsid w:val="00922F80"/>
    <w:rsid w:val="009246E3"/>
    <w:rsid w:val="0093482F"/>
    <w:rsid w:val="00943693"/>
    <w:rsid w:val="00946587"/>
    <w:rsid w:val="00961008"/>
    <w:rsid w:val="0097183A"/>
    <w:rsid w:val="009A2C18"/>
    <w:rsid w:val="009D195B"/>
    <w:rsid w:val="009E352F"/>
    <w:rsid w:val="009F7AB5"/>
    <w:rsid w:val="00A03883"/>
    <w:rsid w:val="00A15A09"/>
    <w:rsid w:val="00A24A33"/>
    <w:rsid w:val="00A30331"/>
    <w:rsid w:val="00A3276A"/>
    <w:rsid w:val="00A348FC"/>
    <w:rsid w:val="00A403F5"/>
    <w:rsid w:val="00A555B7"/>
    <w:rsid w:val="00A616FF"/>
    <w:rsid w:val="00A65BDC"/>
    <w:rsid w:val="00A66D48"/>
    <w:rsid w:val="00A7001C"/>
    <w:rsid w:val="00A72278"/>
    <w:rsid w:val="00A84155"/>
    <w:rsid w:val="00A92402"/>
    <w:rsid w:val="00A97D6B"/>
    <w:rsid w:val="00AA0469"/>
    <w:rsid w:val="00AB6F75"/>
    <w:rsid w:val="00AE3D88"/>
    <w:rsid w:val="00B03A0D"/>
    <w:rsid w:val="00B12A0B"/>
    <w:rsid w:val="00B518CA"/>
    <w:rsid w:val="00B54506"/>
    <w:rsid w:val="00B66578"/>
    <w:rsid w:val="00B775D0"/>
    <w:rsid w:val="00B8253C"/>
    <w:rsid w:val="00B94328"/>
    <w:rsid w:val="00BD6FFD"/>
    <w:rsid w:val="00BF110C"/>
    <w:rsid w:val="00C25DFB"/>
    <w:rsid w:val="00C33353"/>
    <w:rsid w:val="00C36F00"/>
    <w:rsid w:val="00C6778B"/>
    <w:rsid w:val="00C83418"/>
    <w:rsid w:val="00C86216"/>
    <w:rsid w:val="00CA0B66"/>
    <w:rsid w:val="00CC4358"/>
    <w:rsid w:val="00CF28AC"/>
    <w:rsid w:val="00D006F4"/>
    <w:rsid w:val="00D455EF"/>
    <w:rsid w:val="00D509EC"/>
    <w:rsid w:val="00D66843"/>
    <w:rsid w:val="00D77117"/>
    <w:rsid w:val="00D912A2"/>
    <w:rsid w:val="00D93004"/>
    <w:rsid w:val="00DA6C73"/>
    <w:rsid w:val="00DB6994"/>
    <w:rsid w:val="00DD6A31"/>
    <w:rsid w:val="00DE57CD"/>
    <w:rsid w:val="00E13029"/>
    <w:rsid w:val="00E27FF6"/>
    <w:rsid w:val="00E424F8"/>
    <w:rsid w:val="00E70DCF"/>
    <w:rsid w:val="00E865B2"/>
    <w:rsid w:val="00E95423"/>
    <w:rsid w:val="00ED23B8"/>
    <w:rsid w:val="00EF3418"/>
    <w:rsid w:val="00F04DE0"/>
    <w:rsid w:val="00F41A31"/>
    <w:rsid w:val="00F47390"/>
    <w:rsid w:val="00F5203C"/>
    <w:rsid w:val="00F6220A"/>
    <w:rsid w:val="00F66A39"/>
    <w:rsid w:val="00F81067"/>
    <w:rsid w:val="00F83D48"/>
    <w:rsid w:val="00F85DB3"/>
    <w:rsid w:val="00F946E8"/>
    <w:rsid w:val="00FB3D08"/>
    <w:rsid w:val="00FB6577"/>
    <w:rsid w:val="00FB7635"/>
    <w:rsid w:val="00FC3CFB"/>
    <w:rsid w:val="00FD4BDB"/>
    <w:rsid w:val="00FE68AF"/>
    <w:rsid w:val="00FF18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EFB35"/>
  <w15:chartTrackingRefBased/>
  <w15:docId w15:val="{AB0136B8-4CB3-4D74-BD56-76FE3C57F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4A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24A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4A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4A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4A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4A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4A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4A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4A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4A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4A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4A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4A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4A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4A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4A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4A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4A33"/>
    <w:rPr>
      <w:rFonts w:eastAsiaTheme="majorEastAsia" w:cstheme="majorBidi"/>
      <w:color w:val="272727" w:themeColor="text1" w:themeTint="D8"/>
    </w:rPr>
  </w:style>
  <w:style w:type="paragraph" w:styleId="Title">
    <w:name w:val="Title"/>
    <w:basedOn w:val="Normal"/>
    <w:next w:val="Normal"/>
    <w:link w:val="TitleChar"/>
    <w:uiPriority w:val="10"/>
    <w:qFormat/>
    <w:rsid w:val="00A24A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4A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4A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4A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4A33"/>
    <w:pPr>
      <w:spacing w:before="160"/>
      <w:jc w:val="center"/>
    </w:pPr>
    <w:rPr>
      <w:i/>
      <w:iCs/>
      <w:color w:val="404040" w:themeColor="text1" w:themeTint="BF"/>
    </w:rPr>
  </w:style>
  <w:style w:type="character" w:customStyle="1" w:styleId="QuoteChar">
    <w:name w:val="Quote Char"/>
    <w:basedOn w:val="DefaultParagraphFont"/>
    <w:link w:val="Quote"/>
    <w:uiPriority w:val="29"/>
    <w:rsid w:val="00A24A33"/>
    <w:rPr>
      <w:i/>
      <w:iCs/>
      <w:color w:val="404040" w:themeColor="text1" w:themeTint="BF"/>
    </w:rPr>
  </w:style>
  <w:style w:type="paragraph" w:styleId="ListParagraph">
    <w:name w:val="List Paragraph"/>
    <w:basedOn w:val="Normal"/>
    <w:uiPriority w:val="34"/>
    <w:qFormat/>
    <w:rsid w:val="00A24A33"/>
    <w:pPr>
      <w:ind w:left="720"/>
      <w:contextualSpacing/>
    </w:pPr>
  </w:style>
  <w:style w:type="character" w:styleId="IntenseEmphasis">
    <w:name w:val="Intense Emphasis"/>
    <w:basedOn w:val="DefaultParagraphFont"/>
    <w:uiPriority w:val="21"/>
    <w:qFormat/>
    <w:rsid w:val="00A24A33"/>
    <w:rPr>
      <w:i/>
      <w:iCs/>
      <w:color w:val="0F4761" w:themeColor="accent1" w:themeShade="BF"/>
    </w:rPr>
  </w:style>
  <w:style w:type="paragraph" w:styleId="IntenseQuote">
    <w:name w:val="Intense Quote"/>
    <w:basedOn w:val="Normal"/>
    <w:next w:val="Normal"/>
    <w:link w:val="IntenseQuoteChar"/>
    <w:uiPriority w:val="30"/>
    <w:qFormat/>
    <w:rsid w:val="00A24A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4A33"/>
    <w:rPr>
      <w:i/>
      <w:iCs/>
      <w:color w:val="0F4761" w:themeColor="accent1" w:themeShade="BF"/>
    </w:rPr>
  </w:style>
  <w:style w:type="character" w:styleId="IntenseReference">
    <w:name w:val="Intense Reference"/>
    <w:basedOn w:val="DefaultParagraphFont"/>
    <w:uiPriority w:val="32"/>
    <w:qFormat/>
    <w:rsid w:val="00A24A33"/>
    <w:rPr>
      <w:b/>
      <w:bCs/>
      <w:smallCaps/>
      <w:color w:val="0F4761" w:themeColor="accent1" w:themeShade="BF"/>
      <w:spacing w:val="5"/>
    </w:rPr>
  </w:style>
  <w:style w:type="character" w:styleId="Hyperlink">
    <w:name w:val="Hyperlink"/>
    <w:basedOn w:val="DefaultParagraphFont"/>
    <w:uiPriority w:val="99"/>
    <w:unhideWhenUsed/>
    <w:rsid w:val="0091361B"/>
    <w:rPr>
      <w:color w:val="467886" w:themeColor="hyperlink"/>
      <w:u w:val="single"/>
    </w:rPr>
  </w:style>
  <w:style w:type="character" w:styleId="UnresolvedMention">
    <w:name w:val="Unresolved Mention"/>
    <w:basedOn w:val="DefaultParagraphFont"/>
    <w:uiPriority w:val="99"/>
    <w:semiHidden/>
    <w:unhideWhenUsed/>
    <w:rsid w:val="0091361B"/>
    <w:rPr>
      <w:color w:val="605E5C"/>
      <w:shd w:val="clear" w:color="auto" w:fill="E1DFDD"/>
    </w:rPr>
  </w:style>
  <w:style w:type="paragraph" w:styleId="NormalWeb">
    <w:name w:val="Normal (Web)"/>
    <w:basedOn w:val="Normal"/>
    <w:uiPriority w:val="99"/>
    <w:semiHidden/>
    <w:unhideWhenUsed/>
    <w:rsid w:val="004A0F25"/>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cqc.org.uk/guidance-regulation/providers/regulations-"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393</TotalTime>
  <Pages>7</Pages>
  <Words>2658</Words>
  <Characters>15155</Characters>
  <Application>Microsoft Office Word</Application>
  <DocSecurity>0</DocSecurity>
  <Lines>126</Lines>
  <Paragraphs>35</Paragraphs>
  <ScaleCrop>false</ScaleCrop>
  <Company/>
  <LinksUpToDate>false</LinksUpToDate>
  <CharactersWithSpaces>17778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Gifty Opoku</dc:creator>
  <cp:keywords/>
  <dc:description/>
  <cp:lastModifiedBy>Gifty Opoku</cp:lastModifiedBy>
  <cp:revision>204</cp:revision>
  <dcterms:created xsi:type="dcterms:W3CDTF">2026-08-10T10:46:00Z</dcterms:created>
  <dcterms:modified xsi:type="dcterms:W3CDTF">2026-08-13T07:55:00Z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dbe04a7a-0697-4ab8-bd56-de4e0e2d848c</vt:lpwstr>
  </property>
</Properties>
</file>