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C3B499" w14:textId="77777777" w:rsidR="001911DA" w:rsidRPr="00B27371" w:rsidRDefault="001911DA" w:rsidP="00FC5C5C">
      <w:pPr>
        <w:spacing w:line="360" w:lineRule="auto"/>
        <w:rPr>
          <w:rFonts w:ascii="Arial" w:hAnsi="Arial" w:cs="Arial"/>
          <w:sz w:val="24"/>
          <w:szCs w:val="24"/>
        </w:rPr>
      </w:pPr>
      <w:r w:rsidRPr="00B27371">
        <w:rPr>
          <w:rFonts w:ascii="Arial" w:hAnsi="Arial" w:cs="Arial"/>
          <w:sz w:val="24"/>
          <w:szCs w:val="24"/>
        </w:rPr>
        <w:t xml:space="preserve">Investigating how to create and support sustainable communities has remained of great importance within research concerning health and society throughout the years. Sustainability is often described as the process of continuing to evolve, developing new concepts, and progressing forward in life whilst doing as least damage as possible to our community and planet for current and future generations. (Brundtland,1987) </w:t>
      </w:r>
    </w:p>
    <w:p w14:paraId="0BF43826" w14:textId="77777777" w:rsidR="001911DA" w:rsidRPr="00B27371" w:rsidRDefault="001911DA" w:rsidP="00FC5C5C">
      <w:pPr>
        <w:spacing w:line="360" w:lineRule="auto"/>
        <w:rPr>
          <w:rFonts w:ascii="Arial" w:hAnsi="Arial" w:cs="Arial"/>
          <w:sz w:val="24"/>
          <w:szCs w:val="24"/>
        </w:rPr>
      </w:pPr>
      <w:r w:rsidRPr="00B27371">
        <w:rPr>
          <w:rFonts w:ascii="Arial" w:hAnsi="Arial" w:cs="Arial"/>
          <w:sz w:val="24"/>
          <w:szCs w:val="24"/>
        </w:rPr>
        <w:t>Whilst researching the theories of how we respond to sustainability issues it has been suggested that there are different cohorts which separates members of society. I feel I relate to the technocentric accommodationist group. It is said that they are similar to the technocentric status quo group that tends to view people, technology and science above the environment however, an important difference is that accommodations still express a concern for the negative impacts that certain aspects of living as part of the human race has on the environment and are not undisturbed by this. (Hancock &amp; Welton) Further research has suggested that the majority of society fits into the accommodations category such as they recycle household items and are aware of appropriate waste disposal, the impact of burning excess fossil fuels and the issue of litter within urban society. However, there are aspects of their lifestyle such as owning a nice car, a large home and going on holidays abroad that they are not willing to remove from their lives to be more environmentally friendly. (Hancock &amp; Welton)</w:t>
      </w:r>
    </w:p>
    <w:p w14:paraId="331ABFFB" w14:textId="77777777" w:rsidR="001911DA" w:rsidRPr="00B27371" w:rsidRDefault="001911DA" w:rsidP="00FC5C5C">
      <w:pPr>
        <w:spacing w:line="360" w:lineRule="auto"/>
        <w:rPr>
          <w:rFonts w:ascii="Arial" w:hAnsi="Arial" w:cs="Arial"/>
          <w:sz w:val="24"/>
          <w:szCs w:val="24"/>
        </w:rPr>
      </w:pPr>
      <w:r w:rsidRPr="00B27371">
        <w:rPr>
          <w:rFonts w:ascii="Arial" w:hAnsi="Arial" w:cs="Arial"/>
          <w:sz w:val="24"/>
          <w:szCs w:val="24"/>
        </w:rPr>
        <w:t xml:space="preserve">It seems people are trying to create a balance to feel more comfortable in the choices they make that will affect the future generations. However, in these circumstances the balance can often be tipped due to complacently within a household which leads to increased damage to the environment, if this is happening in many households it is fairly easy to recognise that this will have a substantial impact overall. This brings us into the importance of raising awareness to sustainability, without the information being highly promoted society can make mistakes they do not even realise they are making through lack of knowledge. I should also mention the eco-centric green theory, which includes the members of society who are looking for a more radical change and views people and the natural environment above matters of business and the economy. Which does contrast with the technocentric perspective which tends to view people and technology as more important than the natural environment. (Dyer,2017) </w:t>
      </w:r>
    </w:p>
    <w:p w14:paraId="2443C02D" w14:textId="77777777" w:rsidR="001911DA" w:rsidRPr="00B27371" w:rsidRDefault="001911DA" w:rsidP="00FC5C5C">
      <w:pPr>
        <w:spacing w:line="360" w:lineRule="auto"/>
        <w:rPr>
          <w:rFonts w:ascii="Arial" w:hAnsi="Arial" w:cs="Arial"/>
          <w:sz w:val="24"/>
          <w:szCs w:val="24"/>
        </w:rPr>
      </w:pPr>
      <w:r w:rsidRPr="00B27371">
        <w:rPr>
          <w:rFonts w:ascii="Arial" w:hAnsi="Arial" w:cs="Arial"/>
          <w:sz w:val="24"/>
          <w:szCs w:val="24"/>
        </w:rPr>
        <w:lastRenderedPageBreak/>
        <w:t>One of the reasons it is important to consider different perspectives of sustainability is due to the comparison between individuals, households, and businesses. The effect on the natural environment and the economy must be viewed from different perspectives dependent on the circumstances. However, the knowledge of these differences can help to create action plans appropriate to the differences of the individual in question and how whilst moving forward they can contribute to the sustainability issues which relates directly to them. (Miao and Wei,2013) Through investigating the research it has become apparent that the current younger generation have become very aware and concerned with the sustainability issues that the planet now faces. They are concerned for their future and what comes next for the following generations. They have found a voice to raise awareness through social media platforms which have a great outreach in comparison to past methods used to get important information out to a wider audience. (Hamid,2017)</w:t>
      </w:r>
    </w:p>
    <w:p w14:paraId="56303678" w14:textId="77777777" w:rsidR="001911DA" w:rsidRPr="00B27371" w:rsidRDefault="001911DA" w:rsidP="00FC5C5C">
      <w:pPr>
        <w:spacing w:line="360" w:lineRule="auto"/>
        <w:rPr>
          <w:rFonts w:ascii="Arial" w:hAnsi="Arial" w:cs="Arial"/>
          <w:sz w:val="24"/>
          <w:szCs w:val="24"/>
        </w:rPr>
      </w:pPr>
    </w:p>
    <w:p w14:paraId="12A6754F" w14:textId="77777777" w:rsidR="001911DA" w:rsidRPr="00B27371" w:rsidRDefault="001911DA" w:rsidP="00FC5C5C">
      <w:pPr>
        <w:spacing w:line="360" w:lineRule="auto"/>
        <w:rPr>
          <w:rFonts w:ascii="Arial" w:hAnsi="Arial" w:cs="Arial"/>
          <w:sz w:val="24"/>
          <w:szCs w:val="24"/>
        </w:rPr>
      </w:pPr>
      <w:r w:rsidRPr="00B27371">
        <w:rPr>
          <w:rFonts w:ascii="Arial" w:hAnsi="Arial" w:cs="Arial"/>
          <w:sz w:val="24"/>
          <w:szCs w:val="24"/>
        </w:rPr>
        <w:t>When discussing factors involved with the environment, I feel it is important to mention the current pandemic and the profound impact this has had on the environment in 2020. Whilst looking at the factors that have been affected, we can see that socially society has been very restricted from being able to have close contact with friends and loved ones. When looking at the economy it has been put under a lot of strain due to businesses being ordered to close for prolonged lengths of time and a general decrease in foot fall with people avoiding shopping as much as possible. Both factors have had a negative impact on a high number of people’s well-being and there has been a reported increase in peoples struggle with mental health issues. (</w:t>
      </w:r>
      <w:proofErr w:type="spellStart"/>
      <w:r w:rsidRPr="00B27371">
        <w:rPr>
          <w:rFonts w:ascii="Arial" w:hAnsi="Arial" w:cs="Arial"/>
          <w:sz w:val="24"/>
          <w:szCs w:val="24"/>
        </w:rPr>
        <w:t>Pfefferbaum</w:t>
      </w:r>
      <w:proofErr w:type="spellEnd"/>
      <w:r w:rsidRPr="00B27371">
        <w:rPr>
          <w:rFonts w:ascii="Arial" w:hAnsi="Arial" w:cs="Arial"/>
          <w:sz w:val="24"/>
          <w:szCs w:val="24"/>
        </w:rPr>
        <w:t xml:space="preserve"> and North,2020) However, when discussing the environment, it has been suggested that the planet has benefited from the decreased movement of human’s, there has been less air pollution from transport and less litter. (Gillingham,2020) I feel it is important to raise awareness to the link between the environment and well-being. Research has often suggested that walks on the beach and in the forest has a positive impact on a person’s well-being. Also growing your own vegetables is beneficial for well-being in two ways, it is so much better for the environment than purchasing it from the supermarket and can also boost a person’s well-being due to significant research that suggests gardening can be used as a form of therapy. (Sempik,2010) </w:t>
      </w:r>
    </w:p>
    <w:p w14:paraId="16EF17C4" w14:textId="77777777" w:rsidR="001911DA" w:rsidRPr="00B27371" w:rsidRDefault="001911DA" w:rsidP="00FC5C5C">
      <w:pPr>
        <w:spacing w:line="360" w:lineRule="auto"/>
        <w:rPr>
          <w:rFonts w:ascii="Arial" w:hAnsi="Arial" w:cs="Arial"/>
          <w:sz w:val="24"/>
          <w:szCs w:val="24"/>
        </w:rPr>
      </w:pPr>
      <w:r w:rsidRPr="00B27371">
        <w:rPr>
          <w:rFonts w:ascii="Arial" w:hAnsi="Arial" w:cs="Arial"/>
          <w:sz w:val="24"/>
          <w:szCs w:val="24"/>
        </w:rPr>
        <w:lastRenderedPageBreak/>
        <w:t xml:space="preserve">In conclusion it seems clear from the research I have looked at recently that even though there has been an increase in the younger generation raising awareness for sustainability and climate change there is still a lot of work to be done. As humans we are still living in a way that the planet is finding increasingly difficult to cope with. It is a challenge as technology is always advancing and businesses within the economy need to thrive especially with the difficulties, they have faced in the current COVID-19 pandemic. We need to get people back in touch with nature as much as we can and continuously research methods to increase awareness and create clear paths of how people can contribute to the care and safety of our planet. </w:t>
      </w:r>
    </w:p>
    <w:p w14:paraId="688D09D6" w14:textId="05BF3D9F" w:rsidR="001911DA" w:rsidRPr="00B27371" w:rsidRDefault="001911DA" w:rsidP="00FC5C5C">
      <w:pPr>
        <w:spacing w:line="360" w:lineRule="auto"/>
        <w:rPr>
          <w:rFonts w:ascii="Arial" w:hAnsi="Arial" w:cs="Arial"/>
          <w:sz w:val="24"/>
          <w:szCs w:val="24"/>
        </w:rPr>
      </w:pPr>
    </w:p>
    <w:p w14:paraId="448311B1" w14:textId="77777777" w:rsidR="001911DA" w:rsidRPr="00B27371" w:rsidRDefault="001911DA" w:rsidP="00FC5C5C">
      <w:pPr>
        <w:spacing w:line="360" w:lineRule="auto"/>
        <w:rPr>
          <w:rFonts w:ascii="Arial" w:hAnsi="Arial" w:cs="Arial"/>
          <w:sz w:val="24"/>
          <w:szCs w:val="24"/>
        </w:rPr>
      </w:pPr>
      <w:r w:rsidRPr="00B27371">
        <w:rPr>
          <w:rFonts w:ascii="Arial" w:hAnsi="Arial" w:cs="Arial"/>
          <w:sz w:val="24"/>
          <w:szCs w:val="24"/>
        </w:rPr>
        <w:t xml:space="preserve">Investigating the research involved in one planet living, it is fair to say that there is a positive atmosphere connected with this way of life. People appear to feel more at peace than they would dealing with the demands of city life and seem satisfied that they are creating a way of life that will be beneficial for future generations. There are three main points included in the one planet process that the people included in it must adhere too. The first is that their house needs to be environmentally friendly built in a way that does not cause harm to the environment by using natural materials and this will include their power, water supply and all materials used in the development process. It is interesting to see what beautiful homes can be built in this manner, publicity of this can allow other members of society to understand that living like this does not necessarily mean they will be living in a situation that is not up to the standard that they may feel they have become accustomed too. The second point they need to adhere to is to lessen their carbon footprint in means of travelling by car or aeroplane and clearly their use of fossil fuels is greatly decreased. The third point is their home and land must sustain themselves and include a business of which they can help to sustain the community in an eco-friendly manner. The most popular forms of business tend to be fruit orchards, tree nurseries, bee keeping and the supply of eggs. (Ravetz,2007) </w:t>
      </w:r>
    </w:p>
    <w:p w14:paraId="734A7B4E" w14:textId="77777777" w:rsidR="001911DA" w:rsidRPr="00B27371" w:rsidRDefault="001911DA" w:rsidP="00FC5C5C">
      <w:pPr>
        <w:spacing w:line="360" w:lineRule="auto"/>
        <w:rPr>
          <w:rFonts w:ascii="Arial" w:hAnsi="Arial" w:cs="Arial"/>
          <w:sz w:val="24"/>
          <w:szCs w:val="24"/>
        </w:rPr>
      </w:pPr>
      <w:r w:rsidRPr="00B27371">
        <w:rPr>
          <w:rFonts w:ascii="Arial" w:hAnsi="Arial" w:cs="Arial"/>
          <w:sz w:val="24"/>
          <w:szCs w:val="24"/>
        </w:rPr>
        <w:t xml:space="preserve">When investigating methods to promote a local community becoming more sustainable in terms of the economy, the message to ‘shop local’ needs to be promoted as much as possible. There is where community social media platforms or community members meetings become very helpful. Buying food, beauty products, </w:t>
      </w:r>
      <w:r w:rsidRPr="00B27371">
        <w:rPr>
          <w:rFonts w:ascii="Arial" w:hAnsi="Arial" w:cs="Arial"/>
          <w:sz w:val="24"/>
          <w:szCs w:val="24"/>
        </w:rPr>
        <w:lastRenderedPageBreak/>
        <w:t>pet supplies and other household items from local businesses supports the income of the people within your community and decreases travelling for yourself outside of the area. It can also increase employment opportunities within your local community as businesses expand to adapt to their increased footfall of customers. (</w:t>
      </w:r>
      <w:proofErr w:type="spellStart"/>
      <w:r w:rsidRPr="00B27371">
        <w:rPr>
          <w:rFonts w:ascii="Arial" w:hAnsi="Arial" w:cs="Arial"/>
          <w:sz w:val="24"/>
          <w:szCs w:val="24"/>
        </w:rPr>
        <w:t>Nikkhah</w:t>
      </w:r>
      <w:proofErr w:type="spellEnd"/>
      <w:r w:rsidRPr="00B27371">
        <w:rPr>
          <w:rFonts w:ascii="Arial" w:hAnsi="Arial" w:cs="Arial"/>
          <w:sz w:val="24"/>
          <w:szCs w:val="24"/>
        </w:rPr>
        <w:t xml:space="preserve"> and Redzuan,2010) Research has also suggested that this can lead to the establishment of community retail enterprises. This is when local shops are owned by and worked in by the local community. Allowing the local people more power and rights over the produce that is sold and the carbon footprint of the business. (Calderwood and Davies, 2013) </w:t>
      </w:r>
    </w:p>
    <w:p w14:paraId="0B694E88" w14:textId="77777777" w:rsidR="001911DA" w:rsidRPr="00B27371" w:rsidRDefault="001911DA" w:rsidP="00FC5C5C">
      <w:pPr>
        <w:spacing w:line="360" w:lineRule="auto"/>
        <w:rPr>
          <w:rFonts w:ascii="Arial" w:hAnsi="Arial" w:cs="Arial"/>
          <w:sz w:val="24"/>
          <w:szCs w:val="24"/>
        </w:rPr>
      </w:pPr>
      <w:r w:rsidRPr="00B27371">
        <w:rPr>
          <w:rFonts w:ascii="Arial" w:hAnsi="Arial" w:cs="Arial"/>
          <w:sz w:val="24"/>
          <w:szCs w:val="24"/>
        </w:rPr>
        <w:t>One of the barriers for this kind of development can often be observed in small towns as it was in Carmarthen in 2010 when St Catherine’s walk opened with a vast array of large businesses such as Debenhams, River Island and Apollo cinema. The community at that time was split in the opinion of this new complex. There were members of society that were against its development and were afraid that the smaller local businesses would suffer due to its arrival. They did not want Carmarthen to change from the quaint ‘oldest town in Wales’ it had been known as. However, it seemed no matter how loud the local voices shouted there was a still a great deal of the community that welcomed the change and wanted the town to modernise and become more accessible for them to shop in, instead of needing to travel to other towns and cities. An interesting theme discovered while investigating supporting businesses within a community is the use of local currencies, where goods and services can be exchanged for one another. This is said to not only decrease financial burdens it also improves social relationships and creates a community where reliance on each other is increased and the term ‘safety net’ is a term people tend to use more regularly when they are part of a community like this, which does give you a nostalgic sense of how communities used to be. (</w:t>
      </w:r>
      <w:proofErr w:type="spellStart"/>
      <w:r w:rsidRPr="00B27371">
        <w:rPr>
          <w:rFonts w:ascii="Arial" w:hAnsi="Arial" w:cs="Arial"/>
          <w:sz w:val="24"/>
          <w:szCs w:val="24"/>
        </w:rPr>
        <w:t>Katai</w:t>
      </w:r>
      <w:proofErr w:type="spellEnd"/>
      <w:r w:rsidRPr="00B27371">
        <w:rPr>
          <w:rFonts w:ascii="Arial" w:hAnsi="Arial" w:cs="Arial"/>
          <w:sz w:val="24"/>
          <w:szCs w:val="24"/>
        </w:rPr>
        <w:t xml:space="preserve"> et al.2009)</w:t>
      </w:r>
    </w:p>
    <w:p w14:paraId="61F68029" w14:textId="77777777" w:rsidR="001911DA" w:rsidRPr="00B27371" w:rsidRDefault="001911DA" w:rsidP="00FC5C5C">
      <w:pPr>
        <w:spacing w:line="360" w:lineRule="auto"/>
        <w:rPr>
          <w:rFonts w:ascii="Arial" w:hAnsi="Arial" w:cs="Arial"/>
          <w:sz w:val="24"/>
          <w:szCs w:val="24"/>
        </w:rPr>
      </w:pPr>
    </w:p>
    <w:p w14:paraId="489F8D0B" w14:textId="77777777" w:rsidR="001911DA" w:rsidRPr="00B27371" w:rsidRDefault="001911DA" w:rsidP="00FC5C5C">
      <w:pPr>
        <w:spacing w:line="360" w:lineRule="auto"/>
        <w:rPr>
          <w:rFonts w:ascii="Arial" w:hAnsi="Arial" w:cs="Arial"/>
          <w:sz w:val="24"/>
          <w:szCs w:val="24"/>
        </w:rPr>
      </w:pPr>
      <w:r w:rsidRPr="00B27371">
        <w:rPr>
          <w:rFonts w:ascii="Arial" w:hAnsi="Arial" w:cs="Arial"/>
          <w:sz w:val="24"/>
          <w:szCs w:val="24"/>
        </w:rPr>
        <w:t xml:space="preserve">The models identified in the one planet living and town transition research are helpful when trying to establish a programme for improving sustainability in the community. They give a very clear message on how people can change their lifestyle to achieve this environmentally friendly way of living. However, it is important to mention that we </w:t>
      </w:r>
      <w:r w:rsidRPr="00B27371">
        <w:rPr>
          <w:rFonts w:ascii="Arial" w:hAnsi="Arial" w:cs="Arial"/>
          <w:sz w:val="24"/>
          <w:szCs w:val="24"/>
        </w:rPr>
        <w:lastRenderedPageBreak/>
        <w:t xml:space="preserve">still live in a society that focuses very much on the here and now it remains difficult to get people to consider the future of the planet when they are so caught up in their busy daily living. This tends to be why we see people improving in their personal household recycling habits although when further action is needed such as driving less, people will hold back and feel that they do not wish to make their life more inconvenient. There is significant research to suggest that a society caught up in convenience struggles to move forward in taking action that is better for the planet whilst making their own lives in the present more difficult. (Thomas and Sharp,2013) Future research would benefit from continually finding methods to achieve being more economically friendly as accessible and as least time consuming as possible. This point will not always be agreed on as some members of society feel that the issue is so important it should take priority. However, it is important to have a realistic view of the current society we live in and what changes you can encourage people to make and sustain. </w:t>
      </w:r>
    </w:p>
    <w:p w14:paraId="1F9BF734" w14:textId="38A84FFA" w:rsidR="001911DA" w:rsidRPr="00B27371" w:rsidRDefault="001911DA" w:rsidP="00FC5C5C">
      <w:pPr>
        <w:spacing w:after="0" w:line="240" w:lineRule="auto"/>
        <w:rPr>
          <w:rFonts w:ascii="Arial" w:hAnsi="Arial" w:cs="Arial"/>
          <w:sz w:val="36"/>
          <w:szCs w:val="36"/>
          <w:vertAlign w:val="subscript"/>
        </w:rPr>
      </w:pPr>
      <w:r w:rsidRPr="00624458">
        <w:rPr>
          <w:rFonts w:ascii="Arial" w:hAnsi="Arial" w:cs="Arial"/>
          <w:sz w:val="36"/>
          <w:szCs w:val="36"/>
          <w:vertAlign w:val="subscript"/>
        </w:rPr>
        <w:t>Research suggests that the knowledge gap between socio-economic status (SES) levels regarding climate change throughout societies,</w:t>
      </w:r>
      <w:r w:rsidRPr="00B27371">
        <w:rPr>
          <w:rFonts w:ascii="Arial" w:hAnsi="Arial" w:cs="Arial"/>
          <w:sz w:val="36"/>
          <w:szCs w:val="36"/>
          <w:vertAlign w:val="subscript"/>
        </w:rPr>
        <w:t xml:space="preserve"> is a significant factor in attempting to encourage people to make changes to their lifestyle to have a positive effect on the environment. (Yang,2017) A study conducted by O’Connor, Bard, &amp; Fisher, (1999) investigated if people were made more aware of the risks of climate change and were able to learn new skills to help them address the issue would this have a positive impact on the action they take in everyday life. The study supported this and also drew attention to the importance of knowledge and how accessibility to this can differ depending on socio economic status, such as the opportunity to gain a better education in general which makes it easier to absorb and learn new information. It can be argued that without this it is very difficult for an individual to fully understand the consequences of climate change and use this to change their own behaviour and influence the behaviour of those around them. (Yang,2017)</w:t>
      </w:r>
    </w:p>
    <w:p w14:paraId="3D673DF0" w14:textId="77777777" w:rsidR="001911DA" w:rsidRPr="00B27371" w:rsidRDefault="001911DA" w:rsidP="00FC5C5C">
      <w:pPr>
        <w:spacing w:after="0" w:line="240" w:lineRule="auto"/>
        <w:rPr>
          <w:rFonts w:ascii="Arial" w:hAnsi="Arial" w:cs="Arial"/>
          <w:sz w:val="36"/>
          <w:szCs w:val="36"/>
          <w:vertAlign w:val="subscript"/>
        </w:rPr>
      </w:pPr>
      <w:r w:rsidRPr="00B27371">
        <w:rPr>
          <w:rFonts w:ascii="Arial" w:hAnsi="Arial" w:cs="Arial"/>
          <w:sz w:val="36"/>
          <w:szCs w:val="36"/>
          <w:vertAlign w:val="subscript"/>
        </w:rPr>
        <w:t xml:space="preserve">Research further suggested that the media can help close the knowledge gap between those in lower and higher economic classes however, it can be argued that for this to be very effective there needs to be reassurance that the information being shared through the media regarding climate change is accurate. It needs to contain enough information to create an impact and to increase a person’s knowledge base. If it is viewed that media is the way to close the knowledge gap it is vital that a great deal of research goes </w:t>
      </w:r>
      <w:r w:rsidRPr="00B27371">
        <w:rPr>
          <w:rFonts w:ascii="Arial" w:hAnsi="Arial" w:cs="Arial"/>
          <w:sz w:val="36"/>
          <w:szCs w:val="36"/>
          <w:vertAlign w:val="subscript"/>
        </w:rPr>
        <w:lastRenderedPageBreak/>
        <w:t xml:space="preserve">into how to make this form of educating society the most effective it can be. (Yang,2017) It is also important to consider that due to socio economic status not everyone has the same access to the media. There will be members of society who due to financial difficulties would not have internet access, own a T.V or purchase newspapers and magazines. </w:t>
      </w:r>
    </w:p>
    <w:p w14:paraId="3CBFF4EF" w14:textId="77777777" w:rsidR="001911DA" w:rsidRPr="00B27371" w:rsidRDefault="001911DA" w:rsidP="00FC5C5C">
      <w:pPr>
        <w:spacing w:after="0" w:line="240" w:lineRule="auto"/>
        <w:rPr>
          <w:rFonts w:ascii="Arial" w:hAnsi="Arial" w:cs="Arial"/>
          <w:sz w:val="36"/>
          <w:szCs w:val="36"/>
          <w:vertAlign w:val="subscript"/>
        </w:rPr>
      </w:pPr>
      <w:r w:rsidRPr="00B27371">
        <w:rPr>
          <w:rFonts w:ascii="Arial" w:hAnsi="Arial" w:cs="Arial"/>
          <w:sz w:val="36"/>
          <w:szCs w:val="36"/>
          <w:vertAlign w:val="subscript"/>
        </w:rPr>
        <w:t>Whilst researching the differences in socio economic status it is suggested that education and knowledge is not the only issue to be reported. It has been evident time and time again across the world that areas where low SES families live often include industrial businesses that increase pollution in the air. Families with high SES have been seen to have the opportunity to choose a place to live that has cleaner air. This is so vital for the health of the person and their families. It is clear to see this represents a social justice issue such as, if your income is low does that mean your children should have to live in an area where the air is damaging to their health? The same piece of research further found that the families with high economic status displayed the most avoidance behaviour for climate change issues. (Neidell,2004)</w:t>
      </w:r>
    </w:p>
    <w:p w14:paraId="2B243903" w14:textId="77777777" w:rsidR="001911DA" w:rsidRPr="00B27371" w:rsidRDefault="001911DA" w:rsidP="00FC5C5C">
      <w:pPr>
        <w:spacing w:after="0" w:line="240" w:lineRule="auto"/>
        <w:rPr>
          <w:rFonts w:ascii="Arial" w:hAnsi="Arial" w:cs="Arial"/>
          <w:sz w:val="36"/>
          <w:szCs w:val="36"/>
          <w:vertAlign w:val="subscript"/>
        </w:rPr>
      </w:pPr>
      <w:r w:rsidRPr="00B27371">
        <w:rPr>
          <w:rFonts w:ascii="Arial" w:hAnsi="Arial" w:cs="Arial"/>
          <w:sz w:val="36"/>
          <w:szCs w:val="36"/>
          <w:vertAlign w:val="subscript"/>
        </w:rPr>
        <w:t>Whilst discussing socio economic status it is important to mention cultural differences associated with climate change, such as the lifestyle’s in underdeveloped countries like Africa and Asia in comparison to developed countries such as the U.K and the U.S.A. In underdeveloped countries sourcing water is already an issue and they rely heavily on the weather to produce crops and to take care of livestock. The homes families live in are not as resilient as the homes that can be seen in developed countries therefore, floods and various other natural disaster weather events will cause substantial damage and with income so low the recovery process from this can take a very long time and that’s if it gets rectified at all. If the weather changes too much their food source will become seriously depleted and the survival rate of people in these underdeveloped countries will become seriously jeopardised. (</w:t>
      </w:r>
      <w:proofErr w:type="spellStart"/>
      <w:r w:rsidRPr="00B27371">
        <w:rPr>
          <w:rFonts w:ascii="Arial" w:hAnsi="Arial" w:cs="Arial"/>
          <w:sz w:val="36"/>
          <w:szCs w:val="36"/>
          <w:vertAlign w:val="subscript"/>
        </w:rPr>
        <w:t>Musemwa</w:t>
      </w:r>
      <w:proofErr w:type="spellEnd"/>
      <w:r w:rsidRPr="00B27371">
        <w:rPr>
          <w:rFonts w:ascii="Arial" w:hAnsi="Arial" w:cs="Arial"/>
          <w:sz w:val="36"/>
          <w:szCs w:val="36"/>
          <w:vertAlign w:val="subscript"/>
        </w:rPr>
        <w:t xml:space="preserve">, 2012) </w:t>
      </w:r>
    </w:p>
    <w:p w14:paraId="27ABE6CE" w14:textId="77777777" w:rsidR="001911DA" w:rsidRPr="00B27371" w:rsidRDefault="001911DA" w:rsidP="00FC5C5C">
      <w:pPr>
        <w:spacing w:after="0" w:line="240" w:lineRule="auto"/>
        <w:rPr>
          <w:rFonts w:ascii="Arial" w:hAnsi="Arial" w:cs="Arial"/>
          <w:sz w:val="36"/>
          <w:szCs w:val="36"/>
          <w:vertAlign w:val="subscript"/>
        </w:rPr>
      </w:pPr>
      <w:r w:rsidRPr="00B27371">
        <w:rPr>
          <w:rFonts w:ascii="Arial" w:hAnsi="Arial" w:cs="Arial"/>
          <w:sz w:val="36"/>
          <w:szCs w:val="36"/>
          <w:vertAlign w:val="subscript"/>
        </w:rPr>
        <w:t xml:space="preserve">The research into policies in relation to climate change has suggested that there is a need to emphasis the requirement for collective effort in reducing environmental damage throughout the entire community. One of the main issues is on an individual basis, it is not being taken seriously enough as a personal threat. A study in the U.K found that 52% of people did not feel that climate change would create an issue for them in their lifetime. It is this disregard for future generations that appears to be one of the main causes for the lack of action on an individual basis. On another poll it showed that only </w:t>
      </w:r>
      <w:r w:rsidRPr="00B27371">
        <w:rPr>
          <w:rFonts w:ascii="Arial" w:hAnsi="Arial" w:cs="Arial"/>
          <w:sz w:val="36"/>
          <w:szCs w:val="36"/>
          <w:vertAlign w:val="subscript"/>
        </w:rPr>
        <w:lastRenderedPageBreak/>
        <w:t>just over half of the British public felt that changing their behaviour would have an impact on climate change. These are worrying statistics as it leaves us with nearly half the population of the U.K believing that they do not make a difference to climate change. The research further suggests this is the common opinion among many developed countries. (</w:t>
      </w:r>
      <w:proofErr w:type="spellStart"/>
      <w:r w:rsidRPr="00B27371">
        <w:rPr>
          <w:rFonts w:ascii="Arial" w:hAnsi="Arial" w:cs="Arial"/>
          <w:sz w:val="36"/>
          <w:szCs w:val="36"/>
          <w:vertAlign w:val="subscript"/>
        </w:rPr>
        <w:t>Lorenzoni</w:t>
      </w:r>
      <w:proofErr w:type="spellEnd"/>
      <w:r w:rsidRPr="00B27371">
        <w:rPr>
          <w:rFonts w:ascii="Arial" w:hAnsi="Arial" w:cs="Arial"/>
          <w:sz w:val="36"/>
          <w:szCs w:val="36"/>
          <w:vertAlign w:val="subscript"/>
        </w:rPr>
        <w:t xml:space="preserve"> et al,2007) It was also suggested that people felt that policies would be more effective if the government imposed further regulations that society were required to adhere too in order to increase the collective effort made against the negative impacts of climate change. Further mentioned was how when it comes to behaviours people tend to commit less to an action they are carrying out voluntarily they can develop a ‘take it or leave it attitude’ if it’s something they are choosing to do rather than they have to do. This can cause a major issue for a situation as important as climate change and further research needs to be carried out to understand how to make people understand the seriousness of this. (</w:t>
      </w:r>
      <w:proofErr w:type="spellStart"/>
      <w:r w:rsidRPr="00B27371">
        <w:rPr>
          <w:rFonts w:ascii="Arial" w:hAnsi="Arial" w:cs="Arial"/>
          <w:sz w:val="36"/>
          <w:szCs w:val="36"/>
          <w:vertAlign w:val="subscript"/>
        </w:rPr>
        <w:t>Lorenzoni</w:t>
      </w:r>
      <w:proofErr w:type="spellEnd"/>
      <w:r w:rsidRPr="00B27371">
        <w:rPr>
          <w:rFonts w:ascii="Arial" w:hAnsi="Arial" w:cs="Arial"/>
          <w:sz w:val="36"/>
          <w:szCs w:val="36"/>
          <w:vertAlign w:val="subscript"/>
        </w:rPr>
        <w:t xml:space="preserve"> et al, 2007)</w:t>
      </w:r>
    </w:p>
    <w:p w14:paraId="08C247F4" w14:textId="77777777" w:rsidR="001911DA" w:rsidRPr="00B27371" w:rsidRDefault="001911DA" w:rsidP="00FC5C5C">
      <w:pPr>
        <w:spacing w:after="0" w:line="240" w:lineRule="auto"/>
        <w:rPr>
          <w:rFonts w:ascii="Arial" w:hAnsi="Arial" w:cs="Arial"/>
          <w:sz w:val="36"/>
          <w:szCs w:val="36"/>
          <w:vertAlign w:val="subscript"/>
        </w:rPr>
      </w:pPr>
      <w:r w:rsidRPr="00B27371">
        <w:rPr>
          <w:rFonts w:ascii="Arial" w:hAnsi="Arial" w:cs="Arial"/>
          <w:sz w:val="36"/>
          <w:szCs w:val="36"/>
          <w:vertAlign w:val="subscript"/>
        </w:rPr>
        <w:t xml:space="preserve">In conclusion the research around climate change suggests that social justice is a concerning issue. The difference between people with high and low socio economic status causes issues from education, awareness and the limiting choices the low SES have on where they can live and what this environment will mean for the health of themselves and their families. Greater awareness and action are needed for the consequences of the behaviour of developed countries on the survival of underdeveloped countries. </w:t>
      </w:r>
    </w:p>
    <w:p w14:paraId="204F0A53" w14:textId="77777777" w:rsidR="001911DA" w:rsidRPr="00B27371" w:rsidRDefault="001911DA" w:rsidP="00FC5C5C">
      <w:pPr>
        <w:spacing w:after="0" w:line="240" w:lineRule="auto"/>
        <w:rPr>
          <w:rFonts w:ascii="Arial" w:hAnsi="Arial" w:cs="Arial"/>
          <w:sz w:val="36"/>
          <w:szCs w:val="36"/>
          <w:vertAlign w:val="subscript"/>
        </w:rPr>
      </w:pPr>
    </w:p>
    <w:p w14:paraId="4655B121" w14:textId="77777777" w:rsidR="001911DA" w:rsidRPr="00B27371" w:rsidRDefault="001911DA" w:rsidP="00FC5C5C">
      <w:pPr>
        <w:spacing w:line="360" w:lineRule="auto"/>
        <w:rPr>
          <w:rFonts w:ascii="Arial" w:hAnsi="Arial" w:cs="Arial"/>
          <w:sz w:val="24"/>
          <w:szCs w:val="24"/>
        </w:rPr>
      </w:pPr>
      <w:r w:rsidRPr="00B27371">
        <w:rPr>
          <w:rFonts w:ascii="Arial" w:hAnsi="Arial" w:cs="Arial"/>
          <w:sz w:val="24"/>
          <w:szCs w:val="24"/>
        </w:rPr>
        <w:t xml:space="preserve">The development of sustainability requires a collective effort from society which includes the government, policy makers, education sector, businesses, and households. In Wales there have been some policies which have been implemented since the welsh assembly was formed this has emphasised the importance of having a government that will lead the way, in opening societies eyes to the issues of climate change and giving clear guidance on how society is required to worked together to create a real change. (Williams and Thomas,2004) The promotion of sustainable communities is an important focus point within research. It is vital that new policies and strategies are continually adapted and further developed to improve the success rate of the transition into creating more sustainable communities for the current population and further generations. </w:t>
      </w:r>
    </w:p>
    <w:p w14:paraId="607906D8" w14:textId="77777777" w:rsidR="001911DA" w:rsidRPr="00B27371" w:rsidRDefault="001911DA" w:rsidP="00FC5C5C">
      <w:pPr>
        <w:spacing w:line="360" w:lineRule="auto"/>
        <w:rPr>
          <w:rFonts w:ascii="Arial" w:hAnsi="Arial" w:cs="Arial"/>
          <w:sz w:val="24"/>
          <w:szCs w:val="24"/>
        </w:rPr>
      </w:pPr>
      <w:r w:rsidRPr="00B27371">
        <w:rPr>
          <w:rFonts w:ascii="Arial" w:hAnsi="Arial" w:cs="Arial"/>
          <w:sz w:val="24"/>
          <w:szCs w:val="24"/>
        </w:rPr>
        <w:lastRenderedPageBreak/>
        <w:t xml:space="preserve">There has been a tendency to publicise the ‘think globally’ strategy in the recent years to encourage people to think more about the current state of the earth and the dangers of climate change. The development of policies to raise awareness and encourage sustainable communities has been an important strategy  as although we need to consider the issues that are happening throughout the world, it is vital that people realise how a change to their community and the communities around them could encourage the development of sustainability on a more local level, which could make an example of our community in the hope of influencing other communities to make these transitions too. The effects of this could have a positive impact on the current dangers associated with climate change. Research suggests that local planning and development decisions are shown to have a significant impact on global sustainability regarding the environment. (Roseland,2000) </w:t>
      </w:r>
    </w:p>
    <w:p w14:paraId="1E086DBA" w14:textId="77777777" w:rsidR="001911DA" w:rsidRPr="00B27371" w:rsidRDefault="001911DA" w:rsidP="00FC5C5C">
      <w:pPr>
        <w:spacing w:line="360" w:lineRule="auto"/>
        <w:rPr>
          <w:rFonts w:ascii="Arial" w:hAnsi="Arial" w:cs="Arial"/>
          <w:sz w:val="24"/>
          <w:szCs w:val="24"/>
        </w:rPr>
      </w:pPr>
      <w:r w:rsidRPr="00B27371">
        <w:rPr>
          <w:rFonts w:ascii="Arial" w:hAnsi="Arial" w:cs="Arial"/>
          <w:sz w:val="24"/>
          <w:szCs w:val="24"/>
        </w:rPr>
        <w:t>One of the reasons it is important to have a policy in place such as the ‘Well-being of future generations act’ within Wales, is that this allows a clear plan and set of goals for the future. It has been suggested many times that this is often associated with changed behaviour in individuals, which can then influence a wider community. Another benefit is giving households and businesses a set of common goals often sees a more successful outcome overall. Policies encourage strategies for people to use as guidance on the part they can play in helping with the well-being of future generations. The policy in Wales brings attention to the long-term future related to society, environment, economy, and culture. The policy came into force after a large piece of research was carried out called ‘the Wales we want’ which provided the information needed to establish an action plan of how to create a more sustainable Wales. After the act was developed it was seen as a remarkable attempt by the Welsh government to think more pro-actively about how to create a different future in Wales with a focus on sustainability, justice and well-being with vast improvements to be made in these areas by 2050. (Jones,2019)</w:t>
      </w:r>
    </w:p>
    <w:p w14:paraId="44664991" w14:textId="77777777" w:rsidR="001911DA" w:rsidRPr="00B27371" w:rsidRDefault="001911DA" w:rsidP="00FC5C5C">
      <w:pPr>
        <w:spacing w:line="360" w:lineRule="auto"/>
        <w:rPr>
          <w:rFonts w:ascii="Arial" w:hAnsi="Arial" w:cs="Arial"/>
          <w:sz w:val="24"/>
          <w:szCs w:val="24"/>
        </w:rPr>
      </w:pPr>
    </w:p>
    <w:p w14:paraId="23212714" w14:textId="77777777" w:rsidR="001911DA" w:rsidRPr="00B27371" w:rsidRDefault="001911DA" w:rsidP="00FC5C5C">
      <w:pPr>
        <w:spacing w:line="360" w:lineRule="auto"/>
        <w:rPr>
          <w:rFonts w:ascii="Arial" w:hAnsi="Arial" w:cs="Arial"/>
          <w:sz w:val="24"/>
          <w:szCs w:val="24"/>
        </w:rPr>
      </w:pPr>
      <w:r w:rsidRPr="00B27371">
        <w:rPr>
          <w:rFonts w:ascii="Arial" w:hAnsi="Arial" w:cs="Arial"/>
          <w:sz w:val="24"/>
          <w:szCs w:val="24"/>
        </w:rPr>
        <w:t xml:space="preserve">Another policy developed in Wales is called the Education of sustainable development and global citizenship (ESDGC) this is viewed as an integral part of moving forward with both awareness and action in relation to a more sustainable future. Although it has taken a long time to fully implement it into the school system </w:t>
      </w:r>
      <w:r w:rsidRPr="00B27371">
        <w:rPr>
          <w:rFonts w:ascii="Arial" w:hAnsi="Arial" w:cs="Arial"/>
          <w:sz w:val="24"/>
          <w:szCs w:val="24"/>
        </w:rPr>
        <w:lastRenderedPageBreak/>
        <w:t xml:space="preserve">at a satisfactory level its presence is now viewed very highly. Research has suggested that one of its strengths is how it has incorporated a good standard of education for both global citizenship and sustainable development. In the research carried out by </w:t>
      </w:r>
      <w:proofErr w:type="spellStart"/>
      <w:r w:rsidRPr="00B27371">
        <w:rPr>
          <w:rFonts w:ascii="Arial" w:hAnsi="Arial" w:cs="Arial"/>
          <w:sz w:val="24"/>
          <w:szCs w:val="24"/>
        </w:rPr>
        <w:t>Norcliffe</w:t>
      </w:r>
      <w:proofErr w:type="spellEnd"/>
      <w:r w:rsidRPr="00B27371">
        <w:rPr>
          <w:rFonts w:ascii="Arial" w:hAnsi="Arial" w:cs="Arial"/>
          <w:sz w:val="24"/>
          <w:szCs w:val="24"/>
        </w:rPr>
        <w:t xml:space="preserve"> and </w:t>
      </w:r>
      <w:proofErr w:type="spellStart"/>
      <w:r w:rsidRPr="00B27371">
        <w:rPr>
          <w:rFonts w:ascii="Arial" w:hAnsi="Arial" w:cs="Arial"/>
          <w:sz w:val="24"/>
          <w:szCs w:val="24"/>
        </w:rPr>
        <w:t>Bennell</w:t>
      </w:r>
      <w:proofErr w:type="spellEnd"/>
      <w:r w:rsidRPr="00B27371">
        <w:rPr>
          <w:rFonts w:ascii="Arial" w:hAnsi="Arial" w:cs="Arial"/>
          <w:sz w:val="24"/>
          <w:szCs w:val="24"/>
        </w:rPr>
        <w:t xml:space="preserve"> (2010) it become apparent that the education system was delighted to be able to include a policy like the ESDGC in the curriculum and felt a great appreciation towards the welsh assembly for encouraging this to happen. In the interviews conducted the overall conclusions were that teachers and governors felt that this new policy as part of the curriculum was creating an awareness in the current generation for the issues associated with climate change like none that had ever been experienced before. Research has further suggested that the sustainability education in these children has raised passion and determination for the current situation and would go on to influence the awareness and action taken by future generations. (</w:t>
      </w:r>
      <w:proofErr w:type="spellStart"/>
      <w:r w:rsidRPr="00B27371">
        <w:rPr>
          <w:rFonts w:ascii="Arial" w:hAnsi="Arial" w:cs="Arial"/>
          <w:sz w:val="24"/>
          <w:szCs w:val="24"/>
        </w:rPr>
        <w:t>Norcliffe</w:t>
      </w:r>
      <w:proofErr w:type="spellEnd"/>
      <w:r w:rsidRPr="00B27371">
        <w:rPr>
          <w:rFonts w:ascii="Arial" w:hAnsi="Arial" w:cs="Arial"/>
          <w:sz w:val="24"/>
          <w:szCs w:val="24"/>
        </w:rPr>
        <w:t xml:space="preserve"> and Bennell,2010) Although the ESDGC has been criticised many times for being too ambitious in its expectations for Wales, It has also been argued that this is exactly what was required to even attempt to transform the mindset of the current and future generations on how we need to live to ensure the health and prosperity of our planet. (Jenkins,2018)</w:t>
      </w:r>
    </w:p>
    <w:p w14:paraId="49E4F737" w14:textId="77777777" w:rsidR="001911DA" w:rsidRPr="00B27371" w:rsidRDefault="001911DA" w:rsidP="00FC5C5C">
      <w:pPr>
        <w:spacing w:line="360" w:lineRule="auto"/>
        <w:rPr>
          <w:rFonts w:ascii="Arial" w:hAnsi="Arial" w:cs="Arial"/>
          <w:sz w:val="24"/>
          <w:szCs w:val="24"/>
        </w:rPr>
      </w:pPr>
    </w:p>
    <w:p w14:paraId="6FECE7B9" w14:textId="77777777" w:rsidR="001911DA" w:rsidRPr="00B27371" w:rsidRDefault="001911DA" w:rsidP="00FC5C5C">
      <w:pPr>
        <w:spacing w:line="360" w:lineRule="auto"/>
        <w:rPr>
          <w:rFonts w:ascii="Arial" w:hAnsi="Arial" w:cs="Arial"/>
          <w:sz w:val="24"/>
          <w:szCs w:val="24"/>
        </w:rPr>
      </w:pPr>
      <w:r w:rsidRPr="00B27371">
        <w:rPr>
          <w:rFonts w:ascii="Arial" w:hAnsi="Arial" w:cs="Arial"/>
          <w:sz w:val="24"/>
          <w:szCs w:val="24"/>
        </w:rPr>
        <w:t xml:space="preserve">In conclusion it appears that having a clear set of guidelines within policies and the development of strategies is vital for encouraging a sustainable future for the generations yet to come. Implementing important information into the education system regarding the issues of climate change is vital, although it is apparent that it is a complicated task to encourage people to change their behaviours. The word community is often mentioned when discussing the development of sustainability and it seems clear that collective effort is the most beneficial way to move forward, from the government and policy makers all the way to younger children in education, families, businesses and the wider community. If a policy is shown to be promoting a positive outcome for the future and it is being followed throughout society, the benefits for the development of sustainability should vastly improve and can also influence other countries to develop the same strategies. </w:t>
      </w:r>
    </w:p>
    <w:p w14:paraId="6E828FE0" w14:textId="77777777" w:rsidR="001911DA" w:rsidRPr="00B27371" w:rsidRDefault="001911DA" w:rsidP="00FC5C5C">
      <w:pPr>
        <w:spacing w:line="360" w:lineRule="auto"/>
        <w:rPr>
          <w:rFonts w:ascii="Arial" w:hAnsi="Arial" w:cs="Arial"/>
          <w:sz w:val="24"/>
          <w:szCs w:val="24"/>
        </w:rPr>
      </w:pPr>
    </w:p>
    <w:p w14:paraId="15C652D3" w14:textId="77777777" w:rsidR="001911DA" w:rsidRPr="00B27371" w:rsidRDefault="001911DA" w:rsidP="00FC5C5C">
      <w:pPr>
        <w:spacing w:line="360" w:lineRule="auto"/>
        <w:rPr>
          <w:rFonts w:ascii="Arial" w:hAnsi="Arial" w:cs="Arial"/>
          <w:sz w:val="24"/>
          <w:szCs w:val="24"/>
        </w:rPr>
      </w:pPr>
      <w:r w:rsidRPr="00B27371">
        <w:rPr>
          <w:rFonts w:ascii="Arial" w:hAnsi="Arial" w:cs="Arial"/>
          <w:sz w:val="24"/>
          <w:szCs w:val="24"/>
        </w:rPr>
        <w:lastRenderedPageBreak/>
        <w:t xml:space="preserve">The implementation of youth services has been crucial for engaging with young people and encouraging them to have a voice. An important part of youth work is to help young people recognise their skills, encourage their creativity, and help them understand their rights. The service should meet the young person’s needs and consider and encourage their aspirations in life whilst helping them further their knowledge, a youth service should pride itself in providing advice, support, and guidance to young people. An important part of youth work should be to encourage personal, social, and educational development, the aim should be to help young people reach their full potential. (Ord,2016) </w:t>
      </w:r>
    </w:p>
    <w:p w14:paraId="7464281D" w14:textId="77777777" w:rsidR="001911DA" w:rsidRPr="00B27371" w:rsidRDefault="001911DA" w:rsidP="00FC5C5C">
      <w:pPr>
        <w:spacing w:line="360" w:lineRule="auto"/>
        <w:rPr>
          <w:rFonts w:ascii="Arial" w:hAnsi="Arial" w:cs="Arial"/>
          <w:sz w:val="24"/>
          <w:szCs w:val="24"/>
        </w:rPr>
      </w:pPr>
      <w:r w:rsidRPr="00B27371">
        <w:rPr>
          <w:rFonts w:ascii="Arial" w:hAnsi="Arial" w:cs="Arial"/>
          <w:sz w:val="24"/>
          <w:szCs w:val="24"/>
        </w:rPr>
        <w:t xml:space="preserve">Educating and involving youth in issues of sustainability is beneficial for themselves and for the community in which they live in. Targeting this age group can increase knowledge and passion in a generation that would like their voices to be heard more and they also have a superior outreach online to raise awareness for important issues. Research has suggested that active involvement in projects such as environmental issues contributes to positive youth development. It can help youth workers form a connection with the youth they are working with due to common interests and goals, the youth can feel they are just as important as any other group member. (Browne et al, 2011) </w:t>
      </w:r>
    </w:p>
    <w:p w14:paraId="4163DAF8" w14:textId="77777777" w:rsidR="001911DA" w:rsidRPr="00B27371" w:rsidRDefault="001911DA" w:rsidP="00FC5C5C">
      <w:pPr>
        <w:spacing w:line="360" w:lineRule="auto"/>
        <w:rPr>
          <w:rFonts w:ascii="Arial" w:hAnsi="Arial" w:cs="Arial"/>
          <w:sz w:val="24"/>
          <w:szCs w:val="24"/>
        </w:rPr>
      </w:pPr>
      <w:r w:rsidRPr="00B27371">
        <w:rPr>
          <w:rFonts w:ascii="Arial" w:hAnsi="Arial" w:cs="Arial"/>
          <w:sz w:val="24"/>
          <w:szCs w:val="24"/>
        </w:rPr>
        <w:t xml:space="preserve">Educating the youth in issues of sustainability can often create change which can have a positive impact on the youth themselves and the community they live in. Research has further suggested that having youth involved in meaningful leadership and important decision making can have a positive impact on their development and well-being. There is also the point that changes that are made in a community due to youth awareness and action are far more likely to be long term changes which is vital with issues such as sustainability and climate change as short term change will not have the impact needed to change the current worrying situation that is developing. Due to the above reasons it has become apparent that youth workers have a vital role in delivering programmes to help youth become a part of this very important movement that is so desperately needed. The relationship they can create with the members of the youth community can allow them to be the positive influence needed to get them to engage and be willing to learn and take part in projects that can promote and encourage sustainability. It is also suggested that communities that have successfully created flourishing youth environment friendly programmes </w:t>
      </w:r>
      <w:r w:rsidRPr="00B27371">
        <w:rPr>
          <w:rFonts w:ascii="Arial" w:hAnsi="Arial" w:cs="Arial"/>
          <w:sz w:val="24"/>
          <w:szCs w:val="24"/>
        </w:rPr>
        <w:lastRenderedPageBreak/>
        <w:t xml:space="preserve">experience a lot less negative consequences such as adverse behaviour from this age group which is often seen within communities where they are not experiencing meaningful engagement. (Browne et al, 2011) However, it is important to mention that during the adolescent stage of a person’s life it can be very hard to get them to show interest and follow through with commitment to a cause. it should not be assumed that it is an easy task to get all youth to participate. The responsibility cannot all lie with the youth worker to get them to engage as this is not always possible although the efforts of a well-trained passionate youth worker can often prove to be successful. </w:t>
      </w:r>
    </w:p>
    <w:p w14:paraId="2ED42E71" w14:textId="77777777" w:rsidR="001911DA" w:rsidRPr="00B27371" w:rsidRDefault="001911DA" w:rsidP="00FC5C5C">
      <w:pPr>
        <w:spacing w:line="360" w:lineRule="auto"/>
        <w:rPr>
          <w:rFonts w:ascii="Arial" w:hAnsi="Arial" w:cs="Arial"/>
          <w:sz w:val="24"/>
          <w:szCs w:val="24"/>
        </w:rPr>
      </w:pPr>
      <w:r w:rsidRPr="00B27371">
        <w:rPr>
          <w:rFonts w:ascii="Arial" w:hAnsi="Arial" w:cs="Arial"/>
          <w:sz w:val="24"/>
          <w:szCs w:val="24"/>
        </w:rPr>
        <w:t>It is important for the government to supply funding for youth workers and organisations to allow them the opportunity to continue work with the youth in various communities. The success of lowered adverse behaviours in the areas supported will hopefully provide the evidence for the benefits of investing into the younger people, this along with the positive impact on sustainability should encourage the government in the area to continue to show support and what this also does is influence neighbouring communities to make these positive changes. The influence can transfer into other areas much further afield, a ripple effect like this is crucial, it will encourage funding and time to be invested into our younger generations in a vast amount of communities which will have a significant impact on sustainability and climate change overall and the well-being of the youth in general. (Bruce et al,2009)</w:t>
      </w:r>
    </w:p>
    <w:p w14:paraId="1D06706E" w14:textId="77777777" w:rsidR="001911DA" w:rsidRPr="00B27371" w:rsidRDefault="001911DA" w:rsidP="00FC5C5C">
      <w:pPr>
        <w:spacing w:line="360" w:lineRule="auto"/>
        <w:rPr>
          <w:rFonts w:ascii="Arial" w:hAnsi="Arial" w:cs="Arial"/>
          <w:sz w:val="24"/>
          <w:szCs w:val="24"/>
        </w:rPr>
      </w:pPr>
      <w:r w:rsidRPr="00B27371">
        <w:rPr>
          <w:rFonts w:ascii="Arial" w:hAnsi="Arial" w:cs="Arial"/>
          <w:sz w:val="24"/>
          <w:szCs w:val="24"/>
        </w:rPr>
        <w:t xml:space="preserve">It is important to consider when developing a plan for youth within a community regarding sustainability that the youth worker or organisation have a good idea of the general community that they are working with usually through community profiling. This is an important factor of understanding the kind of community they are working with and what strategies are likely to work and which could be unsuccessful. Research provides an excellent template for this to gain knowledge on what has worked elsewhere in similar areas. This is crucial as it would be very disheartening for the youth if they were to develop a sustainability project which was not well accepted by the rest of the community. This could then cause the youth to feel unappreciated, as if their hard work has not been put to good use, negative feedback from positive actions is something a youth worker will be keen to avoid. Although youth workers cannot control all responses, it is vital that research is carried out and strategies for various situations that may arise are all in place. This is one of the </w:t>
      </w:r>
      <w:r w:rsidRPr="00B27371">
        <w:rPr>
          <w:rFonts w:ascii="Arial" w:hAnsi="Arial" w:cs="Arial"/>
          <w:sz w:val="24"/>
          <w:szCs w:val="24"/>
        </w:rPr>
        <w:lastRenderedPageBreak/>
        <w:t>many reasons that policies and procedures accompanied by empirical research are crucial for helping young people through youth work. (Gram-Hanssen,2012)</w:t>
      </w:r>
    </w:p>
    <w:p w14:paraId="1B13FB76" w14:textId="3BE9EDD5" w:rsidR="001911DA" w:rsidRDefault="001911DA" w:rsidP="00FC5C5C">
      <w:pPr>
        <w:spacing w:line="360" w:lineRule="auto"/>
        <w:rPr>
          <w:rFonts w:ascii="Arial" w:hAnsi="Arial" w:cs="Arial"/>
          <w:sz w:val="24"/>
          <w:szCs w:val="24"/>
        </w:rPr>
      </w:pPr>
      <w:r w:rsidRPr="00B27371">
        <w:rPr>
          <w:rFonts w:ascii="Arial" w:hAnsi="Arial" w:cs="Arial"/>
          <w:sz w:val="24"/>
          <w:szCs w:val="24"/>
        </w:rPr>
        <w:t xml:space="preserve">In conclusion youth workers can play an integral part in engaging the youth within a community into projects and important issues that affect their future, they can help educate and encourage young people to have a voice and as the research suggests this has a positive impact on their own well-being and the community that they live in. The relationship a good youth worker can build with a young person should never be underestimated, this kind of influence at an impressionable stage of life can have many positive benefits for the future. </w:t>
      </w:r>
    </w:p>
    <w:p w14:paraId="1855DC92" w14:textId="30FB9EDD" w:rsidR="00624458" w:rsidRDefault="00624458" w:rsidP="00FC5C5C">
      <w:pPr>
        <w:spacing w:line="360" w:lineRule="auto"/>
        <w:rPr>
          <w:rFonts w:ascii="Arial" w:hAnsi="Arial" w:cs="Arial"/>
          <w:sz w:val="24"/>
          <w:szCs w:val="24"/>
        </w:rPr>
      </w:pPr>
    </w:p>
    <w:p w14:paraId="400A4540" w14:textId="650F6E3B" w:rsidR="00624458" w:rsidRDefault="00624458" w:rsidP="00FC5C5C">
      <w:pPr>
        <w:spacing w:line="360" w:lineRule="auto"/>
        <w:rPr>
          <w:rFonts w:ascii="Arial" w:hAnsi="Arial" w:cs="Arial"/>
          <w:sz w:val="24"/>
          <w:szCs w:val="24"/>
        </w:rPr>
      </w:pPr>
    </w:p>
    <w:p w14:paraId="1C04C04D" w14:textId="7D520EE7" w:rsidR="00624458" w:rsidRDefault="00624458" w:rsidP="00FC5C5C">
      <w:pPr>
        <w:spacing w:line="360" w:lineRule="auto"/>
        <w:rPr>
          <w:rFonts w:ascii="Arial" w:hAnsi="Arial" w:cs="Arial"/>
          <w:sz w:val="24"/>
          <w:szCs w:val="24"/>
        </w:rPr>
      </w:pPr>
    </w:p>
    <w:p w14:paraId="5012B851" w14:textId="7935D3C3" w:rsidR="00624458" w:rsidRDefault="00624458" w:rsidP="00FC5C5C">
      <w:pPr>
        <w:spacing w:line="360" w:lineRule="auto"/>
        <w:rPr>
          <w:rFonts w:ascii="Arial" w:hAnsi="Arial" w:cs="Arial"/>
          <w:sz w:val="24"/>
          <w:szCs w:val="24"/>
        </w:rPr>
      </w:pPr>
    </w:p>
    <w:p w14:paraId="2109E5F7" w14:textId="13C7ED9B" w:rsidR="00624458" w:rsidRDefault="00624458" w:rsidP="00FC5C5C">
      <w:pPr>
        <w:spacing w:line="360" w:lineRule="auto"/>
        <w:rPr>
          <w:rFonts w:ascii="Arial" w:hAnsi="Arial" w:cs="Arial"/>
          <w:sz w:val="24"/>
          <w:szCs w:val="24"/>
        </w:rPr>
      </w:pPr>
    </w:p>
    <w:p w14:paraId="77F3019C" w14:textId="4091C79D" w:rsidR="00624458" w:rsidRDefault="00624458" w:rsidP="00FC5C5C">
      <w:pPr>
        <w:spacing w:line="360" w:lineRule="auto"/>
        <w:rPr>
          <w:rFonts w:ascii="Arial" w:hAnsi="Arial" w:cs="Arial"/>
          <w:sz w:val="24"/>
          <w:szCs w:val="24"/>
        </w:rPr>
      </w:pPr>
    </w:p>
    <w:p w14:paraId="33A3BB4F" w14:textId="2B55A768" w:rsidR="00624458" w:rsidRDefault="00624458" w:rsidP="00FC5C5C">
      <w:pPr>
        <w:spacing w:line="360" w:lineRule="auto"/>
        <w:rPr>
          <w:rFonts w:ascii="Arial" w:hAnsi="Arial" w:cs="Arial"/>
          <w:sz w:val="24"/>
          <w:szCs w:val="24"/>
        </w:rPr>
      </w:pPr>
    </w:p>
    <w:p w14:paraId="1004153B" w14:textId="07AF20C0" w:rsidR="00624458" w:rsidRDefault="00624458" w:rsidP="00FC5C5C">
      <w:pPr>
        <w:spacing w:line="360" w:lineRule="auto"/>
        <w:rPr>
          <w:rFonts w:ascii="Arial" w:hAnsi="Arial" w:cs="Arial"/>
          <w:sz w:val="24"/>
          <w:szCs w:val="24"/>
        </w:rPr>
      </w:pPr>
    </w:p>
    <w:p w14:paraId="64880E96" w14:textId="52A46A1B" w:rsidR="00624458" w:rsidRDefault="00624458" w:rsidP="00FC5C5C">
      <w:pPr>
        <w:spacing w:line="360" w:lineRule="auto"/>
        <w:rPr>
          <w:rFonts w:ascii="Arial" w:hAnsi="Arial" w:cs="Arial"/>
          <w:sz w:val="24"/>
          <w:szCs w:val="24"/>
        </w:rPr>
      </w:pPr>
    </w:p>
    <w:p w14:paraId="088770F1" w14:textId="4F048CF1" w:rsidR="00624458" w:rsidRDefault="00624458" w:rsidP="00FC5C5C">
      <w:pPr>
        <w:spacing w:line="360" w:lineRule="auto"/>
        <w:rPr>
          <w:rFonts w:ascii="Arial" w:hAnsi="Arial" w:cs="Arial"/>
          <w:sz w:val="24"/>
          <w:szCs w:val="24"/>
        </w:rPr>
      </w:pPr>
    </w:p>
    <w:p w14:paraId="7C9FC6A6" w14:textId="1894CAFD" w:rsidR="00624458" w:rsidRDefault="00624458" w:rsidP="00FC5C5C">
      <w:pPr>
        <w:spacing w:line="360" w:lineRule="auto"/>
        <w:rPr>
          <w:rFonts w:ascii="Arial" w:hAnsi="Arial" w:cs="Arial"/>
          <w:sz w:val="24"/>
          <w:szCs w:val="24"/>
        </w:rPr>
      </w:pPr>
    </w:p>
    <w:p w14:paraId="1F3C08FB" w14:textId="5D313A15" w:rsidR="00624458" w:rsidRDefault="00624458" w:rsidP="00FC5C5C">
      <w:pPr>
        <w:spacing w:line="360" w:lineRule="auto"/>
        <w:rPr>
          <w:rFonts w:ascii="Arial" w:hAnsi="Arial" w:cs="Arial"/>
          <w:sz w:val="24"/>
          <w:szCs w:val="24"/>
        </w:rPr>
      </w:pPr>
    </w:p>
    <w:p w14:paraId="448E1A9C" w14:textId="1A9FAA7E" w:rsidR="00624458" w:rsidRDefault="00624458" w:rsidP="00FC5C5C">
      <w:pPr>
        <w:spacing w:line="360" w:lineRule="auto"/>
        <w:rPr>
          <w:rFonts w:ascii="Arial" w:hAnsi="Arial" w:cs="Arial"/>
          <w:sz w:val="24"/>
          <w:szCs w:val="24"/>
        </w:rPr>
      </w:pPr>
    </w:p>
    <w:p w14:paraId="7A5C52C0" w14:textId="42DF8BAE" w:rsidR="00624458" w:rsidRDefault="00624458" w:rsidP="00FC5C5C">
      <w:pPr>
        <w:spacing w:line="360" w:lineRule="auto"/>
        <w:rPr>
          <w:rFonts w:ascii="Arial" w:hAnsi="Arial" w:cs="Arial"/>
          <w:sz w:val="24"/>
          <w:szCs w:val="24"/>
        </w:rPr>
      </w:pPr>
    </w:p>
    <w:p w14:paraId="14FE7CD6" w14:textId="0207E36E" w:rsidR="00624458" w:rsidRDefault="00624458" w:rsidP="00FC5C5C">
      <w:pPr>
        <w:spacing w:line="360" w:lineRule="auto"/>
        <w:rPr>
          <w:rFonts w:ascii="Arial" w:hAnsi="Arial" w:cs="Arial"/>
          <w:sz w:val="24"/>
          <w:szCs w:val="24"/>
        </w:rPr>
      </w:pPr>
    </w:p>
    <w:p w14:paraId="03ACA398" w14:textId="110CAD47" w:rsidR="00624458" w:rsidRDefault="00624458" w:rsidP="00FC5C5C">
      <w:pPr>
        <w:spacing w:line="360" w:lineRule="auto"/>
        <w:rPr>
          <w:rFonts w:ascii="Arial" w:hAnsi="Arial" w:cs="Arial"/>
          <w:sz w:val="24"/>
          <w:szCs w:val="24"/>
        </w:rPr>
      </w:pPr>
    </w:p>
    <w:p w14:paraId="2E6049F6" w14:textId="3F023068" w:rsidR="00624458" w:rsidRDefault="00624458" w:rsidP="00FC5C5C">
      <w:pPr>
        <w:spacing w:line="360" w:lineRule="auto"/>
        <w:rPr>
          <w:rFonts w:ascii="Arial" w:hAnsi="Arial" w:cs="Arial"/>
          <w:sz w:val="24"/>
          <w:szCs w:val="24"/>
        </w:rPr>
      </w:pPr>
    </w:p>
    <w:p w14:paraId="5207D34B" w14:textId="7A9E1FB8" w:rsidR="00624458" w:rsidRDefault="00624458" w:rsidP="00FC5C5C">
      <w:pPr>
        <w:spacing w:line="360" w:lineRule="auto"/>
        <w:rPr>
          <w:rFonts w:ascii="Arial" w:hAnsi="Arial" w:cs="Arial"/>
          <w:sz w:val="24"/>
          <w:szCs w:val="24"/>
          <w:u w:val="single"/>
        </w:rPr>
      </w:pPr>
      <w:r w:rsidRPr="00624458">
        <w:rPr>
          <w:rFonts w:ascii="Arial" w:hAnsi="Arial" w:cs="Arial"/>
          <w:sz w:val="24"/>
          <w:szCs w:val="24"/>
          <w:u w:val="single"/>
        </w:rPr>
        <w:lastRenderedPageBreak/>
        <w:t>References</w:t>
      </w:r>
    </w:p>
    <w:p w14:paraId="002CC03E" w14:textId="77777777" w:rsidR="00702595" w:rsidRPr="00E52B35" w:rsidRDefault="00702595" w:rsidP="00E52B35">
      <w:pPr>
        <w:rPr>
          <w:rFonts w:ascii="Arial" w:hAnsi="Arial" w:cs="Arial"/>
          <w:color w:val="222222"/>
          <w:sz w:val="24"/>
          <w:szCs w:val="24"/>
          <w:shd w:val="clear" w:color="auto" w:fill="FFFFFF"/>
        </w:rPr>
      </w:pPr>
      <w:r w:rsidRPr="00E52B35">
        <w:rPr>
          <w:rFonts w:ascii="Arial" w:hAnsi="Arial" w:cs="Arial"/>
          <w:color w:val="222222"/>
          <w:sz w:val="24"/>
          <w:szCs w:val="24"/>
          <w:shd w:val="clear" w:color="auto" w:fill="FFFFFF"/>
        </w:rPr>
        <w:t xml:space="preserve">Browne, L.P., </w:t>
      </w:r>
      <w:proofErr w:type="spellStart"/>
      <w:r w:rsidRPr="00E52B35">
        <w:rPr>
          <w:rFonts w:ascii="Arial" w:hAnsi="Arial" w:cs="Arial"/>
          <w:color w:val="222222"/>
          <w:sz w:val="24"/>
          <w:szCs w:val="24"/>
          <w:shd w:val="clear" w:color="auto" w:fill="FFFFFF"/>
        </w:rPr>
        <w:t>Garst</w:t>
      </w:r>
      <w:proofErr w:type="spellEnd"/>
      <w:r w:rsidRPr="00E52B35">
        <w:rPr>
          <w:rFonts w:ascii="Arial" w:hAnsi="Arial" w:cs="Arial"/>
          <w:color w:val="222222"/>
          <w:sz w:val="24"/>
          <w:szCs w:val="24"/>
          <w:shd w:val="clear" w:color="auto" w:fill="FFFFFF"/>
        </w:rPr>
        <w:t xml:space="preserve">, B.A. and </w:t>
      </w:r>
      <w:proofErr w:type="spellStart"/>
      <w:r w:rsidRPr="00E52B35">
        <w:rPr>
          <w:rFonts w:ascii="Arial" w:hAnsi="Arial" w:cs="Arial"/>
          <w:color w:val="222222"/>
          <w:sz w:val="24"/>
          <w:szCs w:val="24"/>
          <w:shd w:val="clear" w:color="auto" w:fill="FFFFFF"/>
        </w:rPr>
        <w:t>Bialeschki</w:t>
      </w:r>
      <w:proofErr w:type="spellEnd"/>
      <w:r w:rsidRPr="00E52B35">
        <w:rPr>
          <w:rFonts w:ascii="Arial" w:hAnsi="Arial" w:cs="Arial"/>
          <w:color w:val="222222"/>
          <w:sz w:val="24"/>
          <w:szCs w:val="24"/>
          <w:shd w:val="clear" w:color="auto" w:fill="FFFFFF"/>
        </w:rPr>
        <w:t>, M.D., 2011. Engaging youth in environmental sustainability: Impact of the Camp 2 Grow program. </w:t>
      </w:r>
      <w:r w:rsidRPr="00E52B35">
        <w:rPr>
          <w:rFonts w:ascii="Arial" w:hAnsi="Arial" w:cs="Arial"/>
          <w:i/>
          <w:iCs/>
          <w:color w:val="222222"/>
          <w:sz w:val="24"/>
          <w:szCs w:val="24"/>
          <w:shd w:val="clear" w:color="auto" w:fill="FFFFFF"/>
        </w:rPr>
        <w:t>Journal of Park and Recreation Administration</w:t>
      </w:r>
      <w:r w:rsidRPr="00E52B35">
        <w:rPr>
          <w:rFonts w:ascii="Arial" w:hAnsi="Arial" w:cs="Arial"/>
          <w:color w:val="222222"/>
          <w:sz w:val="24"/>
          <w:szCs w:val="24"/>
          <w:shd w:val="clear" w:color="auto" w:fill="FFFFFF"/>
        </w:rPr>
        <w:t>, </w:t>
      </w:r>
      <w:r w:rsidRPr="00E52B35">
        <w:rPr>
          <w:rFonts w:ascii="Arial" w:hAnsi="Arial" w:cs="Arial"/>
          <w:i/>
          <w:iCs/>
          <w:color w:val="222222"/>
          <w:sz w:val="24"/>
          <w:szCs w:val="24"/>
          <w:shd w:val="clear" w:color="auto" w:fill="FFFFFF"/>
        </w:rPr>
        <w:t>29</w:t>
      </w:r>
      <w:r w:rsidRPr="00E52B35">
        <w:rPr>
          <w:rFonts w:ascii="Arial" w:hAnsi="Arial" w:cs="Arial"/>
          <w:color w:val="222222"/>
          <w:sz w:val="24"/>
          <w:szCs w:val="24"/>
          <w:shd w:val="clear" w:color="auto" w:fill="FFFFFF"/>
        </w:rPr>
        <w:t>(3).</w:t>
      </w:r>
    </w:p>
    <w:p w14:paraId="4FD7AB44" w14:textId="77777777" w:rsidR="00702595" w:rsidRPr="00E52B35" w:rsidRDefault="00702595" w:rsidP="00E52B35">
      <w:pPr>
        <w:rPr>
          <w:rFonts w:ascii="Arial" w:hAnsi="Arial" w:cs="Arial"/>
          <w:color w:val="222222"/>
          <w:sz w:val="24"/>
          <w:szCs w:val="24"/>
          <w:shd w:val="clear" w:color="auto" w:fill="FFFFFF"/>
        </w:rPr>
      </w:pPr>
      <w:r w:rsidRPr="00E52B35">
        <w:rPr>
          <w:rFonts w:ascii="Arial" w:hAnsi="Arial" w:cs="Arial"/>
          <w:color w:val="222222"/>
          <w:sz w:val="24"/>
          <w:szCs w:val="24"/>
          <w:shd w:val="clear" w:color="auto" w:fill="FFFFFF"/>
        </w:rPr>
        <w:t>Bruce, J., Boyce, K., Campbell, J., Harrington, J., Major, D. and Williams, A., 2009. Youth work that is of value: towards a model of best practice. </w:t>
      </w:r>
      <w:r w:rsidRPr="00E52B35">
        <w:rPr>
          <w:rFonts w:ascii="Arial" w:hAnsi="Arial" w:cs="Arial"/>
          <w:i/>
          <w:iCs/>
          <w:color w:val="222222"/>
          <w:sz w:val="24"/>
          <w:szCs w:val="24"/>
          <w:shd w:val="clear" w:color="auto" w:fill="FFFFFF"/>
        </w:rPr>
        <w:t>Youth Studies Australia</w:t>
      </w:r>
      <w:r w:rsidRPr="00E52B35">
        <w:rPr>
          <w:rFonts w:ascii="Arial" w:hAnsi="Arial" w:cs="Arial"/>
          <w:color w:val="222222"/>
          <w:sz w:val="24"/>
          <w:szCs w:val="24"/>
          <w:shd w:val="clear" w:color="auto" w:fill="FFFFFF"/>
        </w:rPr>
        <w:t>, </w:t>
      </w:r>
      <w:r w:rsidRPr="00E52B35">
        <w:rPr>
          <w:rFonts w:ascii="Arial" w:hAnsi="Arial" w:cs="Arial"/>
          <w:i/>
          <w:iCs/>
          <w:color w:val="222222"/>
          <w:sz w:val="24"/>
          <w:szCs w:val="24"/>
          <w:shd w:val="clear" w:color="auto" w:fill="FFFFFF"/>
        </w:rPr>
        <w:t>28</w:t>
      </w:r>
      <w:r w:rsidRPr="00E52B35">
        <w:rPr>
          <w:rFonts w:ascii="Arial" w:hAnsi="Arial" w:cs="Arial"/>
          <w:color w:val="222222"/>
          <w:sz w:val="24"/>
          <w:szCs w:val="24"/>
          <w:shd w:val="clear" w:color="auto" w:fill="FFFFFF"/>
        </w:rPr>
        <w:t>(2), p.23.</w:t>
      </w:r>
    </w:p>
    <w:p w14:paraId="1FD23802" w14:textId="77777777" w:rsidR="00702595" w:rsidRPr="00E52B35" w:rsidRDefault="00702595" w:rsidP="00624458">
      <w:pPr>
        <w:rPr>
          <w:rFonts w:ascii="Arial" w:hAnsi="Arial" w:cs="Arial"/>
          <w:color w:val="222222"/>
          <w:sz w:val="24"/>
          <w:szCs w:val="24"/>
          <w:shd w:val="clear" w:color="auto" w:fill="FFFFFF"/>
        </w:rPr>
      </w:pPr>
      <w:r w:rsidRPr="00E52B35">
        <w:rPr>
          <w:rFonts w:ascii="Arial" w:hAnsi="Arial" w:cs="Arial"/>
          <w:color w:val="222222"/>
          <w:sz w:val="24"/>
          <w:szCs w:val="24"/>
          <w:shd w:val="clear" w:color="auto" w:fill="FFFFFF"/>
        </w:rPr>
        <w:t>Calderwood, E. and Davies, K., 2013. Localism and the community shop. </w:t>
      </w:r>
      <w:r w:rsidRPr="00E52B35">
        <w:rPr>
          <w:rFonts w:ascii="Arial" w:hAnsi="Arial" w:cs="Arial"/>
          <w:i/>
          <w:iCs/>
          <w:color w:val="222222"/>
          <w:sz w:val="24"/>
          <w:szCs w:val="24"/>
          <w:shd w:val="clear" w:color="auto" w:fill="FFFFFF"/>
        </w:rPr>
        <w:t>Local Economy</w:t>
      </w:r>
      <w:r w:rsidRPr="00E52B35">
        <w:rPr>
          <w:rFonts w:ascii="Arial" w:hAnsi="Arial" w:cs="Arial"/>
          <w:color w:val="222222"/>
          <w:sz w:val="24"/>
          <w:szCs w:val="24"/>
          <w:shd w:val="clear" w:color="auto" w:fill="FFFFFF"/>
        </w:rPr>
        <w:t>, </w:t>
      </w:r>
      <w:r w:rsidRPr="00E52B35">
        <w:rPr>
          <w:rFonts w:ascii="Arial" w:hAnsi="Arial" w:cs="Arial"/>
          <w:i/>
          <w:iCs/>
          <w:color w:val="222222"/>
          <w:sz w:val="24"/>
          <w:szCs w:val="24"/>
          <w:shd w:val="clear" w:color="auto" w:fill="FFFFFF"/>
        </w:rPr>
        <w:t>28</w:t>
      </w:r>
      <w:r w:rsidRPr="00E52B35">
        <w:rPr>
          <w:rFonts w:ascii="Arial" w:hAnsi="Arial" w:cs="Arial"/>
          <w:color w:val="222222"/>
          <w:sz w:val="24"/>
          <w:szCs w:val="24"/>
          <w:shd w:val="clear" w:color="auto" w:fill="FFFFFF"/>
        </w:rPr>
        <w:t>(3), pp.339-349.</w:t>
      </w:r>
    </w:p>
    <w:p w14:paraId="5EBB6098" w14:textId="77777777" w:rsidR="00702595" w:rsidRPr="00E52B35" w:rsidRDefault="00702595" w:rsidP="00624458">
      <w:pPr>
        <w:rPr>
          <w:rFonts w:ascii="Arial" w:hAnsi="Arial" w:cs="Arial"/>
          <w:color w:val="222222"/>
          <w:sz w:val="24"/>
          <w:szCs w:val="24"/>
          <w:shd w:val="clear" w:color="auto" w:fill="FFFFFF"/>
        </w:rPr>
      </w:pPr>
      <w:r w:rsidRPr="00E52B35">
        <w:rPr>
          <w:rFonts w:ascii="Arial" w:hAnsi="Arial" w:cs="Arial"/>
          <w:color w:val="222222"/>
          <w:sz w:val="24"/>
          <w:szCs w:val="24"/>
          <w:shd w:val="clear" w:color="auto" w:fill="FFFFFF"/>
        </w:rPr>
        <w:t>Dyer, H.C., 2017. Green Theory.</w:t>
      </w:r>
    </w:p>
    <w:p w14:paraId="55758614" w14:textId="77777777" w:rsidR="00702595" w:rsidRPr="00E52B35" w:rsidRDefault="00702595" w:rsidP="00624458">
      <w:pPr>
        <w:rPr>
          <w:rFonts w:ascii="Arial" w:hAnsi="Arial" w:cs="Arial"/>
          <w:color w:val="222222"/>
          <w:sz w:val="24"/>
          <w:szCs w:val="24"/>
          <w:shd w:val="clear" w:color="auto" w:fill="FFFFFF"/>
        </w:rPr>
      </w:pPr>
      <w:r w:rsidRPr="00E52B35">
        <w:rPr>
          <w:rFonts w:ascii="Arial" w:hAnsi="Arial" w:cs="Arial"/>
          <w:color w:val="222222"/>
          <w:sz w:val="24"/>
          <w:szCs w:val="24"/>
          <w:shd w:val="clear" w:color="auto" w:fill="FFFFFF"/>
        </w:rPr>
        <w:t xml:space="preserve">Gillingham, K.T., </w:t>
      </w:r>
      <w:proofErr w:type="spellStart"/>
      <w:r w:rsidRPr="00E52B35">
        <w:rPr>
          <w:rFonts w:ascii="Arial" w:hAnsi="Arial" w:cs="Arial"/>
          <w:color w:val="222222"/>
          <w:sz w:val="24"/>
          <w:szCs w:val="24"/>
          <w:shd w:val="clear" w:color="auto" w:fill="FFFFFF"/>
        </w:rPr>
        <w:t>Knittel</w:t>
      </w:r>
      <w:proofErr w:type="spellEnd"/>
      <w:r w:rsidRPr="00E52B35">
        <w:rPr>
          <w:rFonts w:ascii="Arial" w:hAnsi="Arial" w:cs="Arial"/>
          <w:color w:val="222222"/>
          <w:sz w:val="24"/>
          <w:szCs w:val="24"/>
          <w:shd w:val="clear" w:color="auto" w:fill="FFFFFF"/>
        </w:rPr>
        <w:t xml:space="preserve">, C.R., Li, J., </w:t>
      </w:r>
      <w:proofErr w:type="spellStart"/>
      <w:r w:rsidRPr="00E52B35">
        <w:rPr>
          <w:rFonts w:ascii="Arial" w:hAnsi="Arial" w:cs="Arial"/>
          <w:color w:val="222222"/>
          <w:sz w:val="24"/>
          <w:szCs w:val="24"/>
          <w:shd w:val="clear" w:color="auto" w:fill="FFFFFF"/>
        </w:rPr>
        <w:t>Ovaere</w:t>
      </w:r>
      <w:proofErr w:type="spellEnd"/>
      <w:r w:rsidRPr="00E52B35">
        <w:rPr>
          <w:rFonts w:ascii="Arial" w:hAnsi="Arial" w:cs="Arial"/>
          <w:color w:val="222222"/>
          <w:sz w:val="24"/>
          <w:szCs w:val="24"/>
          <w:shd w:val="clear" w:color="auto" w:fill="FFFFFF"/>
        </w:rPr>
        <w:t xml:space="preserve">, M. and </w:t>
      </w:r>
      <w:proofErr w:type="spellStart"/>
      <w:r w:rsidRPr="00E52B35">
        <w:rPr>
          <w:rFonts w:ascii="Arial" w:hAnsi="Arial" w:cs="Arial"/>
          <w:color w:val="222222"/>
          <w:sz w:val="24"/>
          <w:szCs w:val="24"/>
          <w:shd w:val="clear" w:color="auto" w:fill="FFFFFF"/>
        </w:rPr>
        <w:t>Reguant</w:t>
      </w:r>
      <w:proofErr w:type="spellEnd"/>
      <w:r w:rsidRPr="00E52B35">
        <w:rPr>
          <w:rFonts w:ascii="Arial" w:hAnsi="Arial" w:cs="Arial"/>
          <w:color w:val="222222"/>
          <w:sz w:val="24"/>
          <w:szCs w:val="24"/>
          <w:shd w:val="clear" w:color="auto" w:fill="FFFFFF"/>
        </w:rPr>
        <w:t>, M., 2020. The Short-run and Long-run Effects of Covid-19 on Energy and the Environment. </w:t>
      </w:r>
      <w:r w:rsidRPr="00E52B35">
        <w:rPr>
          <w:rFonts w:ascii="Arial" w:hAnsi="Arial" w:cs="Arial"/>
          <w:i/>
          <w:iCs/>
          <w:color w:val="222222"/>
          <w:sz w:val="24"/>
          <w:szCs w:val="24"/>
          <w:shd w:val="clear" w:color="auto" w:fill="FFFFFF"/>
        </w:rPr>
        <w:t>Joule</w:t>
      </w:r>
      <w:r w:rsidRPr="00E52B35">
        <w:rPr>
          <w:rFonts w:ascii="Arial" w:hAnsi="Arial" w:cs="Arial"/>
          <w:color w:val="222222"/>
          <w:sz w:val="24"/>
          <w:szCs w:val="24"/>
          <w:shd w:val="clear" w:color="auto" w:fill="FFFFFF"/>
        </w:rPr>
        <w:t>, </w:t>
      </w:r>
      <w:r w:rsidRPr="00E52B35">
        <w:rPr>
          <w:rFonts w:ascii="Arial" w:hAnsi="Arial" w:cs="Arial"/>
          <w:i/>
          <w:iCs/>
          <w:color w:val="222222"/>
          <w:sz w:val="24"/>
          <w:szCs w:val="24"/>
          <w:shd w:val="clear" w:color="auto" w:fill="FFFFFF"/>
        </w:rPr>
        <w:t>4</w:t>
      </w:r>
      <w:r w:rsidRPr="00E52B35">
        <w:rPr>
          <w:rFonts w:ascii="Arial" w:hAnsi="Arial" w:cs="Arial"/>
          <w:color w:val="222222"/>
          <w:sz w:val="24"/>
          <w:szCs w:val="24"/>
          <w:shd w:val="clear" w:color="auto" w:fill="FFFFFF"/>
        </w:rPr>
        <w:t>(7), pp.1337-1341.</w:t>
      </w:r>
    </w:p>
    <w:p w14:paraId="18A58575" w14:textId="77777777" w:rsidR="00702595" w:rsidRPr="00E52B35" w:rsidRDefault="00702595" w:rsidP="00E52B35">
      <w:pPr>
        <w:rPr>
          <w:rFonts w:ascii="Arial" w:hAnsi="Arial" w:cs="Arial"/>
          <w:color w:val="222222"/>
          <w:sz w:val="24"/>
          <w:szCs w:val="24"/>
          <w:shd w:val="clear" w:color="auto" w:fill="FFFFFF"/>
        </w:rPr>
      </w:pPr>
      <w:r w:rsidRPr="00E52B35">
        <w:rPr>
          <w:rFonts w:ascii="Arial" w:hAnsi="Arial" w:cs="Arial"/>
          <w:color w:val="222222"/>
          <w:sz w:val="24"/>
          <w:szCs w:val="24"/>
          <w:shd w:val="clear" w:color="auto" w:fill="FFFFFF"/>
        </w:rPr>
        <w:t>Gram-Hanssen, I., 2012. </w:t>
      </w:r>
      <w:r w:rsidRPr="00E52B35">
        <w:rPr>
          <w:rFonts w:ascii="Arial" w:hAnsi="Arial" w:cs="Arial"/>
          <w:i/>
          <w:iCs/>
          <w:color w:val="222222"/>
          <w:sz w:val="24"/>
          <w:szCs w:val="24"/>
          <w:shd w:val="clear" w:color="auto" w:fill="FFFFFF"/>
        </w:rPr>
        <w:t>Youth creating sustainable communities in rural Alaska</w:t>
      </w:r>
      <w:r w:rsidRPr="00E52B35">
        <w:rPr>
          <w:rFonts w:ascii="Arial" w:hAnsi="Arial" w:cs="Arial"/>
          <w:color w:val="222222"/>
          <w:sz w:val="24"/>
          <w:szCs w:val="24"/>
          <w:shd w:val="clear" w:color="auto" w:fill="FFFFFF"/>
        </w:rPr>
        <w:t> (Doctoral dissertation, University of Alaska Fairbanks).</w:t>
      </w:r>
    </w:p>
    <w:p w14:paraId="20FDAB54" w14:textId="77777777" w:rsidR="00702595" w:rsidRPr="00E52B35" w:rsidRDefault="00702595" w:rsidP="00624458">
      <w:pPr>
        <w:rPr>
          <w:rFonts w:ascii="Arial" w:hAnsi="Arial" w:cs="Arial"/>
          <w:color w:val="222222"/>
          <w:sz w:val="24"/>
          <w:szCs w:val="24"/>
          <w:shd w:val="clear" w:color="auto" w:fill="FFFFFF"/>
        </w:rPr>
      </w:pPr>
      <w:r w:rsidRPr="00E52B35">
        <w:rPr>
          <w:rFonts w:ascii="Arial" w:hAnsi="Arial" w:cs="Arial"/>
          <w:color w:val="222222"/>
          <w:sz w:val="24"/>
          <w:szCs w:val="24"/>
          <w:shd w:val="clear" w:color="auto" w:fill="FFFFFF"/>
        </w:rPr>
        <w:t xml:space="preserve">Hamid, S., </w:t>
      </w:r>
      <w:proofErr w:type="spellStart"/>
      <w:r w:rsidRPr="00E52B35">
        <w:rPr>
          <w:rFonts w:ascii="Arial" w:hAnsi="Arial" w:cs="Arial"/>
          <w:color w:val="222222"/>
          <w:sz w:val="24"/>
          <w:szCs w:val="24"/>
          <w:shd w:val="clear" w:color="auto" w:fill="FFFFFF"/>
        </w:rPr>
        <w:t>Ijab</w:t>
      </w:r>
      <w:proofErr w:type="spellEnd"/>
      <w:r w:rsidRPr="00E52B35">
        <w:rPr>
          <w:rFonts w:ascii="Arial" w:hAnsi="Arial" w:cs="Arial"/>
          <w:color w:val="222222"/>
          <w:sz w:val="24"/>
          <w:szCs w:val="24"/>
          <w:shd w:val="clear" w:color="auto" w:fill="FFFFFF"/>
        </w:rPr>
        <w:t xml:space="preserve">, M.T., </w:t>
      </w:r>
      <w:proofErr w:type="spellStart"/>
      <w:r w:rsidRPr="00E52B35">
        <w:rPr>
          <w:rFonts w:ascii="Arial" w:hAnsi="Arial" w:cs="Arial"/>
          <w:color w:val="222222"/>
          <w:sz w:val="24"/>
          <w:szCs w:val="24"/>
          <w:shd w:val="clear" w:color="auto" w:fill="FFFFFF"/>
        </w:rPr>
        <w:t>Sulaiman</w:t>
      </w:r>
      <w:proofErr w:type="spellEnd"/>
      <w:r w:rsidRPr="00E52B35">
        <w:rPr>
          <w:rFonts w:ascii="Arial" w:hAnsi="Arial" w:cs="Arial"/>
          <w:color w:val="222222"/>
          <w:sz w:val="24"/>
          <w:szCs w:val="24"/>
          <w:shd w:val="clear" w:color="auto" w:fill="FFFFFF"/>
        </w:rPr>
        <w:t>, H., Anwar, R.M. and Norman, A.A., 2017. Social media for environmental sustainability awareness in higher education. </w:t>
      </w:r>
      <w:r w:rsidRPr="00E52B35">
        <w:rPr>
          <w:rFonts w:ascii="Arial" w:hAnsi="Arial" w:cs="Arial"/>
          <w:i/>
          <w:iCs/>
          <w:color w:val="222222"/>
          <w:sz w:val="24"/>
          <w:szCs w:val="24"/>
          <w:shd w:val="clear" w:color="auto" w:fill="FFFFFF"/>
        </w:rPr>
        <w:t>International Journal of Sustainability in Higher Education</w:t>
      </w:r>
      <w:r w:rsidRPr="00E52B35">
        <w:rPr>
          <w:rFonts w:ascii="Arial" w:hAnsi="Arial" w:cs="Arial"/>
          <w:color w:val="222222"/>
          <w:sz w:val="24"/>
          <w:szCs w:val="24"/>
          <w:shd w:val="clear" w:color="auto" w:fill="FFFFFF"/>
        </w:rPr>
        <w:t>.</w:t>
      </w:r>
    </w:p>
    <w:p w14:paraId="3EA2767B" w14:textId="77777777" w:rsidR="00702595" w:rsidRPr="00E52B35" w:rsidRDefault="00702595" w:rsidP="00E52B35">
      <w:pPr>
        <w:rPr>
          <w:rFonts w:ascii="Arial" w:hAnsi="Arial" w:cs="Arial"/>
          <w:sz w:val="24"/>
          <w:szCs w:val="24"/>
        </w:rPr>
      </w:pPr>
      <w:r w:rsidRPr="00E52B35">
        <w:rPr>
          <w:rFonts w:ascii="Arial" w:hAnsi="Arial" w:cs="Arial"/>
          <w:color w:val="222222"/>
          <w:sz w:val="24"/>
          <w:szCs w:val="24"/>
          <w:shd w:val="clear" w:color="auto" w:fill="FFFFFF"/>
        </w:rPr>
        <w:t>Jenkins, A.,2018. Education for Sustainable Development and Global Citizenship in Adult and Community Learning in Wales.</w:t>
      </w:r>
    </w:p>
    <w:p w14:paraId="79A812AA" w14:textId="77777777" w:rsidR="00702595" w:rsidRPr="00E52B35" w:rsidRDefault="00702595" w:rsidP="00E52B35">
      <w:pPr>
        <w:rPr>
          <w:rFonts w:ascii="Arial" w:hAnsi="Arial" w:cs="Arial"/>
          <w:sz w:val="24"/>
          <w:szCs w:val="24"/>
        </w:rPr>
      </w:pPr>
      <w:r w:rsidRPr="00E52B35">
        <w:rPr>
          <w:rFonts w:ascii="Arial" w:hAnsi="Arial" w:cs="Arial"/>
          <w:color w:val="222222"/>
          <w:sz w:val="24"/>
          <w:szCs w:val="24"/>
          <w:shd w:val="clear" w:color="auto" w:fill="FFFFFF"/>
        </w:rPr>
        <w:t>Jones, R., 2019. Governing the future and the search for spatial justice: Wales' Well-being of Future Generations Act. </w:t>
      </w:r>
      <w:proofErr w:type="spellStart"/>
      <w:r w:rsidRPr="00E52B35">
        <w:rPr>
          <w:rFonts w:ascii="Arial" w:hAnsi="Arial" w:cs="Arial"/>
          <w:i/>
          <w:iCs/>
          <w:color w:val="222222"/>
          <w:sz w:val="24"/>
          <w:szCs w:val="24"/>
          <w:shd w:val="clear" w:color="auto" w:fill="FFFFFF"/>
        </w:rPr>
        <w:t>Fennia</w:t>
      </w:r>
      <w:proofErr w:type="spellEnd"/>
      <w:r w:rsidRPr="00E52B35">
        <w:rPr>
          <w:rFonts w:ascii="Arial" w:hAnsi="Arial" w:cs="Arial"/>
          <w:i/>
          <w:iCs/>
          <w:color w:val="222222"/>
          <w:sz w:val="24"/>
          <w:szCs w:val="24"/>
          <w:shd w:val="clear" w:color="auto" w:fill="FFFFFF"/>
        </w:rPr>
        <w:t>: International Journal of Geography</w:t>
      </w:r>
      <w:r w:rsidRPr="00E52B35">
        <w:rPr>
          <w:rFonts w:ascii="Arial" w:hAnsi="Arial" w:cs="Arial"/>
          <w:color w:val="222222"/>
          <w:sz w:val="24"/>
          <w:szCs w:val="24"/>
          <w:shd w:val="clear" w:color="auto" w:fill="FFFFFF"/>
        </w:rPr>
        <w:t>, </w:t>
      </w:r>
      <w:r w:rsidRPr="00E52B35">
        <w:rPr>
          <w:rFonts w:ascii="Arial" w:hAnsi="Arial" w:cs="Arial"/>
          <w:i/>
          <w:iCs/>
          <w:color w:val="222222"/>
          <w:sz w:val="24"/>
          <w:szCs w:val="24"/>
          <w:shd w:val="clear" w:color="auto" w:fill="FFFFFF"/>
        </w:rPr>
        <w:t>197</w:t>
      </w:r>
      <w:r w:rsidRPr="00E52B35">
        <w:rPr>
          <w:rFonts w:ascii="Arial" w:hAnsi="Arial" w:cs="Arial"/>
          <w:color w:val="222222"/>
          <w:sz w:val="24"/>
          <w:szCs w:val="24"/>
          <w:shd w:val="clear" w:color="auto" w:fill="FFFFFF"/>
        </w:rPr>
        <w:t>(1), pp.7-23.</w:t>
      </w:r>
    </w:p>
    <w:p w14:paraId="3FE0F6A0" w14:textId="77777777" w:rsidR="00702595" w:rsidRPr="00E52B35" w:rsidRDefault="00702595" w:rsidP="00624458">
      <w:pPr>
        <w:rPr>
          <w:rFonts w:ascii="Arial" w:hAnsi="Arial" w:cs="Arial"/>
          <w:sz w:val="24"/>
          <w:szCs w:val="24"/>
        </w:rPr>
      </w:pPr>
      <w:proofErr w:type="spellStart"/>
      <w:r w:rsidRPr="00E52B35">
        <w:rPr>
          <w:rFonts w:ascii="Arial" w:hAnsi="Arial" w:cs="Arial"/>
          <w:color w:val="222222"/>
          <w:sz w:val="24"/>
          <w:szCs w:val="24"/>
          <w:shd w:val="clear" w:color="auto" w:fill="FFFFFF"/>
        </w:rPr>
        <w:t>Katai</w:t>
      </w:r>
      <w:proofErr w:type="spellEnd"/>
      <w:r w:rsidRPr="00E52B35">
        <w:rPr>
          <w:rFonts w:ascii="Arial" w:hAnsi="Arial" w:cs="Arial"/>
          <w:color w:val="222222"/>
          <w:sz w:val="24"/>
          <w:szCs w:val="24"/>
          <w:shd w:val="clear" w:color="auto" w:fill="FFFFFF"/>
        </w:rPr>
        <w:t xml:space="preserve">, O., Kawakami, H. and </w:t>
      </w:r>
      <w:proofErr w:type="spellStart"/>
      <w:r w:rsidRPr="00E52B35">
        <w:rPr>
          <w:rFonts w:ascii="Arial" w:hAnsi="Arial" w:cs="Arial"/>
          <w:color w:val="222222"/>
          <w:sz w:val="24"/>
          <w:szCs w:val="24"/>
          <w:shd w:val="clear" w:color="auto" w:fill="FFFFFF"/>
        </w:rPr>
        <w:t>Shiose</w:t>
      </w:r>
      <w:proofErr w:type="spellEnd"/>
      <w:r w:rsidRPr="00E52B35">
        <w:rPr>
          <w:rFonts w:ascii="Arial" w:hAnsi="Arial" w:cs="Arial"/>
          <w:color w:val="222222"/>
          <w:sz w:val="24"/>
          <w:szCs w:val="24"/>
          <w:shd w:val="clear" w:color="auto" w:fill="FFFFFF"/>
        </w:rPr>
        <w:t>, T., 2009. Fuzzy local currency based on social network analysis for promoting community businesses. In </w:t>
      </w:r>
      <w:r w:rsidRPr="00E52B35">
        <w:rPr>
          <w:rFonts w:ascii="Arial" w:hAnsi="Arial" w:cs="Arial"/>
          <w:i/>
          <w:iCs/>
          <w:color w:val="222222"/>
          <w:sz w:val="24"/>
          <w:szCs w:val="24"/>
          <w:shd w:val="clear" w:color="auto" w:fill="FFFFFF"/>
        </w:rPr>
        <w:t>Intelligent and Evolutionary Systems</w:t>
      </w:r>
      <w:r w:rsidRPr="00E52B35">
        <w:rPr>
          <w:rFonts w:ascii="Arial" w:hAnsi="Arial" w:cs="Arial"/>
          <w:color w:val="222222"/>
          <w:sz w:val="24"/>
          <w:szCs w:val="24"/>
          <w:shd w:val="clear" w:color="auto" w:fill="FFFFFF"/>
        </w:rPr>
        <w:t> (pp. 37-48). Springer, Berlin, Heidelberg.</w:t>
      </w:r>
    </w:p>
    <w:p w14:paraId="34621D23" w14:textId="77777777" w:rsidR="00702595" w:rsidRPr="00E52B35" w:rsidRDefault="00702595" w:rsidP="00624458">
      <w:pPr>
        <w:rPr>
          <w:rFonts w:ascii="Arial" w:hAnsi="Arial" w:cs="Arial"/>
          <w:color w:val="222222"/>
          <w:sz w:val="24"/>
          <w:szCs w:val="24"/>
          <w:shd w:val="clear" w:color="auto" w:fill="FFFFFF"/>
        </w:rPr>
      </w:pPr>
      <w:r w:rsidRPr="00E52B35">
        <w:rPr>
          <w:rFonts w:ascii="Arial" w:hAnsi="Arial" w:cs="Arial"/>
          <w:color w:val="222222"/>
          <w:sz w:val="24"/>
          <w:szCs w:val="24"/>
          <w:shd w:val="clear" w:color="auto" w:fill="FFFFFF"/>
        </w:rPr>
        <w:t>Lohmann-Hancock, C. and Welton, N., Reflections upon Education for Sustainability: Supporting Student’s Knowledge, Understanding and Practice.</w:t>
      </w:r>
    </w:p>
    <w:p w14:paraId="3304865B" w14:textId="77777777" w:rsidR="00702595" w:rsidRPr="00E52B35" w:rsidRDefault="00702595" w:rsidP="00E52B35">
      <w:pPr>
        <w:rPr>
          <w:rFonts w:ascii="Arial" w:hAnsi="Arial" w:cs="Arial"/>
          <w:color w:val="222222"/>
          <w:sz w:val="24"/>
          <w:szCs w:val="24"/>
          <w:shd w:val="clear" w:color="auto" w:fill="FFFFFF"/>
          <w:vertAlign w:val="subscript"/>
        </w:rPr>
      </w:pPr>
      <w:proofErr w:type="spellStart"/>
      <w:r w:rsidRPr="00E52B35">
        <w:rPr>
          <w:rFonts w:ascii="Arial" w:hAnsi="Arial" w:cs="Arial"/>
          <w:color w:val="222222"/>
          <w:sz w:val="24"/>
          <w:szCs w:val="24"/>
          <w:shd w:val="clear" w:color="auto" w:fill="FFFFFF"/>
        </w:rPr>
        <w:t>Lorenzoni</w:t>
      </w:r>
      <w:proofErr w:type="spellEnd"/>
      <w:r w:rsidRPr="00E52B35">
        <w:rPr>
          <w:rFonts w:ascii="Arial" w:hAnsi="Arial" w:cs="Arial"/>
          <w:color w:val="222222"/>
          <w:sz w:val="24"/>
          <w:szCs w:val="24"/>
          <w:shd w:val="clear" w:color="auto" w:fill="FFFFFF"/>
        </w:rPr>
        <w:t>, I., Nicholson-Cole, S. and Whitmarsh, L., 2007. Barriers perceived to engaging with climate change among the UK public and their policy implications. </w:t>
      </w:r>
      <w:r w:rsidRPr="00E52B35">
        <w:rPr>
          <w:rFonts w:ascii="Arial" w:hAnsi="Arial" w:cs="Arial"/>
          <w:i/>
          <w:iCs/>
          <w:color w:val="222222"/>
          <w:sz w:val="24"/>
          <w:szCs w:val="24"/>
          <w:shd w:val="clear" w:color="auto" w:fill="FFFFFF"/>
        </w:rPr>
        <w:t>Global environmental change</w:t>
      </w:r>
      <w:r w:rsidRPr="00E52B35">
        <w:rPr>
          <w:rFonts w:ascii="Arial" w:hAnsi="Arial" w:cs="Arial"/>
          <w:color w:val="222222"/>
          <w:sz w:val="24"/>
          <w:szCs w:val="24"/>
          <w:shd w:val="clear" w:color="auto" w:fill="FFFFFF"/>
        </w:rPr>
        <w:t>, </w:t>
      </w:r>
      <w:r w:rsidRPr="00E52B35">
        <w:rPr>
          <w:rFonts w:ascii="Arial" w:hAnsi="Arial" w:cs="Arial"/>
          <w:i/>
          <w:iCs/>
          <w:color w:val="222222"/>
          <w:sz w:val="24"/>
          <w:szCs w:val="24"/>
          <w:shd w:val="clear" w:color="auto" w:fill="FFFFFF"/>
        </w:rPr>
        <w:t>17</w:t>
      </w:r>
      <w:r w:rsidRPr="00E52B35">
        <w:rPr>
          <w:rFonts w:ascii="Arial" w:hAnsi="Arial" w:cs="Arial"/>
          <w:color w:val="222222"/>
          <w:sz w:val="24"/>
          <w:szCs w:val="24"/>
          <w:shd w:val="clear" w:color="auto" w:fill="FFFFFF"/>
        </w:rPr>
        <w:t>(3-4), pp.445-459.</w:t>
      </w:r>
    </w:p>
    <w:p w14:paraId="4FA32534" w14:textId="77777777" w:rsidR="00702595" w:rsidRPr="00E52B35" w:rsidRDefault="00702595" w:rsidP="00624458">
      <w:pPr>
        <w:rPr>
          <w:rFonts w:ascii="Arial" w:hAnsi="Arial" w:cs="Arial"/>
          <w:sz w:val="24"/>
          <w:szCs w:val="24"/>
        </w:rPr>
      </w:pPr>
      <w:r w:rsidRPr="00E52B35">
        <w:rPr>
          <w:rFonts w:ascii="Arial" w:hAnsi="Arial" w:cs="Arial"/>
          <w:color w:val="222222"/>
          <w:sz w:val="24"/>
          <w:szCs w:val="24"/>
          <w:shd w:val="clear" w:color="auto" w:fill="FFFFFF"/>
        </w:rPr>
        <w:t xml:space="preserve">Miao, L. and Wei, W., 2013. Consumers’ pro-environmental </w:t>
      </w:r>
      <w:proofErr w:type="spellStart"/>
      <w:r w:rsidRPr="00E52B35">
        <w:rPr>
          <w:rFonts w:ascii="Arial" w:hAnsi="Arial" w:cs="Arial"/>
          <w:color w:val="222222"/>
          <w:sz w:val="24"/>
          <w:szCs w:val="24"/>
          <w:shd w:val="clear" w:color="auto" w:fill="FFFFFF"/>
        </w:rPr>
        <w:t>behavior</w:t>
      </w:r>
      <w:proofErr w:type="spellEnd"/>
      <w:r w:rsidRPr="00E52B35">
        <w:rPr>
          <w:rFonts w:ascii="Arial" w:hAnsi="Arial" w:cs="Arial"/>
          <w:color w:val="222222"/>
          <w:sz w:val="24"/>
          <w:szCs w:val="24"/>
          <w:shd w:val="clear" w:color="auto" w:fill="FFFFFF"/>
        </w:rPr>
        <w:t xml:space="preserve"> and the underlying motivations: A comparison between household and hotel settings. </w:t>
      </w:r>
      <w:r w:rsidRPr="00E52B35">
        <w:rPr>
          <w:rFonts w:ascii="Arial" w:hAnsi="Arial" w:cs="Arial"/>
          <w:i/>
          <w:iCs/>
          <w:color w:val="222222"/>
          <w:sz w:val="24"/>
          <w:szCs w:val="24"/>
          <w:shd w:val="clear" w:color="auto" w:fill="FFFFFF"/>
        </w:rPr>
        <w:t>International Journal of Hospitality Management</w:t>
      </w:r>
      <w:r w:rsidRPr="00E52B35">
        <w:rPr>
          <w:rFonts w:ascii="Arial" w:hAnsi="Arial" w:cs="Arial"/>
          <w:color w:val="222222"/>
          <w:sz w:val="24"/>
          <w:szCs w:val="24"/>
          <w:shd w:val="clear" w:color="auto" w:fill="FFFFFF"/>
        </w:rPr>
        <w:t>, </w:t>
      </w:r>
      <w:r w:rsidRPr="00E52B35">
        <w:rPr>
          <w:rFonts w:ascii="Arial" w:hAnsi="Arial" w:cs="Arial"/>
          <w:i/>
          <w:iCs/>
          <w:color w:val="222222"/>
          <w:sz w:val="24"/>
          <w:szCs w:val="24"/>
          <w:shd w:val="clear" w:color="auto" w:fill="FFFFFF"/>
        </w:rPr>
        <w:t>32</w:t>
      </w:r>
      <w:r w:rsidRPr="00E52B35">
        <w:rPr>
          <w:rFonts w:ascii="Arial" w:hAnsi="Arial" w:cs="Arial"/>
          <w:color w:val="222222"/>
          <w:sz w:val="24"/>
          <w:szCs w:val="24"/>
          <w:shd w:val="clear" w:color="auto" w:fill="FFFFFF"/>
        </w:rPr>
        <w:t>, pp.102-112.</w:t>
      </w:r>
    </w:p>
    <w:p w14:paraId="40D7150E" w14:textId="77777777" w:rsidR="00702595" w:rsidRPr="00E52B35" w:rsidRDefault="00702595" w:rsidP="00E52B35">
      <w:pPr>
        <w:spacing w:after="0" w:line="240" w:lineRule="auto"/>
        <w:rPr>
          <w:rFonts w:ascii="Arial" w:hAnsi="Arial" w:cs="Arial"/>
          <w:color w:val="222222"/>
          <w:sz w:val="36"/>
          <w:szCs w:val="36"/>
          <w:shd w:val="clear" w:color="auto" w:fill="FFFFFF"/>
          <w:vertAlign w:val="subscript"/>
        </w:rPr>
      </w:pPr>
      <w:proofErr w:type="spellStart"/>
      <w:r w:rsidRPr="00E52B35">
        <w:rPr>
          <w:rFonts w:ascii="Arial" w:hAnsi="Arial" w:cs="Arial"/>
          <w:color w:val="222222"/>
          <w:sz w:val="36"/>
          <w:szCs w:val="36"/>
          <w:shd w:val="clear" w:color="auto" w:fill="FFFFFF"/>
          <w:vertAlign w:val="subscript"/>
        </w:rPr>
        <w:t>Musemwa</w:t>
      </w:r>
      <w:proofErr w:type="spellEnd"/>
      <w:r w:rsidRPr="00E52B35">
        <w:rPr>
          <w:rFonts w:ascii="Arial" w:hAnsi="Arial" w:cs="Arial"/>
          <w:color w:val="222222"/>
          <w:sz w:val="36"/>
          <w:szCs w:val="36"/>
          <w:shd w:val="clear" w:color="auto" w:fill="FFFFFF"/>
          <w:vertAlign w:val="subscript"/>
        </w:rPr>
        <w:t xml:space="preserve">, L., </w:t>
      </w:r>
      <w:proofErr w:type="spellStart"/>
      <w:r w:rsidRPr="00E52B35">
        <w:rPr>
          <w:rFonts w:ascii="Arial" w:hAnsi="Arial" w:cs="Arial"/>
          <w:color w:val="222222"/>
          <w:sz w:val="36"/>
          <w:szCs w:val="36"/>
          <w:shd w:val="clear" w:color="auto" w:fill="FFFFFF"/>
          <w:vertAlign w:val="subscript"/>
        </w:rPr>
        <w:t>Muchenje</w:t>
      </w:r>
      <w:proofErr w:type="spellEnd"/>
      <w:r w:rsidRPr="00E52B35">
        <w:rPr>
          <w:rFonts w:ascii="Arial" w:hAnsi="Arial" w:cs="Arial"/>
          <w:color w:val="222222"/>
          <w:sz w:val="36"/>
          <w:szCs w:val="36"/>
          <w:shd w:val="clear" w:color="auto" w:fill="FFFFFF"/>
          <w:vertAlign w:val="subscript"/>
        </w:rPr>
        <w:t xml:space="preserve">, V., </w:t>
      </w:r>
      <w:proofErr w:type="spellStart"/>
      <w:r w:rsidRPr="00E52B35">
        <w:rPr>
          <w:rFonts w:ascii="Arial" w:hAnsi="Arial" w:cs="Arial"/>
          <w:color w:val="222222"/>
          <w:sz w:val="36"/>
          <w:szCs w:val="36"/>
          <w:shd w:val="clear" w:color="auto" w:fill="FFFFFF"/>
          <w:vertAlign w:val="subscript"/>
        </w:rPr>
        <w:t>Mushunje</w:t>
      </w:r>
      <w:proofErr w:type="spellEnd"/>
      <w:r w:rsidRPr="00E52B35">
        <w:rPr>
          <w:rFonts w:ascii="Arial" w:hAnsi="Arial" w:cs="Arial"/>
          <w:color w:val="222222"/>
          <w:sz w:val="36"/>
          <w:szCs w:val="36"/>
          <w:shd w:val="clear" w:color="auto" w:fill="FFFFFF"/>
          <w:vertAlign w:val="subscript"/>
        </w:rPr>
        <w:t xml:space="preserve">, A. and Zhou, L., 2012. The impact of climate change on livestock production amongst the resource-poor farmers of third world </w:t>
      </w:r>
      <w:r w:rsidRPr="00E52B35">
        <w:rPr>
          <w:rFonts w:ascii="Arial" w:hAnsi="Arial" w:cs="Arial"/>
          <w:color w:val="222222"/>
          <w:sz w:val="36"/>
          <w:szCs w:val="36"/>
          <w:shd w:val="clear" w:color="auto" w:fill="FFFFFF"/>
          <w:vertAlign w:val="subscript"/>
        </w:rPr>
        <w:lastRenderedPageBreak/>
        <w:t>countries: a review. </w:t>
      </w:r>
      <w:r w:rsidRPr="00E52B35">
        <w:rPr>
          <w:rFonts w:ascii="Arial" w:hAnsi="Arial" w:cs="Arial"/>
          <w:i/>
          <w:iCs/>
          <w:color w:val="222222"/>
          <w:sz w:val="36"/>
          <w:szCs w:val="36"/>
          <w:shd w:val="clear" w:color="auto" w:fill="FFFFFF"/>
          <w:vertAlign w:val="subscript"/>
        </w:rPr>
        <w:t>Asian Journal of Agriculture and Rural Development</w:t>
      </w:r>
      <w:r w:rsidRPr="00E52B35">
        <w:rPr>
          <w:rFonts w:ascii="Arial" w:hAnsi="Arial" w:cs="Arial"/>
          <w:color w:val="222222"/>
          <w:sz w:val="36"/>
          <w:szCs w:val="36"/>
          <w:shd w:val="clear" w:color="auto" w:fill="FFFFFF"/>
          <w:vertAlign w:val="subscript"/>
        </w:rPr>
        <w:t>, </w:t>
      </w:r>
      <w:r w:rsidRPr="00E52B35">
        <w:rPr>
          <w:rFonts w:ascii="Arial" w:hAnsi="Arial" w:cs="Arial"/>
          <w:i/>
          <w:iCs/>
          <w:color w:val="222222"/>
          <w:sz w:val="36"/>
          <w:szCs w:val="36"/>
          <w:shd w:val="clear" w:color="auto" w:fill="FFFFFF"/>
          <w:vertAlign w:val="subscript"/>
        </w:rPr>
        <w:t>2</w:t>
      </w:r>
      <w:r w:rsidRPr="00E52B35">
        <w:rPr>
          <w:rFonts w:ascii="Arial" w:hAnsi="Arial" w:cs="Arial"/>
          <w:color w:val="222222"/>
          <w:sz w:val="36"/>
          <w:szCs w:val="36"/>
          <w:shd w:val="clear" w:color="auto" w:fill="FFFFFF"/>
          <w:vertAlign w:val="subscript"/>
        </w:rPr>
        <w:t>(393-2016-23881), pp.621-631</w:t>
      </w:r>
    </w:p>
    <w:p w14:paraId="164F99C6" w14:textId="77777777" w:rsidR="00702595" w:rsidRPr="00E52B35" w:rsidRDefault="00702595" w:rsidP="00E52B35">
      <w:pPr>
        <w:spacing w:after="0" w:line="240" w:lineRule="auto"/>
        <w:rPr>
          <w:rFonts w:ascii="Arial" w:hAnsi="Arial" w:cs="Arial"/>
          <w:color w:val="222222"/>
          <w:sz w:val="36"/>
          <w:szCs w:val="36"/>
          <w:shd w:val="clear" w:color="auto" w:fill="FFFFFF"/>
          <w:vertAlign w:val="subscript"/>
        </w:rPr>
      </w:pPr>
      <w:proofErr w:type="spellStart"/>
      <w:r w:rsidRPr="00E52B35">
        <w:rPr>
          <w:rFonts w:ascii="Arial" w:hAnsi="Arial" w:cs="Arial"/>
          <w:color w:val="222222"/>
          <w:sz w:val="36"/>
          <w:szCs w:val="36"/>
          <w:shd w:val="clear" w:color="auto" w:fill="FFFFFF"/>
          <w:vertAlign w:val="subscript"/>
        </w:rPr>
        <w:t>Neidell</w:t>
      </w:r>
      <w:proofErr w:type="spellEnd"/>
      <w:r w:rsidRPr="00E52B35">
        <w:rPr>
          <w:rFonts w:ascii="Arial" w:hAnsi="Arial" w:cs="Arial"/>
          <w:color w:val="222222"/>
          <w:sz w:val="36"/>
          <w:szCs w:val="36"/>
          <w:shd w:val="clear" w:color="auto" w:fill="FFFFFF"/>
          <w:vertAlign w:val="subscript"/>
        </w:rPr>
        <w:t>, M.J., 2004. Air pollution, health, and socio-economic status: the effect of outdoor air quality on childhood asthma. </w:t>
      </w:r>
      <w:r w:rsidRPr="00E52B35">
        <w:rPr>
          <w:rFonts w:ascii="Arial" w:hAnsi="Arial" w:cs="Arial"/>
          <w:i/>
          <w:iCs/>
          <w:color w:val="222222"/>
          <w:sz w:val="36"/>
          <w:szCs w:val="36"/>
          <w:shd w:val="clear" w:color="auto" w:fill="FFFFFF"/>
          <w:vertAlign w:val="subscript"/>
        </w:rPr>
        <w:t>Journal of health economics</w:t>
      </w:r>
      <w:r w:rsidRPr="00E52B35">
        <w:rPr>
          <w:rFonts w:ascii="Arial" w:hAnsi="Arial" w:cs="Arial"/>
          <w:color w:val="222222"/>
          <w:sz w:val="36"/>
          <w:szCs w:val="36"/>
          <w:shd w:val="clear" w:color="auto" w:fill="FFFFFF"/>
          <w:vertAlign w:val="subscript"/>
        </w:rPr>
        <w:t>, </w:t>
      </w:r>
      <w:r w:rsidRPr="00E52B35">
        <w:rPr>
          <w:rFonts w:ascii="Arial" w:hAnsi="Arial" w:cs="Arial"/>
          <w:i/>
          <w:iCs/>
          <w:color w:val="222222"/>
          <w:sz w:val="36"/>
          <w:szCs w:val="36"/>
          <w:shd w:val="clear" w:color="auto" w:fill="FFFFFF"/>
          <w:vertAlign w:val="subscript"/>
        </w:rPr>
        <w:t>23</w:t>
      </w:r>
      <w:r w:rsidRPr="00E52B35">
        <w:rPr>
          <w:rFonts w:ascii="Arial" w:hAnsi="Arial" w:cs="Arial"/>
          <w:color w:val="222222"/>
          <w:sz w:val="36"/>
          <w:szCs w:val="36"/>
          <w:shd w:val="clear" w:color="auto" w:fill="FFFFFF"/>
          <w:vertAlign w:val="subscript"/>
        </w:rPr>
        <w:t>(6), pp.1209-1236.</w:t>
      </w:r>
    </w:p>
    <w:p w14:paraId="06CAF2B0" w14:textId="77777777" w:rsidR="00702595" w:rsidRPr="00E52B35" w:rsidRDefault="00702595" w:rsidP="00624458">
      <w:pPr>
        <w:rPr>
          <w:rFonts w:ascii="Arial" w:hAnsi="Arial" w:cs="Arial"/>
          <w:color w:val="222222"/>
          <w:sz w:val="24"/>
          <w:szCs w:val="24"/>
          <w:shd w:val="clear" w:color="auto" w:fill="FFFFFF"/>
        </w:rPr>
      </w:pPr>
      <w:proofErr w:type="spellStart"/>
      <w:r w:rsidRPr="00E52B35">
        <w:rPr>
          <w:rFonts w:ascii="Arial" w:hAnsi="Arial" w:cs="Arial"/>
          <w:color w:val="222222"/>
          <w:sz w:val="24"/>
          <w:szCs w:val="24"/>
          <w:shd w:val="clear" w:color="auto" w:fill="FFFFFF"/>
        </w:rPr>
        <w:t>Nikkhah</w:t>
      </w:r>
      <w:proofErr w:type="spellEnd"/>
      <w:r w:rsidRPr="00E52B35">
        <w:rPr>
          <w:rFonts w:ascii="Arial" w:hAnsi="Arial" w:cs="Arial"/>
          <w:color w:val="222222"/>
          <w:sz w:val="24"/>
          <w:szCs w:val="24"/>
          <w:shd w:val="clear" w:color="auto" w:fill="FFFFFF"/>
        </w:rPr>
        <w:t xml:space="preserve">, H.A. and </w:t>
      </w:r>
      <w:proofErr w:type="spellStart"/>
      <w:r w:rsidRPr="00E52B35">
        <w:rPr>
          <w:rFonts w:ascii="Arial" w:hAnsi="Arial" w:cs="Arial"/>
          <w:color w:val="222222"/>
          <w:sz w:val="24"/>
          <w:szCs w:val="24"/>
          <w:shd w:val="clear" w:color="auto" w:fill="FFFFFF"/>
        </w:rPr>
        <w:t>Redzuan</w:t>
      </w:r>
      <w:proofErr w:type="spellEnd"/>
      <w:r w:rsidRPr="00E52B35">
        <w:rPr>
          <w:rFonts w:ascii="Arial" w:hAnsi="Arial" w:cs="Arial"/>
          <w:color w:val="222222"/>
          <w:sz w:val="24"/>
          <w:szCs w:val="24"/>
          <w:shd w:val="clear" w:color="auto" w:fill="FFFFFF"/>
        </w:rPr>
        <w:t>, M.R.B., 2010. The role of NGOs in promoting empowerment for sustainable community development. </w:t>
      </w:r>
      <w:r w:rsidRPr="00E52B35">
        <w:rPr>
          <w:rFonts w:ascii="Arial" w:hAnsi="Arial" w:cs="Arial"/>
          <w:i/>
          <w:iCs/>
          <w:color w:val="222222"/>
          <w:sz w:val="24"/>
          <w:szCs w:val="24"/>
          <w:shd w:val="clear" w:color="auto" w:fill="FFFFFF"/>
        </w:rPr>
        <w:t>Journal of Human Ecology</w:t>
      </w:r>
      <w:r w:rsidRPr="00E52B35">
        <w:rPr>
          <w:rFonts w:ascii="Arial" w:hAnsi="Arial" w:cs="Arial"/>
          <w:color w:val="222222"/>
          <w:sz w:val="24"/>
          <w:szCs w:val="24"/>
          <w:shd w:val="clear" w:color="auto" w:fill="FFFFFF"/>
        </w:rPr>
        <w:t>, </w:t>
      </w:r>
      <w:r w:rsidRPr="00E52B35">
        <w:rPr>
          <w:rFonts w:ascii="Arial" w:hAnsi="Arial" w:cs="Arial"/>
          <w:i/>
          <w:iCs/>
          <w:color w:val="222222"/>
          <w:sz w:val="24"/>
          <w:szCs w:val="24"/>
          <w:shd w:val="clear" w:color="auto" w:fill="FFFFFF"/>
        </w:rPr>
        <w:t>30</w:t>
      </w:r>
      <w:r w:rsidRPr="00E52B35">
        <w:rPr>
          <w:rFonts w:ascii="Arial" w:hAnsi="Arial" w:cs="Arial"/>
          <w:color w:val="222222"/>
          <w:sz w:val="24"/>
          <w:szCs w:val="24"/>
          <w:shd w:val="clear" w:color="auto" w:fill="FFFFFF"/>
        </w:rPr>
        <w:t>(2), pp.85-92.</w:t>
      </w:r>
    </w:p>
    <w:p w14:paraId="32CCEE6E" w14:textId="77777777" w:rsidR="00702595" w:rsidRPr="00E52B35" w:rsidRDefault="00702595" w:rsidP="00E52B35">
      <w:pPr>
        <w:rPr>
          <w:rFonts w:ascii="Arial" w:hAnsi="Arial" w:cs="Arial"/>
          <w:color w:val="222222"/>
          <w:sz w:val="24"/>
          <w:szCs w:val="24"/>
          <w:shd w:val="clear" w:color="auto" w:fill="FFFFFF"/>
        </w:rPr>
      </w:pPr>
      <w:proofErr w:type="spellStart"/>
      <w:r w:rsidRPr="00E52B35">
        <w:rPr>
          <w:rFonts w:ascii="Arial" w:hAnsi="Arial" w:cs="Arial"/>
          <w:color w:val="222222"/>
          <w:sz w:val="24"/>
          <w:szCs w:val="24"/>
          <w:shd w:val="clear" w:color="auto" w:fill="FFFFFF"/>
        </w:rPr>
        <w:t>Norcliffe</w:t>
      </w:r>
      <w:proofErr w:type="spellEnd"/>
      <w:r w:rsidRPr="00E52B35">
        <w:rPr>
          <w:rFonts w:ascii="Arial" w:hAnsi="Arial" w:cs="Arial"/>
          <w:color w:val="222222"/>
          <w:sz w:val="24"/>
          <w:szCs w:val="24"/>
          <w:shd w:val="clear" w:color="auto" w:fill="FFFFFF"/>
        </w:rPr>
        <w:t xml:space="preserve">, D. and </w:t>
      </w:r>
      <w:proofErr w:type="spellStart"/>
      <w:r w:rsidRPr="00E52B35">
        <w:rPr>
          <w:rFonts w:ascii="Arial" w:hAnsi="Arial" w:cs="Arial"/>
          <w:color w:val="222222"/>
          <w:sz w:val="24"/>
          <w:szCs w:val="24"/>
          <w:shd w:val="clear" w:color="auto" w:fill="FFFFFF"/>
        </w:rPr>
        <w:t>Bennell</w:t>
      </w:r>
      <w:proofErr w:type="spellEnd"/>
      <w:r w:rsidRPr="00E52B35">
        <w:rPr>
          <w:rFonts w:ascii="Arial" w:hAnsi="Arial" w:cs="Arial"/>
          <w:color w:val="222222"/>
          <w:sz w:val="24"/>
          <w:szCs w:val="24"/>
          <w:shd w:val="clear" w:color="auto" w:fill="FFFFFF"/>
        </w:rPr>
        <w:t>, S.J., 2010. Analysis of views on the development of Education for Sustainable Development and Global Citizenship policy in Wales. </w:t>
      </w:r>
      <w:r w:rsidRPr="00E52B35">
        <w:rPr>
          <w:rFonts w:ascii="Arial" w:hAnsi="Arial" w:cs="Arial"/>
          <w:i/>
          <w:iCs/>
          <w:color w:val="222222"/>
          <w:sz w:val="24"/>
          <w:szCs w:val="24"/>
          <w:shd w:val="clear" w:color="auto" w:fill="FFFFFF"/>
        </w:rPr>
        <w:t>International Journal of Development Education and Global Learning</w:t>
      </w:r>
      <w:r w:rsidRPr="00E52B35">
        <w:rPr>
          <w:rFonts w:ascii="Arial" w:hAnsi="Arial" w:cs="Arial"/>
          <w:color w:val="222222"/>
          <w:sz w:val="24"/>
          <w:szCs w:val="24"/>
          <w:shd w:val="clear" w:color="auto" w:fill="FFFFFF"/>
        </w:rPr>
        <w:t>.</w:t>
      </w:r>
    </w:p>
    <w:p w14:paraId="7AE3B70B" w14:textId="77777777" w:rsidR="00702595" w:rsidRPr="00E52B35" w:rsidRDefault="00702595" w:rsidP="00E52B35">
      <w:pPr>
        <w:spacing w:after="0" w:line="240" w:lineRule="auto"/>
        <w:rPr>
          <w:rFonts w:ascii="Arial" w:hAnsi="Arial" w:cs="Arial"/>
          <w:color w:val="222222"/>
          <w:sz w:val="36"/>
          <w:szCs w:val="36"/>
          <w:shd w:val="clear" w:color="auto" w:fill="FFFFFF"/>
          <w:vertAlign w:val="subscript"/>
        </w:rPr>
      </w:pPr>
      <w:r w:rsidRPr="00E52B35">
        <w:rPr>
          <w:rFonts w:ascii="Arial" w:hAnsi="Arial" w:cs="Arial"/>
          <w:color w:val="222222"/>
          <w:sz w:val="36"/>
          <w:szCs w:val="36"/>
          <w:shd w:val="clear" w:color="auto" w:fill="FFFFFF"/>
          <w:vertAlign w:val="subscript"/>
        </w:rPr>
        <w:t>O'Connor, R.E., Bard, R.J. and Fisher, A., 1999. Risk perceptions, general environmental beliefs, and willingness to address climate change. </w:t>
      </w:r>
      <w:r w:rsidRPr="00E52B35">
        <w:rPr>
          <w:rFonts w:ascii="Arial" w:hAnsi="Arial" w:cs="Arial"/>
          <w:i/>
          <w:iCs/>
          <w:color w:val="222222"/>
          <w:sz w:val="36"/>
          <w:szCs w:val="36"/>
          <w:shd w:val="clear" w:color="auto" w:fill="FFFFFF"/>
          <w:vertAlign w:val="subscript"/>
        </w:rPr>
        <w:t>Risk analysis</w:t>
      </w:r>
      <w:r w:rsidRPr="00E52B35">
        <w:rPr>
          <w:rFonts w:ascii="Arial" w:hAnsi="Arial" w:cs="Arial"/>
          <w:color w:val="222222"/>
          <w:sz w:val="36"/>
          <w:szCs w:val="36"/>
          <w:shd w:val="clear" w:color="auto" w:fill="FFFFFF"/>
          <w:vertAlign w:val="subscript"/>
        </w:rPr>
        <w:t>, </w:t>
      </w:r>
      <w:r w:rsidRPr="00E52B35">
        <w:rPr>
          <w:rFonts w:ascii="Arial" w:hAnsi="Arial" w:cs="Arial"/>
          <w:i/>
          <w:iCs/>
          <w:color w:val="222222"/>
          <w:sz w:val="36"/>
          <w:szCs w:val="36"/>
          <w:shd w:val="clear" w:color="auto" w:fill="FFFFFF"/>
          <w:vertAlign w:val="subscript"/>
        </w:rPr>
        <w:t>19</w:t>
      </w:r>
      <w:r w:rsidRPr="00E52B35">
        <w:rPr>
          <w:rFonts w:ascii="Arial" w:hAnsi="Arial" w:cs="Arial"/>
          <w:color w:val="222222"/>
          <w:sz w:val="36"/>
          <w:szCs w:val="36"/>
          <w:shd w:val="clear" w:color="auto" w:fill="FFFFFF"/>
          <w:vertAlign w:val="subscript"/>
        </w:rPr>
        <w:t>(3), pp.461-471.</w:t>
      </w:r>
    </w:p>
    <w:p w14:paraId="0CF20CF9" w14:textId="77777777" w:rsidR="00702595" w:rsidRPr="00E52B35" w:rsidRDefault="00702595" w:rsidP="00E52B35">
      <w:pPr>
        <w:rPr>
          <w:rFonts w:ascii="Arial" w:hAnsi="Arial" w:cs="Arial"/>
          <w:sz w:val="24"/>
          <w:szCs w:val="24"/>
        </w:rPr>
      </w:pPr>
      <w:r w:rsidRPr="00E52B35">
        <w:rPr>
          <w:rFonts w:ascii="Arial" w:hAnsi="Arial" w:cs="Arial"/>
          <w:color w:val="222222"/>
          <w:sz w:val="24"/>
          <w:szCs w:val="24"/>
          <w:shd w:val="clear" w:color="auto" w:fill="FFFFFF"/>
        </w:rPr>
        <w:t>Ord, J., 2016. </w:t>
      </w:r>
      <w:r w:rsidRPr="00E52B35">
        <w:rPr>
          <w:rFonts w:ascii="Arial" w:hAnsi="Arial" w:cs="Arial"/>
          <w:i/>
          <w:iCs/>
          <w:color w:val="222222"/>
          <w:sz w:val="24"/>
          <w:szCs w:val="24"/>
          <w:shd w:val="clear" w:color="auto" w:fill="FFFFFF"/>
        </w:rPr>
        <w:t>Youth Work Process, Product and Practice: Creating an authentic curriculum in work with young people</w:t>
      </w:r>
      <w:r w:rsidRPr="00E52B35">
        <w:rPr>
          <w:rFonts w:ascii="Arial" w:hAnsi="Arial" w:cs="Arial"/>
          <w:color w:val="222222"/>
          <w:sz w:val="24"/>
          <w:szCs w:val="24"/>
          <w:shd w:val="clear" w:color="auto" w:fill="FFFFFF"/>
        </w:rPr>
        <w:t>. Routledge.</w:t>
      </w:r>
    </w:p>
    <w:p w14:paraId="3CE85631" w14:textId="77777777" w:rsidR="00702595" w:rsidRPr="00E52B35" w:rsidRDefault="00702595" w:rsidP="00624458">
      <w:pPr>
        <w:rPr>
          <w:rFonts w:ascii="Arial" w:hAnsi="Arial" w:cs="Arial"/>
          <w:color w:val="222222"/>
          <w:sz w:val="24"/>
          <w:szCs w:val="24"/>
          <w:shd w:val="clear" w:color="auto" w:fill="FFFFFF"/>
        </w:rPr>
      </w:pPr>
      <w:proofErr w:type="spellStart"/>
      <w:r w:rsidRPr="00E52B35">
        <w:rPr>
          <w:rFonts w:ascii="Arial" w:hAnsi="Arial" w:cs="Arial"/>
          <w:color w:val="222222"/>
          <w:sz w:val="24"/>
          <w:szCs w:val="24"/>
          <w:shd w:val="clear" w:color="auto" w:fill="FFFFFF"/>
        </w:rPr>
        <w:t>Pfefferbaum</w:t>
      </w:r>
      <w:proofErr w:type="spellEnd"/>
      <w:r w:rsidRPr="00E52B35">
        <w:rPr>
          <w:rFonts w:ascii="Arial" w:hAnsi="Arial" w:cs="Arial"/>
          <w:color w:val="222222"/>
          <w:sz w:val="24"/>
          <w:szCs w:val="24"/>
          <w:shd w:val="clear" w:color="auto" w:fill="FFFFFF"/>
        </w:rPr>
        <w:t>, B. and North, C.S., 2020. Mental health and the Covid-19 pandemic. </w:t>
      </w:r>
      <w:r w:rsidRPr="00E52B35">
        <w:rPr>
          <w:rFonts w:ascii="Arial" w:hAnsi="Arial" w:cs="Arial"/>
          <w:i/>
          <w:iCs/>
          <w:color w:val="222222"/>
          <w:sz w:val="24"/>
          <w:szCs w:val="24"/>
          <w:shd w:val="clear" w:color="auto" w:fill="FFFFFF"/>
        </w:rPr>
        <w:t>New England Journal of Medicine</w:t>
      </w:r>
      <w:r w:rsidRPr="00E52B35">
        <w:rPr>
          <w:rFonts w:ascii="Arial" w:hAnsi="Arial" w:cs="Arial"/>
          <w:color w:val="222222"/>
          <w:sz w:val="24"/>
          <w:szCs w:val="24"/>
          <w:shd w:val="clear" w:color="auto" w:fill="FFFFFF"/>
        </w:rPr>
        <w:t>.</w:t>
      </w:r>
    </w:p>
    <w:p w14:paraId="383F764F" w14:textId="77777777" w:rsidR="00702595" w:rsidRPr="00E52B35" w:rsidRDefault="00702595" w:rsidP="00624458">
      <w:pPr>
        <w:rPr>
          <w:rFonts w:ascii="Arial" w:hAnsi="Arial" w:cs="Arial"/>
          <w:color w:val="222222"/>
          <w:sz w:val="24"/>
          <w:szCs w:val="24"/>
          <w:shd w:val="clear" w:color="auto" w:fill="FFFFFF"/>
        </w:rPr>
      </w:pPr>
      <w:proofErr w:type="spellStart"/>
      <w:r w:rsidRPr="00E52B35">
        <w:rPr>
          <w:rFonts w:ascii="Arial" w:hAnsi="Arial" w:cs="Arial"/>
          <w:color w:val="222222"/>
          <w:sz w:val="24"/>
          <w:szCs w:val="24"/>
          <w:shd w:val="clear" w:color="auto" w:fill="FFFFFF"/>
        </w:rPr>
        <w:t>Ravetz</w:t>
      </w:r>
      <w:proofErr w:type="spellEnd"/>
      <w:r w:rsidRPr="00E52B35">
        <w:rPr>
          <w:rFonts w:ascii="Arial" w:hAnsi="Arial" w:cs="Arial"/>
          <w:color w:val="222222"/>
          <w:sz w:val="24"/>
          <w:szCs w:val="24"/>
          <w:shd w:val="clear" w:color="auto" w:fill="FFFFFF"/>
        </w:rPr>
        <w:t>, J., 2007. One Planet Wales.</w:t>
      </w:r>
    </w:p>
    <w:p w14:paraId="75AA8CBD" w14:textId="77777777" w:rsidR="00702595" w:rsidRPr="00E52B35" w:rsidRDefault="00702595" w:rsidP="00E52B35">
      <w:pPr>
        <w:rPr>
          <w:rFonts w:ascii="Arial" w:hAnsi="Arial" w:cs="Arial"/>
          <w:color w:val="222222"/>
          <w:sz w:val="24"/>
          <w:szCs w:val="24"/>
          <w:shd w:val="clear" w:color="auto" w:fill="FFFFFF"/>
        </w:rPr>
      </w:pPr>
      <w:r w:rsidRPr="00E52B35">
        <w:rPr>
          <w:rFonts w:ascii="Arial" w:hAnsi="Arial" w:cs="Arial"/>
          <w:color w:val="222222"/>
          <w:sz w:val="24"/>
          <w:szCs w:val="24"/>
          <w:shd w:val="clear" w:color="auto" w:fill="FFFFFF"/>
        </w:rPr>
        <w:t>Roseland, M., 2000. Sustainable community development: integrating environmental, economic, and social objectives. </w:t>
      </w:r>
      <w:r w:rsidRPr="00E52B35">
        <w:rPr>
          <w:rFonts w:ascii="Arial" w:hAnsi="Arial" w:cs="Arial"/>
          <w:i/>
          <w:iCs/>
          <w:color w:val="222222"/>
          <w:sz w:val="24"/>
          <w:szCs w:val="24"/>
          <w:shd w:val="clear" w:color="auto" w:fill="FFFFFF"/>
        </w:rPr>
        <w:t>Progress in planning</w:t>
      </w:r>
      <w:r w:rsidRPr="00E52B35">
        <w:rPr>
          <w:rFonts w:ascii="Arial" w:hAnsi="Arial" w:cs="Arial"/>
          <w:color w:val="222222"/>
          <w:sz w:val="24"/>
          <w:szCs w:val="24"/>
          <w:shd w:val="clear" w:color="auto" w:fill="FFFFFF"/>
        </w:rPr>
        <w:t>, </w:t>
      </w:r>
      <w:r w:rsidRPr="00E52B35">
        <w:rPr>
          <w:rFonts w:ascii="Arial" w:hAnsi="Arial" w:cs="Arial"/>
          <w:i/>
          <w:iCs/>
          <w:color w:val="222222"/>
          <w:sz w:val="24"/>
          <w:szCs w:val="24"/>
          <w:shd w:val="clear" w:color="auto" w:fill="FFFFFF"/>
        </w:rPr>
        <w:t>54</w:t>
      </w:r>
      <w:r w:rsidRPr="00E52B35">
        <w:rPr>
          <w:rFonts w:ascii="Arial" w:hAnsi="Arial" w:cs="Arial"/>
          <w:color w:val="222222"/>
          <w:sz w:val="24"/>
          <w:szCs w:val="24"/>
          <w:shd w:val="clear" w:color="auto" w:fill="FFFFFF"/>
        </w:rPr>
        <w:t>(2), pp.73-132.</w:t>
      </w:r>
    </w:p>
    <w:p w14:paraId="2AE618E9" w14:textId="77777777" w:rsidR="00702595" w:rsidRPr="00E52B35" w:rsidRDefault="00702595" w:rsidP="00624458">
      <w:pPr>
        <w:rPr>
          <w:rFonts w:ascii="Arial" w:hAnsi="Arial" w:cs="Arial"/>
          <w:color w:val="222222"/>
          <w:sz w:val="24"/>
          <w:szCs w:val="24"/>
          <w:shd w:val="clear" w:color="auto" w:fill="FFFFFF"/>
        </w:rPr>
      </w:pPr>
      <w:proofErr w:type="spellStart"/>
      <w:r w:rsidRPr="00E52B35">
        <w:rPr>
          <w:rFonts w:ascii="Arial" w:hAnsi="Arial" w:cs="Arial"/>
          <w:color w:val="222222"/>
          <w:sz w:val="24"/>
          <w:szCs w:val="24"/>
          <w:shd w:val="clear" w:color="auto" w:fill="FFFFFF"/>
        </w:rPr>
        <w:t>Sempik</w:t>
      </w:r>
      <w:proofErr w:type="spellEnd"/>
      <w:r w:rsidRPr="00E52B35">
        <w:rPr>
          <w:rFonts w:ascii="Arial" w:hAnsi="Arial" w:cs="Arial"/>
          <w:color w:val="222222"/>
          <w:sz w:val="24"/>
          <w:szCs w:val="24"/>
          <w:shd w:val="clear" w:color="auto" w:fill="FFFFFF"/>
        </w:rPr>
        <w:t>, J., 2010. Green care and mental health: gardening and farming as health and social care. </w:t>
      </w:r>
      <w:r w:rsidRPr="00E52B35">
        <w:rPr>
          <w:rFonts w:ascii="Arial" w:hAnsi="Arial" w:cs="Arial"/>
          <w:i/>
          <w:iCs/>
          <w:color w:val="222222"/>
          <w:sz w:val="24"/>
          <w:szCs w:val="24"/>
          <w:shd w:val="clear" w:color="auto" w:fill="FFFFFF"/>
        </w:rPr>
        <w:t>Mental Health and Social Inclusion</w:t>
      </w:r>
      <w:r w:rsidRPr="00E52B35">
        <w:rPr>
          <w:rFonts w:ascii="Arial" w:hAnsi="Arial" w:cs="Arial"/>
          <w:color w:val="222222"/>
          <w:sz w:val="24"/>
          <w:szCs w:val="24"/>
          <w:shd w:val="clear" w:color="auto" w:fill="FFFFFF"/>
        </w:rPr>
        <w:t>.</w:t>
      </w:r>
    </w:p>
    <w:p w14:paraId="58566C00" w14:textId="77777777" w:rsidR="00702595" w:rsidRPr="00E52B35" w:rsidRDefault="00702595" w:rsidP="00624458">
      <w:pPr>
        <w:rPr>
          <w:rFonts w:ascii="Arial" w:hAnsi="Arial" w:cs="Arial"/>
          <w:color w:val="222222"/>
          <w:sz w:val="24"/>
          <w:szCs w:val="24"/>
          <w:shd w:val="clear" w:color="auto" w:fill="FFFFFF"/>
        </w:rPr>
      </w:pPr>
      <w:r w:rsidRPr="00E52B35">
        <w:rPr>
          <w:rFonts w:ascii="Arial" w:hAnsi="Arial" w:cs="Arial"/>
          <w:color w:val="222222"/>
          <w:sz w:val="24"/>
          <w:szCs w:val="24"/>
          <w:shd w:val="clear" w:color="auto" w:fill="FFFFFF"/>
        </w:rPr>
        <w:t>Thomas, C. and Sharp, V., 2013. Understanding the normalisation of recycling behaviour and its implications for other pro-environmental behaviours: A review of social norms and recycling. </w:t>
      </w:r>
      <w:r w:rsidRPr="00E52B35">
        <w:rPr>
          <w:rFonts w:ascii="Arial" w:hAnsi="Arial" w:cs="Arial"/>
          <w:i/>
          <w:iCs/>
          <w:color w:val="222222"/>
          <w:sz w:val="24"/>
          <w:szCs w:val="24"/>
          <w:shd w:val="clear" w:color="auto" w:fill="FFFFFF"/>
        </w:rPr>
        <w:t>Resources, Conservation and Recycling</w:t>
      </w:r>
      <w:r w:rsidRPr="00E52B35">
        <w:rPr>
          <w:rFonts w:ascii="Arial" w:hAnsi="Arial" w:cs="Arial"/>
          <w:color w:val="222222"/>
          <w:sz w:val="24"/>
          <w:szCs w:val="24"/>
          <w:shd w:val="clear" w:color="auto" w:fill="FFFFFF"/>
        </w:rPr>
        <w:t>, </w:t>
      </w:r>
      <w:r w:rsidRPr="00E52B35">
        <w:rPr>
          <w:rFonts w:ascii="Arial" w:hAnsi="Arial" w:cs="Arial"/>
          <w:i/>
          <w:iCs/>
          <w:color w:val="222222"/>
          <w:sz w:val="24"/>
          <w:szCs w:val="24"/>
          <w:shd w:val="clear" w:color="auto" w:fill="FFFFFF"/>
        </w:rPr>
        <w:t>79</w:t>
      </w:r>
      <w:r w:rsidRPr="00E52B35">
        <w:rPr>
          <w:rFonts w:ascii="Arial" w:hAnsi="Arial" w:cs="Arial"/>
          <w:color w:val="222222"/>
          <w:sz w:val="24"/>
          <w:szCs w:val="24"/>
          <w:shd w:val="clear" w:color="auto" w:fill="FFFFFF"/>
        </w:rPr>
        <w:t>, pp.11-20.</w:t>
      </w:r>
    </w:p>
    <w:p w14:paraId="067A0F2D" w14:textId="77777777" w:rsidR="00702595" w:rsidRPr="00E52B35" w:rsidRDefault="00702595" w:rsidP="00E52B35">
      <w:pPr>
        <w:rPr>
          <w:rFonts w:ascii="Arial" w:hAnsi="Arial" w:cs="Arial"/>
          <w:sz w:val="24"/>
          <w:szCs w:val="24"/>
        </w:rPr>
      </w:pPr>
      <w:r w:rsidRPr="00E52B35">
        <w:rPr>
          <w:rFonts w:ascii="Arial" w:hAnsi="Arial" w:cs="Arial"/>
          <w:color w:val="222222"/>
          <w:sz w:val="24"/>
          <w:szCs w:val="24"/>
          <w:shd w:val="clear" w:color="auto" w:fill="FFFFFF"/>
        </w:rPr>
        <w:t>Williams, P. and Thomas, A., 2004. Sustainable development in Wales. </w:t>
      </w:r>
      <w:r w:rsidRPr="00E52B35">
        <w:rPr>
          <w:rFonts w:ascii="Arial" w:hAnsi="Arial" w:cs="Arial"/>
          <w:i/>
          <w:iCs/>
          <w:color w:val="222222"/>
          <w:sz w:val="24"/>
          <w:szCs w:val="24"/>
          <w:shd w:val="clear" w:color="auto" w:fill="FFFFFF"/>
        </w:rPr>
        <w:t>Joseph Rowntree Foundation</w:t>
      </w:r>
      <w:r w:rsidRPr="00E52B35">
        <w:rPr>
          <w:rFonts w:ascii="Arial" w:hAnsi="Arial" w:cs="Arial"/>
          <w:color w:val="222222"/>
          <w:sz w:val="24"/>
          <w:szCs w:val="24"/>
          <w:shd w:val="clear" w:color="auto" w:fill="FFFFFF"/>
        </w:rPr>
        <w:t>.</w:t>
      </w:r>
    </w:p>
    <w:p w14:paraId="13A4D64A" w14:textId="77777777" w:rsidR="00702595" w:rsidRPr="00E52B35" w:rsidRDefault="00702595" w:rsidP="00624458">
      <w:pPr>
        <w:rPr>
          <w:rFonts w:ascii="Arial" w:hAnsi="Arial" w:cs="Arial"/>
          <w:color w:val="222222"/>
          <w:sz w:val="24"/>
          <w:szCs w:val="24"/>
          <w:shd w:val="clear" w:color="auto" w:fill="FFFFFF"/>
        </w:rPr>
      </w:pPr>
      <w:r w:rsidRPr="00E52B35">
        <w:rPr>
          <w:rFonts w:ascii="Arial" w:hAnsi="Arial" w:cs="Arial"/>
          <w:color w:val="222222"/>
          <w:sz w:val="24"/>
          <w:szCs w:val="24"/>
          <w:shd w:val="clear" w:color="auto" w:fill="FFFFFF"/>
        </w:rPr>
        <w:t>World Commission on Environment and Development and Brundtland, G.H., 1987. </w:t>
      </w:r>
      <w:r w:rsidRPr="00E52B35">
        <w:rPr>
          <w:rFonts w:ascii="Arial" w:hAnsi="Arial" w:cs="Arial"/>
          <w:i/>
          <w:iCs/>
          <w:color w:val="222222"/>
          <w:sz w:val="24"/>
          <w:szCs w:val="24"/>
          <w:shd w:val="clear" w:color="auto" w:fill="FFFFFF"/>
        </w:rPr>
        <w:t xml:space="preserve">Presentation of the Report of the World Commission on Environment and Development to the Commission of the European Communities, the </w:t>
      </w:r>
      <w:proofErr w:type="gramStart"/>
      <w:r w:rsidRPr="00E52B35">
        <w:rPr>
          <w:rFonts w:ascii="Arial" w:hAnsi="Arial" w:cs="Arial"/>
          <w:i/>
          <w:iCs/>
          <w:color w:val="222222"/>
          <w:sz w:val="24"/>
          <w:szCs w:val="24"/>
          <w:shd w:val="clear" w:color="auto" w:fill="FFFFFF"/>
        </w:rPr>
        <w:t>EC</w:t>
      </w:r>
      <w:proofErr w:type="gramEnd"/>
      <w:r w:rsidRPr="00E52B35">
        <w:rPr>
          <w:rFonts w:ascii="Arial" w:hAnsi="Arial" w:cs="Arial"/>
          <w:i/>
          <w:iCs/>
          <w:color w:val="222222"/>
          <w:sz w:val="24"/>
          <w:szCs w:val="24"/>
          <w:shd w:val="clear" w:color="auto" w:fill="FFFFFF"/>
        </w:rPr>
        <w:t xml:space="preserve"> and EFTA Countries... 5 May 1987, Brussels</w:t>
      </w:r>
      <w:r w:rsidRPr="00E52B35">
        <w:rPr>
          <w:rFonts w:ascii="Arial" w:hAnsi="Arial" w:cs="Arial"/>
          <w:color w:val="222222"/>
          <w:sz w:val="24"/>
          <w:szCs w:val="24"/>
          <w:shd w:val="clear" w:color="auto" w:fill="FFFFFF"/>
        </w:rPr>
        <w:t>. World Commission on Environment and Development.</w:t>
      </w:r>
    </w:p>
    <w:p w14:paraId="35BD9D6A" w14:textId="77777777" w:rsidR="00702595" w:rsidRPr="00E52B35" w:rsidRDefault="00702595" w:rsidP="00E52B35">
      <w:pPr>
        <w:spacing w:after="0" w:line="240" w:lineRule="auto"/>
        <w:rPr>
          <w:rFonts w:ascii="Arial" w:hAnsi="Arial" w:cs="Arial"/>
          <w:color w:val="222222"/>
          <w:sz w:val="36"/>
          <w:szCs w:val="36"/>
          <w:shd w:val="clear" w:color="auto" w:fill="FFFFFF"/>
          <w:vertAlign w:val="subscript"/>
        </w:rPr>
      </w:pPr>
      <w:r w:rsidRPr="00E52B35">
        <w:rPr>
          <w:rFonts w:ascii="Arial" w:hAnsi="Arial" w:cs="Arial"/>
          <w:color w:val="222222"/>
          <w:sz w:val="36"/>
          <w:szCs w:val="36"/>
          <w:shd w:val="clear" w:color="auto" w:fill="FFFFFF"/>
          <w:vertAlign w:val="subscript"/>
        </w:rPr>
        <w:t>Yang, X. and Ho, S.S., 2017. Decreasing the knowledge gap among different socioeconomic status groups on the issue of climate change. </w:t>
      </w:r>
      <w:r w:rsidRPr="00E52B35">
        <w:rPr>
          <w:rFonts w:ascii="Arial" w:hAnsi="Arial" w:cs="Arial"/>
          <w:i/>
          <w:iCs/>
          <w:color w:val="222222"/>
          <w:sz w:val="36"/>
          <w:szCs w:val="36"/>
          <w:shd w:val="clear" w:color="auto" w:fill="FFFFFF"/>
          <w:vertAlign w:val="subscript"/>
        </w:rPr>
        <w:t>Environmental Hazards</w:t>
      </w:r>
      <w:r w:rsidRPr="00E52B35">
        <w:rPr>
          <w:rFonts w:ascii="Arial" w:hAnsi="Arial" w:cs="Arial"/>
          <w:color w:val="222222"/>
          <w:sz w:val="36"/>
          <w:szCs w:val="36"/>
          <w:shd w:val="clear" w:color="auto" w:fill="FFFFFF"/>
          <w:vertAlign w:val="subscript"/>
        </w:rPr>
        <w:t>, </w:t>
      </w:r>
      <w:r w:rsidRPr="00E52B35">
        <w:rPr>
          <w:rFonts w:ascii="Arial" w:hAnsi="Arial" w:cs="Arial"/>
          <w:i/>
          <w:iCs/>
          <w:color w:val="222222"/>
          <w:sz w:val="36"/>
          <w:szCs w:val="36"/>
          <w:shd w:val="clear" w:color="auto" w:fill="FFFFFF"/>
          <w:vertAlign w:val="subscript"/>
        </w:rPr>
        <w:t>16</w:t>
      </w:r>
      <w:r w:rsidRPr="00E52B35">
        <w:rPr>
          <w:rFonts w:ascii="Arial" w:hAnsi="Arial" w:cs="Arial"/>
          <w:color w:val="222222"/>
          <w:sz w:val="36"/>
          <w:szCs w:val="36"/>
          <w:shd w:val="clear" w:color="auto" w:fill="FFFFFF"/>
          <w:vertAlign w:val="subscript"/>
        </w:rPr>
        <w:t>(3), pp.276-290.</w:t>
      </w:r>
    </w:p>
    <w:sectPr w:rsidR="00702595" w:rsidRPr="00E52B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D7B"/>
    <w:rsid w:val="000061F9"/>
    <w:rsid w:val="001911DA"/>
    <w:rsid w:val="00570D7B"/>
    <w:rsid w:val="00624458"/>
    <w:rsid w:val="006E1A5D"/>
    <w:rsid w:val="00702595"/>
    <w:rsid w:val="0085496E"/>
    <w:rsid w:val="00B27371"/>
    <w:rsid w:val="00D751AF"/>
    <w:rsid w:val="00E52B35"/>
    <w:rsid w:val="00FC5C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89AA8"/>
  <w15:chartTrackingRefBased/>
  <w15:docId w15:val="{0DE06C86-040C-4A51-8C29-DE3E32DA24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11DA"/>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9959443">
      <w:bodyDiv w:val="1"/>
      <w:marLeft w:val="0"/>
      <w:marRight w:val="0"/>
      <w:marTop w:val="0"/>
      <w:marBottom w:val="0"/>
      <w:divBdr>
        <w:top w:val="none" w:sz="0" w:space="0" w:color="auto"/>
        <w:left w:val="none" w:sz="0" w:space="0" w:color="auto"/>
        <w:bottom w:val="none" w:sz="0" w:space="0" w:color="auto"/>
        <w:right w:val="none" w:sz="0" w:space="0" w:color="auto"/>
      </w:divBdr>
    </w:div>
    <w:div w:id="483086582">
      <w:bodyDiv w:val="1"/>
      <w:marLeft w:val="0"/>
      <w:marRight w:val="0"/>
      <w:marTop w:val="0"/>
      <w:marBottom w:val="0"/>
      <w:divBdr>
        <w:top w:val="none" w:sz="0" w:space="0" w:color="auto"/>
        <w:left w:val="none" w:sz="0" w:space="0" w:color="auto"/>
        <w:bottom w:val="none" w:sz="0" w:space="0" w:color="auto"/>
        <w:right w:val="none" w:sz="0" w:space="0" w:color="auto"/>
      </w:divBdr>
    </w:div>
    <w:div w:id="859971095">
      <w:bodyDiv w:val="1"/>
      <w:marLeft w:val="0"/>
      <w:marRight w:val="0"/>
      <w:marTop w:val="0"/>
      <w:marBottom w:val="0"/>
      <w:divBdr>
        <w:top w:val="none" w:sz="0" w:space="0" w:color="auto"/>
        <w:left w:val="none" w:sz="0" w:space="0" w:color="auto"/>
        <w:bottom w:val="none" w:sz="0" w:space="0" w:color="auto"/>
        <w:right w:val="none" w:sz="0" w:space="0" w:color="auto"/>
      </w:divBdr>
    </w:div>
    <w:div w:id="994409636">
      <w:bodyDiv w:val="1"/>
      <w:marLeft w:val="0"/>
      <w:marRight w:val="0"/>
      <w:marTop w:val="0"/>
      <w:marBottom w:val="0"/>
      <w:divBdr>
        <w:top w:val="none" w:sz="0" w:space="0" w:color="auto"/>
        <w:left w:val="none" w:sz="0" w:space="0" w:color="auto"/>
        <w:bottom w:val="none" w:sz="0" w:space="0" w:color="auto"/>
        <w:right w:val="none" w:sz="0" w:space="0" w:color="auto"/>
      </w:divBdr>
    </w:div>
    <w:div w:id="1030567993">
      <w:bodyDiv w:val="1"/>
      <w:marLeft w:val="0"/>
      <w:marRight w:val="0"/>
      <w:marTop w:val="0"/>
      <w:marBottom w:val="0"/>
      <w:divBdr>
        <w:top w:val="none" w:sz="0" w:space="0" w:color="auto"/>
        <w:left w:val="none" w:sz="0" w:space="0" w:color="auto"/>
        <w:bottom w:val="none" w:sz="0" w:space="0" w:color="auto"/>
        <w:right w:val="none" w:sz="0" w:space="0" w:color="auto"/>
      </w:divBdr>
    </w:div>
    <w:div w:id="1150365540">
      <w:bodyDiv w:val="1"/>
      <w:marLeft w:val="0"/>
      <w:marRight w:val="0"/>
      <w:marTop w:val="0"/>
      <w:marBottom w:val="0"/>
      <w:divBdr>
        <w:top w:val="none" w:sz="0" w:space="0" w:color="auto"/>
        <w:left w:val="none" w:sz="0" w:space="0" w:color="auto"/>
        <w:bottom w:val="none" w:sz="0" w:space="0" w:color="auto"/>
        <w:right w:val="none" w:sz="0" w:space="0" w:color="auto"/>
      </w:divBdr>
    </w:div>
    <w:div w:id="1552888042">
      <w:bodyDiv w:val="1"/>
      <w:marLeft w:val="0"/>
      <w:marRight w:val="0"/>
      <w:marTop w:val="0"/>
      <w:marBottom w:val="0"/>
      <w:divBdr>
        <w:top w:val="none" w:sz="0" w:space="0" w:color="auto"/>
        <w:left w:val="none" w:sz="0" w:space="0" w:color="auto"/>
        <w:bottom w:val="none" w:sz="0" w:space="0" w:color="auto"/>
        <w:right w:val="none" w:sz="0" w:space="0" w:color="auto"/>
      </w:divBdr>
    </w:div>
    <w:div w:id="1663579224">
      <w:bodyDiv w:val="1"/>
      <w:marLeft w:val="0"/>
      <w:marRight w:val="0"/>
      <w:marTop w:val="0"/>
      <w:marBottom w:val="0"/>
      <w:divBdr>
        <w:top w:val="none" w:sz="0" w:space="0" w:color="auto"/>
        <w:left w:val="none" w:sz="0" w:space="0" w:color="auto"/>
        <w:bottom w:val="none" w:sz="0" w:space="0" w:color="auto"/>
        <w:right w:val="none" w:sz="0" w:space="0" w:color="auto"/>
      </w:divBdr>
    </w:div>
    <w:div w:id="1683388762">
      <w:bodyDiv w:val="1"/>
      <w:marLeft w:val="0"/>
      <w:marRight w:val="0"/>
      <w:marTop w:val="0"/>
      <w:marBottom w:val="0"/>
      <w:divBdr>
        <w:top w:val="none" w:sz="0" w:space="0" w:color="auto"/>
        <w:left w:val="none" w:sz="0" w:space="0" w:color="auto"/>
        <w:bottom w:val="none" w:sz="0" w:space="0" w:color="auto"/>
        <w:right w:val="none" w:sz="0" w:space="0" w:color="auto"/>
      </w:divBdr>
    </w:div>
    <w:div w:id="2133475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4962</Words>
  <Characters>28290</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E. (946408)</dc:creator>
  <cp:keywords/>
  <dc:description/>
  <cp:lastModifiedBy>THOMAS E. (946408)</cp:lastModifiedBy>
  <cp:revision>2</cp:revision>
  <dcterms:created xsi:type="dcterms:W3CDTF">2020-12-14T19:11:00Z</dcterms:created>
  <dcterms:modified xsi:type="dcterms:W3CDTF">2020-12-14T19:11:00Z</dcterms:modified>
</cp:coreProperties>
</file>