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E21E9E" w14:textId="77777777" w:rsidR="000451DE" w:rsidRPr="000451DE" w:rsidRDefault="000451DE" w:rsidP="000451DE">
      <w:pPr>
        <w:jc w:val="both"/>
        <w:rPr>
          <w:rFonts w:ascii="Times New Roman" w:hAnsi="Times New Roman" w:cs="Times New Roman"/>
          <w:b/>
          <w:bCs/>
          <w:i/>
          <w:iCs/>
          <w:sz w:val="28"/>
          <w:szCs w:val="28"/>
        </w:rPr>
      </w:pPr>
      <w:r w:rsidRPr="000451DE">
        <w:rPr>
          <w:rFonts w:ascii="Times New Roman" w:hAnsi="Times New Roman" w:cs="Times New Roman"/>
          <w:b/>
          <w:bCs/>
          <w:i/>
          <w:iCs/>
          <w:sz w:val="28"/>
          <w:szCs w:val="28"/>
        </w:rPr>
        <w:t>Contemporary Themes in the Hotel and Hospitality Sector</w:t>
      </w:r>
    </w:p>
    <w:p w14:paraId="38BD78C7" w14:textId="77777777" w:rsidR="000451DE" w:rsidRPr="000451DE" w:rsidRDefault="000451DE" w:rsidP="000451DE">
      <w:pPr>
        <w:jc w:val="both"/>
        <w:rPr>
          <w:rFonts w:ascii="Times New Roman" w:hAnsi="Times New Roman" w:cs="Times New Roman"/>
          <w:b/>
          <w:bCs/>
          <w:i/>
          <w:iCs/>
          <w:sz w:val="28"/>
          <w:szCs w:val="28"/>
        </w:rPr>
      </w:pPr>
      <w:r w:rsidRPr="000451DE">
        <w:rPr>
          <w:rFonts w:ascii="Times New Roman" w:hAnsi="Times New Roman" w:cs="Times New Roman"/>
          <w:b/>
          <w:bCs/>
          <w:i/>
          <w:iCs/>
          <w:sz w:val="28"/>
          <w:szCs w:val="28"/>
        </w:rPr>
        <w:t>BMIH6001</w:t>
      </w:r>
    </w:p>
    <w:p w14:paraId="4416EDCD" w14:textId="77777777" w:rsidR="000451DE" w:rsidRPr="000451DE" w:rsidRDefault="000451DE" w:rsidP="000451DE">
      <w:pPr>
        <w:jc w:val="both"/>
        <w:rPr>
          <w:rFonts w:ascii="Times New Roman" w:hAnsi="Times New Roman" w:cs="Times New Roman"/>
          <w:b/>
          <w:bCs/>
          <w:i/>
          <w:iCs/>
          <w:sz w:val="28"/>
          <w:szCs w:val="28"/>
        </w:rPr>
      </w:pPr>
      <w:r w:rsidRPr="000451DE">
        <w:rPr>
          <w:rFonts w:ascii="Times New Roman" w:hAnsi="Times New Roman" w:cs="Times New Roman"/>
          <w:b/>
          <w:bCs/>
          <w:i/>
          <w:iCs/>
          <w:sz w:val="28"/>
          <w:szCs w:val="28"/>
        </w:rPr>
        <w:t xml:space="preserve">Conference Research Paper  </w:t>
      </w:r>
    </w:p>
    <w:p w14:paraId="472A8759" w14:textId="77777777" w:rsidR="000451DE" w:rsidRPr="000451DE" w:rsidRDefault="000451DE" w:rsidP="000451DE">
      <w:pPr>
        <w:jc w:val="both"/>
        <w:rPr>
          <w:rFonts w:ascii="Times New Roman" w:hAnsi="Times New Roman" w:cs="Times New Roman"/>
          <w:sz w:val="24"/>
          <w:szCs w:val="24"/>
        </w:rPr>
      </w:pPr>
    </w:p>
    <w:p w14:paraId="5683901F" w14:textId="77777777" w:rsidR="000451DE" w:rsidRPr="000451DE" w:rsidRDefault="000451DE" w:rsidP="000451DE">
      <w:pPr>
        <w:jc w:val="both"/>
        <w:rPr>
          <w:rFonts w:ascii="Times New Roman" w:hAnsi="Times New Roman" w:cs="Times New Roman"/>
          <w:sz w:val="24"/>
          <w:szCs w:val="24"/>
        </w:rPr>
      </w:pPr>
    </w:p>
    <w:p w14:paraId="074C70D9" w14:textId="77777777" w:rsidR="000451DE" w:rsidRPr="000451DE" w:rsidRDefault="000451DE" w:rsidP="000451DE">
      <w:pPr>
        <w:jc w:val="both"/>
        <w:rPr>
          <w:rFonts w:ascii="Times New Roman" w:hAnsi="Times New Roman" w:cs="Times New Roman"/>
          <w:sz w:val="24"/>
          <w:szCs w:val="24"/>
        </w:rPr>
      </w:pPr>
    </w:p>
    <w:p w14:paraId="68174C90" w14:textId="77777777" w:rsidR="000451DE" w:rsidRPr="000451DE" w:rsidRDefault="000451DE" w:rsidP="000451DE">
      <w:pPr>
        <w:jc w:val="both"/>
        <w:rPr>
          <w:rFonts w:ascii="Times New Roman" w:hAnsi="Times New Roman" w:cs="Times New Roman"/>
          <w:sz w:val="24"/>
          <w:szCs w:val="24"/>
        </w:rPr>
      </w:pPr>
    </w:p>
    <w:p w14:paraId="7F10DA6C" w14:textId="5489BA69" w:rsidR="000451DE" w:rsidRPr="000451DE" w:rsidRDefault="000451DE" w:rsidP="000451DE">
      <w:pPr>
        <w:jc w:val="both"/>
        <w:rPr>
          <w:rFonts w:ascii="Times New Roman" w:hAnsi="Times New Roman" w:cs="Times New Roman"/>
          <w:sz w:val="24"/>
          <w:szCs w:val="24"/>
        </w:rPr>
      </w:pPr>
      <w:r w:rsidRPr="000451DE">
        <w:rPr>
          <w:rFonts w:ascii="Times New Roman" w:hAnsi="Times New Roman" w:cs="Times New Roman"/>
          <w:sz w:val="24"/>
          <w:szCs w:val="24"/>
        </w:rPr>
        <w:t>Student id:</w:t>
      </w:r>
      <w:r w:rsidR="001D183C" w:rsidRPr="001D183C">
        <w:t xml:space="preserve"> </w:t>
      </w:r>
      <w:r w:rsidR="001D183C" w:rsidRPr="001D183C">
        <w:rPr>
          <w:rFonts w:ascii="Times New Roman" w:hAnsi="Times New Roman" w:cs="Times New Roman"/>
          <w:sz w:val="24"/>
          <w:szCs w:val="24"/>
        </w:rPr>
        <w:t>2215953</w:t>
      </w:r>
    </w:p>
    <w:p w14:paraId="36A530F1" w14:textId="2FB1B8DC" w:rsidR="000451DE" w:rsidRPr="000451DE" w:rsidRDefault="000451DE" w:rsidP="000451DE">
      <w:pPr>
        <w:jc w:val="both"/>
        <w:rPr>
          <w:rFonts w:ascii="Times New Roman" w:hAnsi="Times New Roman" w:cs="Times New Roman"/>
          <w:sz w:val="24"/>
          <w:szCs w:val="24"/>
        </w:rPr>
      </w:pPr>
      <w:r w:rsidRPr="000451DE">
        <w:rPr>
          <w:rFonts w:ascii="Times New Roman" w:hAnsi="Times New Roman" w:cs="Times New Roman"/>
          <w:sz w:val="24"/>
          <w:szCs w:val="24"/>
        </w:rPr>
        <w:t>Student name:</w:t>
      </w:r>
      <w:r w:rsidR="001D183C" w:rsidRPr="001D183C">
        <w:t xml:space="preserve"> </w:t>
      </w:r>
      <w:r w:rsidR="001D183C" w:rsidRPr="001D183C">
        <w:rPr>
          <w:rFonts w:ascii="Times New Roman" w:hAnsi="Times New Roman" w:cs="Times New Roman"/>
          <w:sz w:val="24"/>
          <w:szCs w:val="24"/>
        </w:rPr>
        <w:t>Traian Cristian Roibulescu</w:t>
      </w:r>
    </w:p>
    <w:p w14:paraId="6AA71089" w14:textId="77777777" w:rsidR="000451DE" w:rsidRPr="000451DE" w:rsidRDefault="000451DE" w:rsidP="000451DE">
      <w:pPr>
        <w:jc w:val="both"/>
        <w:rPr>
          <w:rFonts w:ascii="Times New Roman" w:hAnsi="Times New Roman" w:cs="Times New Roman"/>
          <w:sz w:val="24"/>
          <w:szCs w:val="24"/>
        </w:rPr>
      </w:pPr>
    </w:p>
    <w:p w14:paraId="71BF5BA6" w14:textId="77777777" w:rsidR="000451DE" w:rsidRPr="000451DE" w:rsidRDefault="000451DE" w:rsidP="000451DE">
      <w:pPr>
        <w:jc w:val="both"/>
        <w:rPr>
          <w:rFonts w:ascii="Times New Roman" w:hAnsi="Times New Roman" w:cs="Times New Roman"/>
          <w:sz w:val="24"/>
          <w:szCs w:val="24"/>
        </w:rPr>
      </w:pPr>
    </w:p>
    <w:p w14:paraId="0DC48BB0" w14:textId="77777777" w:rsidR="000451DE" w:rsidRPr="000451DE" w:rsidRDefault="000451DE" w:rsidP="000451DE">
      <w:pPr>
        <w:jc w:val="both"/>
        <w:rPr>
          <w:rFonts w:ascii="Times New Roman" w:hAnsi="Times New Roman" w:cs="Times New Roman"/>
          <w:sz w:val="24"/>
          <w:szCs w:val="24"/>
        </w:rPr>
      </w:pPr>
    </w:p>
    <w:p w14:paraId="41C43DB6" w14:textId="73E0043E" w:rsidR="000451DE" w:rsidRPr="000451DE" w:rsidRDefault="000451DE" w:rsidP="000451DE">
      <w:pPr>
        <w:tabs>
          <w:tab w:val="left" w:pos="2440"/>
        </w:tabs>
        <w:jc w:val="both"/>
        <w:rPr>
          <w:rFonts w:ascii="Times New Roman" w:hAnsi="Times New Roman" w:cs="Times New Roman"/>
          <w:sz w:val="24"/>
          <w:szCs w:val="24"/>
        </w:rPr>
      </w:pPr>
      <w:r w:rsidRPr="000451DE">
        <w:rPr>
          <w:rFonts w:ascii="Times New Roman" w:hAnsi="Times New Roman" w:cs="Times New Roman"/>
          <w:sz w:val="24"/>
          <w:szCs w:val="24"/>
        </w:rPr>
        <w:t>I confirm that I have not presented any AI generated text as my own work. I confirm I</w:t>
      </w:r>
    </w:p>
    <w:p w14:paraId="20803B3F" w14:textId="77777777" w:rsidR="000451DE" w:rsidRPr="000451DE" w:rsidRDefault="000451DE" w:rsidP="000451DE">
      <w:pPr>
        <w:tabs>
          <w:tab w:val="left" w:pos="2440"/>
        </w:tabs>
        <w:jc w:val="both"/>
        <w:rPr>
          <w:rFonts w:ascii="Times New Roman" w:hAnsi="Times New Roman" w:cs="Times New Roman"/>
          <w:sz w:val="24"/>
          <w:szCs w:val="24"/>
        </w:rPr>
      </w:pPr>
      <w:r w:rsidRPr="000451DE">
        <w:rPr>
          <w:rFonts w:ascii="Times New Roman" w:hAnsi="Times New Roman" w:cs="Times New Roman"/>
          <w:sz w:val="24"/>
          <w:szCs w:val="24"/>
        </w:rPr>
        <w:t>have copies of my drafts, notes, and other resources I used before, and after the use of</w:t>
      </w:r>
    </w:p>
    <w:p w14:paraId="66D0FE7E" w14:textId="726DA857" w:rsidR="000451DE" w:rsidRDefault="000451DE" w:rsidP="000451DE">
      <w:pPr>
        <w:tabs>
          <w:tab w:val="left" w:pos="2440"/>
        </w:tabs>
        <w:jc w:val="both"/>
        <w:rPr>
          <w:rFonts w:ascii="Times New Roman" w:hAnsi="Times New Roman" w:cs="Times New Roman"/>
          <w:sz w:val="24"/>
          <w:szCs w:val="24"/>
        </w:rPr>
      </w:pPr>
      <w:r w:rsidRPr="000451DE">
        <w:rPr>
          <w:rFonts w:ascii="Times New Roman" w:hAnsi="Times New Roman" w:cs="Times New Roman"/>
          <w:sz w:val="24"/>
          <w:szCs w:val="24"/>
        </w:rPr>
        <w:t>AI tools which I may be asked to provide in evidence.</w:t>
      </w:r>
    </w:p>
    <w:p w14:paraId="145B2587" w14:textId="77777777" w:rsidR="000451DE" w:rsidRDefault="000451DE" w:rsidP="000451DE">
      <w:pPr>
        <w:tabs>
          <w:tab w:val="left" w:pos="2440"/>
        </w:tabs>
        <w:jc w:val="both"/>
        <w:rPr>
          <w:rFonts w:ascii="Times New Roman" w:hAnsi="Times New Roman" w:cs="Times New Roman"/>
          <w:sz w:val="24"/>
          <w:szCs w:val="24"/>
        </w:rPr>
      </w:pPr>
    </w:p>
    <w:p w14:paraId="3CBEE6CC" w14:textId="77777777" w:rsidR="000451DE" w:rsidRDefault="000451DE" w:rsidP="000451DE">
      <w:pPr>
        <w:tabs>
          <w:tab w:val="left" w:pos="2440"/>
        </w:tabs>
        <w:jc w:val="both"/>
        <w:rPr>
          <w:rFonts w:ascii="Times New Roman" w:hAnsi="Times New Roman" w:cs="Times New Roman"/>
          <w:sz w:val="24"/>
          <w:szCs w:val="24"/>
        </w:rPr>
      </w:pPr>
    </w:p>
    <w:p w14:paraId="25114D67" w14:textId="77777777" w:rsidR="000451DE" w:rsidRDefault="000451DE" w:rsidP="000451DE">
      <w:pPr>
        <w:tabs>
          <w:tab w:val="left" w:pos="2440"/>
        </w:tabs>
        <w:jc w:val="both"/>
        <w:rPr>
          <w:rFonts w:ascii="Times New Roman" w:hAnsi="Times New Roman" w:cs="Times New Roman"/>
          <w:sz w:val="24"/>
          <w:szCs w:val="24"/>
        </w:rPr>
      </w:pPr>
    </w:p>
    <w:p w14:paraId="78741FBD" w14:textId="77777777" w:rsidR="000451DE" w:rsidRDefault="000451DE" w:rsidP="000451DE">
      <w:pPr>
        <w:tabs>
          <w:tab w:val="left" w:pos="2440"/>
        </w:tabs>
        <w:jc w:val="both"/>
        <w:rPr>
          <w:rFonts w:ascii="Times New Roman" w:hAnsi="Times New Roman" w:cs="Times New Roman"/>
          <w:sz w:val="24"/>
          <w:szCs w:val="24"/>
        </w:rPr>
      </w:pPr>
    </w:p>
    <w:p w14:paraId="08134C24" w14:textId="77777777" w:rsidR="000451DE" w:rsidRDefault="000451DE" w:rsidP="000451DE">
      <w:pPr>
        <w:tabs>
          <w:tab w:val="left" w:pos="2440"/>
        </w:tabs>
        <w:jc w:val="both"/>
        <w:rPr>
          <w:rFonts w:ascii="Times New Roman" w:hAnsi="Times New Roman" w:cs="Times New Roman"/>
          <w:sz w:val="24"/>
          <w:szCs w:val="24"/>
        </w:rPr>
      </w:pPr>
    </w:p>
    <w:p w14:paraId="69652A51" w14:textId="77777777" w:rsidR="000451DE" w:rsidRDefault="000451DE" w:rsidP="000451DE">
      <w:pPr>
        <w:tabs>
          <w:tab w:val="left" w:pos="2440"/>
        </w:tabs>
        <w:jc w:val="both"/>
        <w:rPr>
          <w:rFonts w:ascii="Times New Roman" w:hAnsi="Times New Roman" w:cs="Times New Roman"/>
          <w:sz w:val="24"/>
          <w:szCs w:val="24"/>
        </w:rPr>
      </w:pPr>
    </w:p>
    <w:p w14:paraId="73FA0DE4" w14:textId="77777777" w:rsidR="000451DE" w:rsidRDefault="000451DE" w:rsidP="000451DE">
      <w:pPr>
        <w:tabs>
          <w:tab w:val="left" w:pos="2440"/>
        </w:tabs>
        <w:jc w:val="both"/>
        <w:rPr>
          <w:rFonts w:ascii="Times New Roman" w:hAnsi="Times New Roman" w:cs="Times New Roman"/>
          <w:sz w:val="24"/>
          <w:szCs w:val="24"/>
        </w:rPr>
      </w:pPr>
    </w:p>
    <w:p w14:paraId="58F2FF10" w14:textId="77777777" w:rsidR="000451DE" w:rsidRDefault="000451DE" w:rsidP="000451DE">
      <w:pPr>
        <w:tabs>
          <w:tab w:val="left" w:pos="2440"/>
        </w:tabs>
        <w:jc w:val="both"/>
        <w:rPr>
          <w:rFonts w:ascii="Times New Roman" w:hAnsi="Times New Roman" w:cs="Times New Roman"/>
          <w:sz w:val="24"/>
          <w:szCs w:val="24"/>
        </w:rPr>
      </w:pPr>
    </w:p>
    <w:p w14:paraId="34A0699A" w14:textId="77777777" w:rsidR="000451DE" w:rsidRDefault="000451DE" w:rsidP="000451DE">
      <w:pPr>
        <w:tabs>
          <w:tab w:val="left" w:pos="2440"/>
        </w:tabs>
        <w:jc w:val="both"/>
        <w:rPr>
          <w:rFonts w:ascii="Times New Roman" w:hAnsi="Times New Roman" w:cs="Times New Roman"/>
          <w:sz w:val="24"/>
          <w:szCs w:val="24"/>
        </w:rPr>
      </w:pPr>
    </w:p>
    <w:p w14:paraId="63BDB09A" w14:textId="77777777" w:rsidR="000451DE" w:rsidRDefault="000451DE" w:rsidP="000451DE">
      <w:pPr>
        <w:tabs>
          <w:tab w:val="left" w:pos="2440"/>
        </w:tabs>
        <w:jc w:val="both"/>
        <w:rPr>
          <w:rFonts w:ascii="Times New Roman" w:hAnsi="Times New Roman" w:cs="Times New Roman"/>
          <w:sz w:val="24"/>
          <w:szCs w:val="24"/>
        </w:rPr>
      </w:pPr>
    </w:p>
    <w:p w14:paraId="7AC61157" w14:textId="77777777" w:rsidR="000451DE" w:rsidRDefault="000451DE" w:rsidP="000451DE">
      <w:pPr>
        <w:tabs>
          <w:tab w:val="left" w:pos="2440"/>
        </w:tabs>
        <w:jc w:val="both"/>
        <w:rPr>
          <w:rFonts w:ascii="Times New Roman" w:hAnsi="Times New Roman" w:cs="Times New Roman"/>
          <w:sz w:val="24"/>
          <w:szCs w:val="24"/>
        </w:rPr>
      </w:pPr>
    </w:p>
    <w:p w14:paraId="1D05179C" w14:textId="77777777" w:rsidR="000451DE" w:rsidRDefault="000451DE" w:rsidP="000451DE">
      <w:pPr>
        <w:tabs>
          <w:tab w:val="left" w:pos="2440"/>
        </w:tabs>
        <w:jc w:val="both"/>
        <w:rPr>
          <w:rFonts w:ascii="Times New Roman" w:hAnsi="Times New Roman" w:cs="Times New Roman"/>
          <w:sz w:val="24"/>
          <w:szCs w:val="24"/>
        </w:rPr>
      </w:pPr>
    </w:p>
    <w:p w14:paraId="05E37932" w14:textId="77777777" w:rsidR="000451DE" w:rsidRDefault="000451DE" w:rsidP="000451DE">
      <w:pPr>
        <w:tabs>
          <w:tab w:val="left" w:pos="2440"/>
        </w:tabs>
        <w:jc w:val="both"/>
        <w:rPr>
          <w:rFonts w:ascii="Times New Roman" w:hAnsi="Times New Roman" w:cs="Times New Roman"/>
          <w:sz w:val="24"/>
          <w:szCs w:val="24"/>
        </w:rPr>
      </w:pPr>
    </w:p>
    <w:p w14:paraId="49178316" w14:textId="77777777" w:rsidR="000451DE" w:rsidRDefault="000451DE" w:rsidP="000451DE">
      <w:pPr>
        <w:tabs>
          <w:tab w:val="left" w:pos="2440"/>
        </w:tabs>
        <w:jc w:val="both"/>
        <w:rPr>
          <w:rFonts w:ascii="Times New Roman" w:hAnsi="Times New Roman" w:cs="Times New Roman"/>
          <w:sz w:val="24"/>
          <w:szCs w:val="24"/>
        </w:rPr>
      </w:pPr>
    </w:p>
    <w:p w14:paraId="4F2E5D27" w14:textId="77777777" w:rsidR="000451DE" w:rsidRDefault="000451DE" w:rsidP="000451DE">
      <w:pPr>
        <w:tabs>
          <w:tab w:val="left" w:pos="2440"/>
        </w:tabs>
        <w:jc w:val="both"/>
        <w:rPr>
          <w:rFonts w:ascii="Times New Roman" w:hAnsi="Times New Roman" w:cs="Times New Roman"/>
          <w:sz w:val="24"/>
          <w:szCs w:val="24"/>
        </w:rPr>
      </w:pPr>
    </w:p>
    <w:p w14:paraId="309AAA9B" w14:textId="73CD6583" w:rsidR="000451DE" w:rsidRPr="001D183C" w:rsidRDefault="000451DE" w:rsidP="001D183C">
      <w:pPr>
        <w:tabs>
          <w:tab w:val="left" w:pos="2440"/>
        </w:tabs>
        <w:spacing w:line="360" w:lineRule="auto"/>
        <w:jc w:val="both"/>
        <w:rPr>
          <w:rFonts w:ascii="Times New Roman" w:hAnsi="Times New Roman" w:cs="Times New Roman"/>
          <w:b/>
          <w:bCs/>
          <w:sz w:val="24"/>
          <w:szCs w:val="24"/>
        </w:rPr>
      </w:pPr>
      <w:r w:rsidRPr="001D183C">
        <w:rPr>
          <w:rFonts w:ascii="Times New Roman" w:hAnsi="Times New Roman" w:cs="Times New Roman"/>
          <w:b/>
          <w:bCs/>
          <w:sz w:val="24"/>
          <w:szCs w:val="24"/>
        </w:rPr>
        <w:lastRenderedPageBreak/>
        <w:t>Abstract</w:t>
      </w:r>
    </w:p>
    <w:p w14:paraId="41C3F0D4" w14:textId="245823B5" w:rsidR="000451DE" w:rsidRPr="001D183C" w:rsidRDefault="0059761E" w:rsidP="001D183C">
      <w:pPr>
        <w:tabs>
          <w:tab w:val="left" w:pos="2440"/>
        </w:tabs>
        <w:spacing w:line="360" w:lineRule="auto"/>
        <w:jc w:val="both"/>
        <w:rPr>
          <w:rFonts w:ascii="Times New Roman" w:hAnsi="Times New Roman" w:cs="Times New Roman"/>
          <w:sz w:val="24"/>
          <w:szCs w:val="24"/>
        </w:rPr>
      </w:pPr>
      <w:r w:rsidRPr="001D183C">
        <w:rPr>
          <w:rFonts w:ascii="Times New Roman" w:hAnsi="Times New Roman" w:cs="Times New Roman"/>
          <w:sz w:val="24"/>
          <w:szCs w:val="24"/>
        </w:rPr>
        <w:t>The circular economy approach of food waste composting is examined in this article within the UK hotel and hospitality market. It looks at how different kinds of hotels—urban chains, rural lodges, seaside resorts—can turn inevitable kitchen trash into useful resources, therefore lowering environmental effects and disposal costs. Combining qualitative content analysis of peer-reviewed literature and policy papers with quantitative study of national food waste figures and industry cost reports using a secondary-data technique Emphasising its function in completing material loops and forward United Nations Sustainable Development Goal 12.3, the paper places composting within circular economy theory and sustainability frameworks. Results show that while composting clearly improves the environment and economy, its acceptance is limited by geographical, financial, legal, and cultural constraints. Through in-vessel composters, larger resorts with capacity and resources achieve the greatest diversion rates; urban and smaller hotels depend on outside services or restricted on-site alternatives. The study presents these many strategies, analyses stakeholder involvement and operational difficulties from a critical standpoint, and suggests a set of future directions. These include focused waste audits, context-appropriate technology, thorough staff training, community alliances, and supporting legislative changes. The research comes to the conclusion that the hotel sector cannot attain complete circularity and long-term sustainability without include composting into a larger waste hierarchy and prevention plan.</w:t>
      </w:r>
    </w:p>
    <w:p w14:paraId="1169C0C1"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2467C3C1"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58EB9B3E"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271C9817"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13DF5041"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711DCD1C"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3E54F85A"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0E6B04C9"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232DBAD2"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344BC646"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24E31156"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0895DB22"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40A00C04" w14:textId="77777777" w:rsidR="009B6397" w:rsidRPr="001D183C" w:rsidRDefault="009B6397" w:rsidP="001D183C">
      <w:pPr>
        <w:tabs>
          <w:tab w:val="left" w:pos="2440"/>
        </w:tabs>
        <w:spacing w:line="360" w:lineRule="auto"/>
        <w:jc w:val="both"/>
        <w:rPr>
          <w:rFonts w:ascii="Times New Roman" w:hAnsi="Times New Roman" w:cs="Times New Roman"/>
          <w:sz w:val="24"/>
          <w:szCs w:val="24"/>
        </w:rPr>
      </w:pPr>
    </w:p>
    <w:p w14:paraId="3231F0E7" w14:textId="425E8940" w:rsidR="009B6397" w:rsidRPr="001D183C" w:rsidRDefault="009B6397" w:rsidP="001D183C">
      <w:pPr>
        <w:pStyle w:val="EU"/>
        <w:spacing w:line="360" w:lineRule="auto"/>
        <w:rPr>
          <w:rFonts w:ascii="Times New Roman" w:hAnsi="Times New Roman" w:cs="Times New Roman"/>
          <w:color w:val="auto"/>
        </w:rPr>
      </w:pPr>
      <w:r w:rsidRPr="001D183C">
        <w:rPr>
          <w:rFonts w:ascii="Times New Roman" w:hAnsi="Times New Roman" w:cs="Times New Roman"/>
          <w:color w:val="auto"/>
        </w:rPr>
        <w:t>Introduction</w:t>
      </w:r>
    </w:p>
    <w:p w14:paraId="7DE37C1B" w14:textId="00F56A17" w:rsidR="009B6397" w:rsidRPr="001D183C" w:rsidRDefault="009B6397" w:rsidP="001D183C">
      <w:pPr>
        <w:tabs>
          <w:tab w:val="left" w:pos="2440"/>
        </w:tabs>
        <w:spacing w:line="360" w:lineRule="auto"/>
        <w:jc w:val="both"/>
        <w:rPr>
          <w:rFonts w:ascii="Times New Roman" w:hAnsi="Times New Roman" w:cs="Times New Roman"/>
          <w:sz w:val="24"/>
          <w:szCs w:val="24"/>
        </w:rPr>
      </w:pPr>
      <w:r w:rsidRPr="001D183C">
        <w:rPr>
          <w:rFonts w:ascii="Times New Roman" w:hAnsi="Times New Roman" w:cs="Times New Roman"/>
          <w:sz w:val="24"/>
          <w:szCs w:val="24"/>
        </w:rPr>
        <w:t xml:space="preserve">One urgent environmental issue for the hotel industry is food waste. One-third or so of all food produced worldwide is wasted, and a large portion of this garbage comes from the hotel sector. </w:t>
      </w:r>
      <w:r w:rsidRPr="001D183C">
        <w:rPr>
          <w:rFonts w:ascii="Times New Roman" w:hAnsi="Times New Roman" w:cs="Times New Roman"/>
          <w:sz w:val="24"/>
          <w:szCs w:val="24"/>
        </w:rPr>
        <w:t>H</w:t>
      </w:r>
      <w:r w:rsidRPr="001D183C">
        <w:rPr>
          <w:rFonts w:ascii="Times New Roman" w:hAnsi="Times New Roman" w:cs="Times New Roman"/>
          <w:sz w:val="24"/>
          <w:szCs w:val="24"/>
        </w:rPr>
        <w:t>otels alone generate in the UK on the order of 10^5 tonnes of food waste yearly.</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Each year costing the industry hundreds of millions of pounds. Such waste not only reflects lost economic value but also causes environmental damage via greenhouse gas emissions (e.g., methane from a landfill) and squanders resources utilised in food manufacture</w:t>
      </w:r>
      <w:r w:rsidR="0059761E" w:rsidRPr="001D183C">
        <w:rPr>
          <w:rFonts w:ascii="Times New Roman" w:hAnsi="Times New Roman" w:cs="Times New Roman"/>
          <w:sz w:val="24"/>
          <w:szCs w:val="24"/>
        </w:rPr>
        <w:t xml:space="preserve"> (WRAP, 2022)</w:t>
      </w:r>
      <w:r w:rsidRPr="001D183C">
        <w:rPr>
          <w:rFonts w:ascii="Times New Roman" w:hAnsi="Times New Roman" w:cs="Times New Roman"/>
          <w:sz w:val="24"/>
          <w:szCs w:val="24"/>
        </w:rPr>
        <w:t xml:space="preserve">. Rather of adhering to a "take–make–dispose" paradigm, companies loop materials via reuse, recycling, or regeneration, therefore providing a framework to envision waste as a resource. The idea of a circular economy </w:t>
      </w:r>
      <w:r w:rsidRPr="001D183C">
        <w:rPr>
          <w:rFonts w:ascii="Times New Roman" w:hAnsi="Times New Roman" w:cs="Times New Roman"/>
          <w:sz w:val="24"/>
          <w:szCs w:val="24"/>
        </w:rPr>
        <w:t>is</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a</w:t>
      </w:r>
      <w:r w:rsidRPr="001D183C">
        <w:rPr>
          <w:rFonts w:ascii="Times New Roman" w:hAnsi="Times New Roman" w:cs="Times New Roman"/>
          <w:sz w:val="24"/>
          <w:szCs w:val="24"/>
        </w:rPr>
        <w:t xml:space="preserve"> system is "regenerative," under CE theory, in which "slowing, closing, and narrowing material and energy loops" minimises resource input and </w:t>
      </w:r>
      <w:r w:rsidR="0059761E" w:rsidRPr="001D183C">
        <w:rPr>
          <w:rFonts w:ascii="Times New Roman" w:hAnsi="Times New Roman" w:cs="Times New Roman"/>
          <w:sz w:val="24"/>
          <w:szCs w:val="24"/>
        </w:rPr>
        <w:t>waste (</w:t>
      </w:r>
      <w:r w:rsidR="0059761E" w:rsidRPr="001D183C">
        <w:rPr>
          <w:rFonts w:ascii="Times New Roman" w:hAnsi="Times New Roman" w:cs="Times New Roman"/>
          <w:sz w:val="24"/>
          <w:szCs w:val="24"/>
        </w:rPr>
        <w:t>Sillanpää, and Ncibi, 2019</w:t>
      </w:r>
      <w:r w:rsidR="0059761E" w:rsidRPr="001D183C">
        <w:rPr>
          <w:rFonts w:ascii="Times New Roman" w:hAnsi="Times New Roman" w:cs="Times New Roman"/>
          <w:sz w:val="24"/>
          <w:szCs w:val="24"/>
        </w:rPr>
        <w:t>).</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Applying this to food, instead of being landfilled organic waste may be converted into biogas or compost. Targets (e.g., SDG 12.3 to halve food waste by 2030) established by the UK government and international entities support the need of such circular activities. Hotel companies have special possibilities and problems in CE. Not surprisingly for national economies, tourism and hospitality account for around 7–8% of the global GDP.</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But also with trash and pollutants. From cooking and dining, hotels and resorts generate garbage constantly from resource-intensive activities. In this sense, achieving circularity entails recovering waste streams and restructuring processes (menus, buying, service)</w:t>
      </w:r>
      <w:r w:rsidR="0059761E" w:rsidRPr="001D183C">
        <w:rPr>
          <w:rFonts w:ascii="Times New Roman" w:hAnsi="Times New Roman" w:cs="Times New Roman"/>
          <w:sz w:val="24"/>
          <w:szCs w:val="24"/>
        </w:rPr>
        <w:t xml:space="preserve"> (</w:t>
      </w:r>
      <w:r w:rsidR="0059761E" w:rsidRPr="001D183C">
        <w:rPr>
          <w:rFonts w:ascii="Times New Roman" w:hAnsi="Times New Roman" w:cs="Times New Roman"/>
          <w:sz w:val="24"/>
          <w:szCs w:val="24"/>
        </w:rPr>
        <w:t>Priestley, 2016)</w:t>
      </w:r>
      <w:r w:rsidR="0059761E" w:rsidRPr="001D183C">
        <w:rPr>
          <w:rFonts w:ascii="Times New Roman" w:hAnsi="Times New Roman" w:cs="Times New Roman"/>
          <w:sz w:val="24"/>
          <w:szCs w:val="24"/>
        </w:rPr>
        <w:t xml:space="preserve">. </w:t>
      </w:r>
      <w:r w:rsidRPr="001D183C">
        <w:rPr>
          <w:rFonts w:ascii="Times New Roman" w:hAnsi="Times New Roman" w:cs="Times New Roman"/>
          <w:sz w:val="24"/>
          <w:szCs w:val="24"/>
        </w:rPr>
        <w:t>One important approach is food waste composting: hotels may save disposal costs and stop material loops by guiding inevitable kitchen trash towards nutrient recovery. Food waste composting in the UK hotel industry is investigated in this work using a circular economy perspective. This whole study seeks to show how waste–as-resource strategies (particularly composting) could improve hotel sustainability.</w:t>
      </w:r>
    </w:p>
    <w:p w14:paraId="7FF69D19" w14:textId="6055F1A5" w:rsidR="0059761E" w:rsidRPr="001D183C" w:rsidRDefault="0059761E" w:rsidP="001D183C">
      <w:pPr>
        <w:tabs>
          <w:tab w:val="left" w:pos="2440"/>
        </w:tabs>
        <w:spacing w:line="360" w:lineRule="auto"/>
        <w:jc w:val="both"/>
        <w:rPr>
          <w:rFonts w:ascii="Times New Roman" w:hAnsi="Times New Roman" w:cs="Times New Roman"/>
          <w:sz w:val="24"/>
          <w:szCs w:val="24"/>
        </w:rPr>
      </w:pPr>
      <w:r w:rsidRPr="001D183C">
        <w:rPr>
          <w:rFonts w:ascii="Times New Roman" w:hAnsi="Times New Roman" w:cs="Times New Roman"/>
          <w:sz w:val="24"/>
          <w:szCs w:val="24"/>
        </w:rPr>
        <w:drawing>
          <wp:inline distT="0" distB="0" distL="0" distR="0" wp14:anchorId="5C243B01" wp14:editId="2FECDD13">
            <wp:extent cx="5731510" cy="3279775"/>
            <wp:effectExtent l="0" t="0" r="2540" b="0"/>
            <wp:docPr id="10966015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601542" name=""/>
                    <pic:cNvPicPr/>
                  </pic:nvPicPr>
                  <pic:blipFill>
                    <a:blip r:embed="rId6"/>
                    <a:stretch>
                      <a:fillRect/>
                    </a:stretch>
                  </pic:blipFill>
                  <pic:spPr>
                    <a:xfrm>
                      <a:off x="0" y="0"/>
                      <a:ext cx="5731510" cy="3279775"/>
                    </a:xfrm>
                    <a:prstGeom prst="rect">
                      <a:avLst/>
                    </a:prstGeom>
                  </pic:spPr>
                </pic:pic>
              </a:graphicData>
            </a:graphic>
          </wp:inline>
        </w:drawing>
      </w:r>
    </w:p>
    <w:p w14:paraId="25D62BEF" w14:textId="23C43F51" w:rsidR="0059761E" w:rsidRPr="001D183C" w:rsidRDefault="0059761E" w:rsidP="001D183C">
      <w:pPr>
        <w:tabs>
          <w:tab w:val="left" w:pos="2440"/>
        </w:tabs>
        <w:spacing w:line="360" w:lineRule="auto"/>
        <w:jc w:val="both"/>
        <w:rPr>
          <w:rFonts w:ascii="Times New Roman" w:hAnsi="Times New Roman" w:cs="Times New Roman"/>
          <w:sz w:val="24"/>
          <w:szCs w:val="24"/>
        </w:rPr>
      </w:pPr>
      <w:r w:rsidRPr="001D183C">
        <w:rPr>
          <w:rFonts w:ascii="Times New Roman" w:hAnsi="Times New Roman" w:cs="Times New Roman"/>
          <w:sz w:val="24"/>
          <w:szCs w:val="24"/>
        </w:rPr>
        <w:t xml:space="preserve">Fig 1. </w:t>
      </w:r>
    </w:p>
    <w:p w14:paraId="1B1D116B" w14:textId="1E4B1525" w:rsidR="009B6397" w:rsidRPr="001D183C" w:rsidRDefault="009B6397" w:rsidP="001D183C">
      <w:pPr>
        <w:pStyle w:val="EU"/>
        <w:spacing w:line="360" w:lineRule="auto"/>
        <w:rPr>
          <w:rFonts w:ascii="Times New Roman" w:hAnsi="Times New Roman" w:cs="Times New Roman"/>
          <w:color w:val="auto"/>
        </w:rPr>
      </w:pPr>
      <w:r w:rsidRPr="001D183C">
        <w:rPr>
          <w:rFonts w:ascii="Times New Roman" w:hAnsi="Times New Roman" w:cs="Times New Roman"/>
          <w:color w:val="auto"/>
        </w:rPr>
        <w:t>Literature review</w:t>
      </w:r>
    </w:p>
    <w:p w14:paraId="45320838" w14:textId="77777777" w:rsidR="009B6397" w:rsidRPr="001D183C" w:rsidRDefault="009B6397" w:rsidP="001D183C">
      <w:pPr>
        <w:tabs>
          <w:tab w:val="left" w:pos="2440"/>
        </w:tabs>
        <w:spacing w:line="360" w:lineRule="auto"/>
        <w:jc w:val="both"/>
        <w:rPr>
          <w:rFonts w:ascii="Times New Roman" w:hAnsi="Times New Roman" w:cs="Times New Roman"/>
          <w:b/>
          <w:bCs/>
          <w:sz w:val="24"/>
          <w:szCs w:val="24"/>
        </w:rPr>
      </w:pPr>
      <w:r w:rsidRPr="001D183C">
        <w:rPr>
          <w:rFonts w:ascii="Times New Roman" w:hAnsi="Times New Roman" w:cs="Times New Roman"/>
          <w:b/>
          <w:bCs/>
          <w:sz w:val="24"/>
          <w:szCs w:val="24"/>
        </w:rPr>
        <w:t>Circular Economy and Systems of Sustainability</w:t>
      </w:r>
    </w:p>
    <w:p w14:paraId="2C2003D6" w14:textId="6FFCA051" w:rsidR="009B6397" w:rsidRPr="001D183C" w:rsidRDefault="009B6397" w:rsidP="001D183C">
      <w:pPr>
        <w:tabs>
          <w:tab w:val="left" w:pos="2440"/>
        </w:tabs>
        <w:spacing w:line="360" w:lineRule="auto"/>
        <w:jc w:val="both"/>
        <w:rPr>
          <w:rFonts w:ascii="Times New Roman" w:hAnsi="Times New Roman" w:cs="Times New Roman"/>
          <w:sz w:val="24"/>
          <w:szCs w:val="24"/>
        </w:rPr>
      </w:pPr>
      <w:r w:rsidRPr="001D183C">
        <w:rPr>
          <w:rFonts w:ascii="Times New Roman" w:hAnsi="Times New Roman" w:cs="Times New Roman"/>
          <w:sz w:val="24"/>
          <w:szCs w:val="24"/>
        </w:rPr>
        <w:t>Emphasising reuse and recycling to divorce economic activity from resource consumption, the circular economy (CE) concept has become a key sustainability paradigm.</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Though definitions differ, a commonly used one characterises CE as a system wherein waste/emissions are "minimised by slowing, closing, and narrowing material and energy loops."</w:t>
      </w:r>
      <w:r w:rsidR="0059761E" w:rsidRPr="001D183C">
        <w:rPr>
          <w:rFonts w:ascii="Times New Roman" w:hAnsi="Times New Roman" w:cs="Times New Roman"/>
          <w:sz w:val="24"/>
          <w:szCs w:val="24"/>
        </w:rPr>
        <w:t xml:space="preserve"> (</w:t>
      </w:r>
      <w:r w:rsidR="0059761E" w:rsidRPr="001D183C">
        <w:rPr>
          <w:rFonts w:ascii="Times New Roman" w:hAnsi="Times New Roman" w:cs="Times New Roman"/>
          <w:sz w:val="24"/>
          <w:szCs w:val="24"/>
        </w:rPr>
        <w:t>Bittner, Bakker, and Long, 2024</w:t>
      </w:r>
      <w:r w:rsidR="0059761E" w:rsidRPr="001D183C">
        <w:rPr>
          <w:rFonts w:ascii="Times New Roman" w:hAnsi="Times New Roman" w:cs="Times New Roman"/>
          <w:sz w:val="24"/>
          <w:szCs w:val="24"/>
        </w:rPr>
        <w:t>).</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CE techniques are generally summed up in practice by the "R-ladder" of recovery actions: reject (prevent waste), reduce, reuse, repair/repurpose, recycle, and recover Regarding food waste, this means preventing surplus (better forecasting), giving extra edible food, and then reusing leftovers (e.g., anaerobic digestion) instead of landfilling. The CE idea intersects with sustainability models as the UN Sustainable Development Goals (SDGs) or the Triple Bottom Line (environmental, social, financial results)</w:t>
      </w:r>
      <w:r w:rsidR="0059761E" w:rsidRPr="001D183C">
        <w:rPr>
          <w:rFonts w:ascii="Times New Roman" w:hAnsi="Times New Roman" w:cs="Times New Roman"/>
          <w:sz w:val="24"/>
          <w:szCs w:val="24"/>
        </w:rPr>
        <w:t xml:space="preserve"> (Juliao et al., 2018). </w:t>
      </w:r>
      <w:r w:rsidRPr="001D183C">
        <w:rPr>
          <w:rFonts w:ascii="Times New Roman" w:hAnsi="Times New Roman" w:cs="Times New Roman"/>
          <w:sz w:val="24"/>
          <w:szCs w:val="24"/>
        </w:rPr>
        <w:t xml:space="preserve">For instance, SDG 12 (responsible consumption) links directly to circular resource usage by asking a 50% decrease in food waste by 2030 (goal 12.3). These models underline in hospitality that while preserving economic viability and social responsibility (e.g., food security via redistribution, ethical supply chains) sustainable food practices should bring environmental advantages (reduced emissions, resource savings). Although manufacturing has always dominated CE research, hospitality has lately attracted interest as a neglected field for circular </w:t>
      </w:r>
      <w:r w:rsidR="00002A7D" w:rsidRPr="001D183C">
        <w:rPr>
          <w:rFonts w:ascii="Times New Roman" w:hAnsi="Times New Roman" w:cs="Times New Roman"/>
          <w:sz w:val="24"/>
          <w:szCs w:val="24"/>
        </w:rPr>
        <w:t xml:space="preserve">innovation (Tura et al., 2019). </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Although hotels have sophisticated service systems, they may implement CE by recycling materials—e.g., refillable amenities—by refurbishing furniture, and most importantly by recovering organic waste. Specifically CE techniques encompassing reduce, reuse, recycle, refurbish, remanufacture, etc. are identified under the 9R framework (Kirchherr et al., 2017). Regarding hotels, refuse/reduce and recycle/compost are particularly important. Research reveals, nonetheless, that many businesses find it difficult to implement CE initiatives because of cultural, commercial, or legal restrictions.</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Particularly in Europe, companies might object to change ingrained in linear models (Kirchherr et al., 2018). Thus, establishing circularity in hospitality calls not just technological solutions (such composting systems) but also organisational transformation (staff training, guest involvement) and supporting legislation (e.g. waste regulation).</w:t>
      </w:r>
    </w:p>
    <w:p w14:paraId="633FEF19" w14:textId="77777777" w:rsidR="009B6397" w:rsidRPr="001D183C" w:rsidRDefault="009B6397" w:rsidP="001D183C">
      <w:pPr>
        <w:tabs>
          <w:tab w:val="left" w:pos="2440"/>
        </w:tabs>
        <w:spacing w:line="360" w:lineRule="auto"/>
        <w:jc w:val="both"/>
        <w:rPr>
          <w:rFonts w:ascii="Times New Roman" w:hAnsi="Times New Roman" w:cs="Times New Roman"/>
          <w:b/>
          <w:bCs/>
          <w:sz w:val="24"/>
          <w:szCs w:val="24"/>
        </w:rPr>
      </w:pPr>
      <w:r w:rsidRPr="001D183C">
        <w:rPr>
          <w:rFonts w:ascii="Times New Roman" w:hAnsi="Times New Roman" w:cs="Times New Roman"/>
          <w:b/>
          <w:bCs/>
          <w:sz w:val="24"/>
          <w:szCs w:val="24"/>
        </w:rPr>
        <w:t>Food Waste for Hospitality: Composting</w:t>
      </w:r>
    </w:p>
    <w:p w14:paraId="611BC7E6" w14:textId="1DCFC4B1" w:rsidR="009B6397" w:rsidRPr="001D183C" w:rsidRDefault="009B6397" w:rsidP="001D183C">
      <w:pPr>
        <w:tabs>
          <w:tab w:val="left" w:pos="2440"/>
        </w:tabs>
        <w:spacing w:line="360" w:lineRule="auto"/>
        <w:jc w:val="both"/>
        <w:rPr>
          <w:rFonts w:ascii="Times New Roman" w:hAnsi="Times New Roman" w:cs="Times New Roman"/>
          <w:sz w:val="24"/>
          <w:szCs w:val="24"/>
        </w:rPr>
      </w:pPr>
      <w:r w:rsidRPr="001D183C">
        <w:rPr>
          <w:rFonts w:ascii="Times New Roman" w:hAnsi="Times New Roman" w:cs="Times New Roman"/>
          <w:sz w:val="24"/>
          <w:szCs w:val="24"/>
        </w:rPr>
        <w:t xml:space="preserve">Empirical study underline how much food waste hotels produce and how little is known about this issue. Waste audits and surveys repeatedly show that hotel kitchens create far more food waste than most managers would be aware of. For instance, UK hotels generate, according to </w:t>
      </w:r>
      <w:r w:rsidR="00002A7D" w:rsidRPr="001D183C">
        <w:rPr>
          <w:rFonts w:ascii="Times New Roman" w:hAnsi="Times New Roman" w:cs="Times New Roman"/>
          <w:sz w:val="24"/>
          <w:szCs w:val="24"/>
        </w:rPr>
        <w:t xml:space="preserve">Chawla, Lugosi and Hawkins, </w:t>
      </w:r>
      <w:r w:rsidR="00002A7D" w:rsidRPr="001D183C">
        <w:rPr>
          <w:rFonts w:ascii="Times New Roman" w:hAnsi="Times New Roman" w:cs="Times New Roman"/>
          <w:sz w:val="24"/>
          <w:szCs w:val="24"/>
        </w:rPr>
        <w:t>(</w:t>
      </w:r>
      <w:r w:rsidR="00002A7D" w:rsidRPr="001D183C">
        <w:rPr>
          <w:rFonts w:ascii="Times New Roman" w:hAnsi="Times New Roman" w:cs="Times New Roman"/>
          <w:sz w:val="24"/>
          <w:szCs w:val="24"/>
        </w:rPr>
        <w:t>2021)</w:t>
      </w:r>
      <w:r w:rsidR="00002A7D" w:rsidRPr="001D183C">
        <w:rPr>
          <w:rFonts w:ascii="Times New Roman" w:hAnsi="Times New Roman" w:cs="Times New Roman"/>
          <w:sz w:val="24"/>
          <w:szCs w:val="24"/>
        </w:rPr>
        <w:t xml:space="preserve">, </w:t>
      </w:r>
      <w:r w:rsidRPr="001D183C">
        <w:rPr>
          <w:rFonts w:ascii="Times New Roman" w:hAnsi="Times New Roman" w:cs="Times New Roman"/>
          <w:sz w:val="24"/>
          <w:szCs w:val="24"/>
        </w:rPr>
        <w:t>79,000 tonnes of food waste annually</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standing for around £320 million in food cost wasted. More generally, the UK hospitality industry—hotels, restaurants, bars—accounts for almost 10% of national food waste—about 1.1 million tonnes yearly.</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Other studies suggest that, with correct management, over 90% of that waste might be prevented or redirected; for example, a UK assessment revealed about 400,000 tonnes of hotel food waste could have been consumed with improved procedures.</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In essence, a lot of hotel food waste is both ecologically important and commercially useless, which adds to the projected 18 MtCO2e greenhouse emissions in UK food waste overall</w:t>
      </w:r>
      <w:r w:rsidR="00002A7D" w:rsidRPr="001D183C">
        <w:rPr>
          <w:rFonts w:ascii="Times New Roman" w:hAnsi="Times New Roman" w:cs="Times New Roman"/>
          <w:sz w:val="24"/>
          <w:szCs w:val="24"/>
        </w:rPr>
        <w:t xml:space="preserve"> </w:t>
      </w:r>
      <w:r w:rsidR="00002A7D" w:rsidRPr="001D183C">
        <w:rPr>
          <w:rFonts w:ascii="Times New Roman" w:hAnsi="Times New Roman" w:cs="Times New Roman"/>
          <w:sz w:val="24"/>
          <w:szCs w:val="24"/>
        </w:rPr>
        <w:t>(Malik et al., 2024)</w:t>
      </w:r>
      <w:r w:rsidRPr="001D183C">
        <w:rPr>
          <w:rFonts w:ascii="Times New Roman" w:hAnsi="Times New Roman" w:cs="Times New Roman"/>
          <w:sz w:val="24"/>
          <w:szCs w:val="24"/>
        </w:rPr>
        <w:t>. This makes hotels a main focus for circular initiatives. Research of hotel food waste find many reasons at several phases. Common problems in the kitchen, behind the home, include overproduction and misordering—poor visitor number or choice prediction. In service, guest plate waste or big portion sizes add. Waste is further exacerbated by things like rigid buying—bulk buying—or poor inter-departmental communication. Studies conducted in European and US hotel environments reveal that drivers of mistakes in inventory, buying, and preparing include those</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 xml:space="preserve">The </w:t>
      </w:r>
      <w:r w:rsidRPr="001D183C">
        <w:rPr>
          <w:rFonts w:ascii="Times New Roman" w:hAnsi="Times New Roman" w:cs="Times New Roman"/>
          <w:sz w:val="24"/>
          <w:szCs w:val="24"/>
        </w:rPr>
        <w:t>a</w:t>
      </w:r>
      <w:r w:rsidRPr="001D183C">
        <w:rPr>
          <w:rFonts w:ascii="Times New Roman" w:hAnsi="Times New Roman" w:cs="Times New Roman"/>
          <w:sz w:val="24"/>
          <w:szCs w:val="24"/>
        </w:rPr>
        <w:t>dditionally important is guest behaviour: hotels providing buffet-style or foreign cuisine can suffer more plate waste because of diversity and lack of knowledge on portioning</w:t>
      </w:r>
      <w:r w:rsidR="00002A7D" w:rsidRPr="001D183C">
        <w:rPr>
          <w:rFonts w:ascii="Times New Roman" w:hAnsi="Times New Roman" w:cs="Times New Roman"/>
          <w:sz w:val="24"/>
          <w:szCs w:val="24"/>
        </w:rPr>
        <w:t xml:space="preserve"> (Amicarelli et al., 2022)</w:t>
      </w:r>
      <w:r w:rsidRPr="001D183C">
        <w:rPr>
          <w:rFonts w:ascii="Times New Roman" w:hAnsi="Times New Roman" w:cs="Times New Roman"/>
          <w:sz w:val="24"/>
          <w:szCs w:val="24"/>
        </w:rPr>
        <w:t>.</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While prevention—planning, menu engineering—is preferable, some waste is inevitable according to the literature. For this leftover garbage, circular approaches like composting become really significant. A kind of organic recycling, composting breaks down food waste to generate soil amendment, therefore returning nutrients to the environment. Turning trash streams back into resources helps one to follow circular ideas</w:t>
      </w:r>
      <w:r w:rsidR="001C35A2" w:rsidRPr="001D183C">
        <w:rPr>
          <w:rFonts w:ascii="Times New Roman" w:hAnsi="Times New Roman" w:cs="Times New Roman"/>
          <w:sz w:val="24"/>
          <w:szCs w:val="24"/>
        </w:rPr>
        <w:t xml:space="preserve"> </w:t>
      </w:r>
      <w:r w:rsidR="001C35A2" w:rsidRPr="001D183C">
        <w:rPr>
          <w:rFonts w:ascii="Times New Roman" w:hAnsi="Times New Roman" w:cs="Times New Roman"/>
          <w:sz w:val="24"/>
          <w:szCs w:val="24"/>
        </w:rPr>
        <w:t>(Ayilara et al., 2020)</w:t>
      </w:r>
      <w:r w:rsidRPr="001D183C">
        <w:rPr>
          <w:rFonts w:ascii="Times New Roman" w:hAnsi="Times New Roman" w:cs="Times New Roman"/>
          <w:sz w:val="24"/>
          <w:szCs w:val="24"/>
        </w:rPr>
        <w:t>. Composting may be done off-site—through collection services feeding municipal compost or biogas facilities—or on-site—e.g., small-scale compost heaps or bioreactors on hotel grounds. One important end-of-life choice that researchers stress is composting: e.g. Potting et al. (2017) and others include in CE strategy models for food composting—sometimes known as "rot," or "recover." Composting ties to waste hierarchy concepts in hotels: when food is reduced and reused, composting is better than landfill or cremation (it also helps to minimise methane emissions). Research from various fields verify that redirecting organic waste to anaerobic digestion or composting greatly lowers disposal costs and emissions.</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The scholarly research, however, reveals shockingly little uptake of composting in the hotel industry</w:t>
      </w:r>
      <w:r w:rsidR="001C35A2" w:rsidRPr="001D183C">
        <w:rPr>
          <w:rFonts w:ascii="Times New Roman" w:hAnsi="Times New Roman" w:cs="Times New Roman"/>
          <w:sz w:val="24"/>
          <w:szCs w:val="24"/>
        </w:rPr>
        <w:t xml:space="preserve"> (Lin et al., 2018).</w:t>
      </w:r>
      <w:r w:rsidRPr="001D183C">
        <w:rPr>
          <w:rFonts w:ascii="Times New Roman" w:hAnsi="Times New Roman" w:cs="Times New Roman"/>
          <w:sz w:val="24"/>
          <w:szCs w:val="24"/>
        </w:rPr>
        <w:t xml:space="preserve"> Lack of room (particularly in urban hotels), thought to be high cost of specialised equipment, and health/safety issues might be some of the causes</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According to one research, UK managers observed that rules restrict feeding animals kitchen garbage, so composting or donating is the only choice left</w:t>
      </w:r>
      <w:r w:rsidR="001C35A2" w:rsidRPr="001D183C">
        <w:rPr>
          <w:rFonts w:ascii="Times New Roman" w:hAnsi="Times New Roman" w:cs="Times New Roman"/>
          <w:sz w:val="24"/>
          <w:szCs w:val="24"/>
        </w:rPr>
        <w:t xml:space="preserve"> </w:t>
      </w:r>
      <w:r w:rsidR="001C35A2" w:rsidRPr="001D183C">
        <w:rPr>
          <w:rFonts w:ascii="Times New Roman" w:hAnsi="Times New Roman" w:cs="Times New Roman"/>
          <w:sz w:val="24"/>
          <w:szCs w:val="24"/>
        </w:rPr>
        <w:t>(GOV.UK, n.d.)</w:t>
      </w:r>
      <w:r w:rsidRPr="001D183C">
        <w:rPr>
          <w:rFonts w:ascii="Times New Roman" w:hAnsi="Times New Roman" w:cs="Times New Roman"/>
          <w:sz w:val="24"/>
          <w:szCs w:val="24"/>
        </w:rPr>
        <w:t>.</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According to Okumus</w:t>
      </w:r>
      <w:r w:rsidR="001C35A2" w:rsidRPr="001D183C">
        <w:rPr>
          <w:rFonts w:ascii="Times New Roman" w:hAnsi="Times New Roman" w:cs="Times New Roman"/>
          <w:sz w:val="24"/>
          <w:szCs w:val="24"/>
        </w:rPr>
        <w:t xml:space="preserve"> et al.,</w:t>
      </w:r>
      <w:r w:rsidRPr="001D183C">
        <w:rPr>
          <w:rFonts w:ascii="Times New Roman" w:hAnsi="Times New Roman" w:cs="Times New Roman"/>
          <w:sz w:val="24"/>
          <w:szCs w:val="24"/>
        </w:rPr>
        <w:t xml:space="preserve"> (2020), hotel managers see composting systems as good for the environment as well as for lowering trash transportation expenses.</w:t>
      </w:r>
      <w:r w:rsidRPr="001D183C">
        <w:rPr>
          <w:rFonts w:ascii="Times New Roman" w:hAnsi="Times New Roman" w:cs="Times New Roman"/>
          <w:sz w:val="24"/>
          <w:szCs w:val="24"/>
        </w:rPr>
        <w:t xml:space="preserve"> </w:t>
      </w:r>
      <w:r w:rsidRPr="001D183C">
        <w:rPr>
          <w:rFonts w:ascii="Times New Roman" w:hAnsi="Times New Roman" w:cs="Times New Roman"/>
          <w:sz w:val="24"/>
          <w:szCs w:val="24"/>
        </w:rPr>
        <w:t>Nonetheless, implementation is still uncommon. This disparity emphasises how, despite the idea of the circular economy pushing exactly such behaviours, waste-as-resource strategies have not entered hospitality. All things considered, studies and data already in publication indicate that hotel food waste is significant but often underappreciated, and composting is a mostly unrealised option. From a theoretical standpoint, composting recovers value from trash, therefore reflecting CE concepts. Practically speaking, the hotel industry runs into obstacles that have so far restricted circular waste processes. The literature emphasises the necessity of greater empirical research on how various kinds of UK hotels handle food waste and possible integration of composting. This work fills in that void by looking at these problems from both qualitative and quantitative angles.</w:t>
      </w:r>
    </w:p>
    <w:p w14:paraId="01D09BA6" w14:textId="48F59008" w:rsidR="009B6397" w:rsidRPr="001D183C" w:rsidRDefault="009B6397" w:rsidP="001D183C">
      <w:pPr>
        <w:pStyle w:val="EU"/>
        <w:spacing w:line="360" w:lineRule="auto"/>
        <w:rPr>
          <w:rFonts w:ascii="Times New Roman" w:hAnsi="Times New Roman" w:cs="Times New Roman"/>
          <w:color w:val="auto"/>
        </w:rPr>
      </w:pPr>
      <w:r w:rsidRPr="001D183C">
        <w:rPr>
          <w:rFonts w:ascii="Times New Roman" w:hAnsi="Times New Roman" w:cs="Times New Roman"/>
          <w:color w:val="auto"/>
        </w:rPr>
        <w:t>Methodology</w:t>
      </w:r>
    </w:p>
    <w:p w14:paraId="4A52ADBE" w14:textId="0AADB9DF" w:rsidR="009B6397" w:rsidRPr="001D183C" w:rsidRDefault="00E97D3A" w:rsidP="001D183C">
      <w:pPr>
        <w:tabs>
          <w:tab w:val="left" w:pos="2440"/>
        </w:tabs>
        <w:spacing w:line="360" w:lineRule="auto"/>
        <w:jc w:val="both"/>
        <w:rPr>
          <w:rFonts w:ascii="Times New Roman" w:hAnsi="Times New Roman" w:cs="Times New Roman"/>
          <w:sz w:val="24"/>
          <w:szCs w:val="24"/>
        </w:rPr>
      </w:pPr>
      <w:r w:rsidRPr="001D183C">
        <w:rPr>
          <w:rFonts w:ascii="Times New Roman" w:hAnsi="Times New Roman" w:cs="Times New Roman"/>
          <w:sz w:val="24"/>
          <w:szCs w:val="24"/>
        </w:rPr>
        <w:t>This research used a secondary‐data approach combining quantitative and qualitative analysis. Published statistics, reports, and scholarly studies—secondary data—that have been gathered from outside sources for uses other than the present research</w:t>
      </w:r>
      <w:r w:rsidR="001C35A2" w:rsidRPr="001D183C">
        <w:rPr>
          <w:rFonts w:ascii="Times New Roman" w:hAnsi="Times New Roman" w:cs="Times New Roman"/>
          <w:sz w:val="24"/>
          <w:szCs w:val="24"/>
        </w:rPr>
        <w:t>— (</w:t>
      </w:r>
      <w:r w:rsidRPr="001D183C">
        <w:rPr>
          <w:rFonts w:ascii="Times New Roman" w:hAnsi="Times New Roman" w:cs="Times New Roman"/>
          <w:sz w:val="24"/>
          <w:szCs w:val="24"/>
        </w:rPr>
        <w:t>S</w:t>
      </w:r>
      <w:r w:rsidR="001C35A2" w:rsidRPr="001D183C">
        <w:rPr>
          <w:rFonts w:ascii="Times New Roman" w:hAnsi="Times New Roman" w:cs="Times New Roman"/>
          <w:sz w:val="24"/>
          <w:szCs w:val="24"/>
        </w:rPr>
        <w:t xml:space="preserve">ileyew, </w:t>
      </w:r>
      <w:r w:rsidRPr="001D183C">
        <w:rPr>
          <w:rFonts w:ascii="Times New Roman" w:hAnsi="Times New Roman" w:cs="Times New Roman"/>
          <w:sz w:val="24"/>
          <w:szCs w:val="24"/>
        </w:rPr>
        <w:t xml:space="preserve"> 2019</w:t>
      </w:r>
      <w:r w:rsidR="001C35A2" w:rsidRPr="001D183C">
        <w:rPr>
          <w:rFonts w:ascii="Times New Roman" w:hAnsi="Times New Roman" w:cs="Times New Roman"/>
          <w:sz w:val="24"/>
          <w:szCs w:val="24"/>
        </w:rPr>
        <w:t>).</w:t>
      </w:r>
      <w:r w:rsidRPr="001D183C">
        <w:rPr>
          <w:rFonts w:ascii="Times New Roman" w:hAnsi="Times New Roman" w:cs="Times New Roman"/>
          <w:sz w:val="24"/>
          <w:szCs w:val="24"/>
        </w:rPr>
        <w:t xml:space="preserve"> Quantitative data provide objective pattern and trend analysis by means of numerical measurements and statistical assessment of variables like national food waste quantities and disposal cost statistics (Creswell</w:t>
      </w:r>
      <w:r w:rsidR="001C35A2" w:rsidRPr="001D183C">
        <w:rPr>
          <w:rFonts w:ascii="Times New Roman" w:hAnsi="Times New Roman" w:cs="Times New Roman"/>
          <w:sz w:val="24"/>
          <w:szCs w:val="24"/>
        </w:rPr>
        <w:t xml:space="preserve"> et al.,</w:t>
      </w:r>
      <w:r w:rsidRPr="001D183C">
        <w:rPr>
          <w:rFonts w:ascii="Times New Roman" w:hAnsi="Times New Roman" w:cs="Times New Roman"/>
          <w:sz w:val="24"/>
          <w:szCs w:val="24"/>
        </w:rPr>
        <w:t xml:space="preserve"> 20</w:t>
      </w:r>
      <w:r w:rsidR="001C35A2" w:rsidRPr="001D183C">
        <w:rPr>
          <w:rFonts w:ascii="Times New Roman" w:hAnsi="Times New Roman" w:cs="Times New Roman"/>
          <w:sz w:val="24"/>
          <w:szCs w:val="24"/>
        </w:rPr>
        <w:t>06</w:t>
      </w:r>
      <w:r w:rsidRPr="001D183C">
        <w:rPr>
          <w:rFonts w:ascii="Times New Roman" w:hAnsi="Times New Roman" w:cs="Times New Roman"/>
          <w:sz w:val="24"/>
          <w:szCs w:val="24"/>
        </w:rPr>
        <w:t>). Descriptive data—such as theme results from case study material, expert comments and policy analyses—which provide contextual insights into motives, impediments and practices—make up qualitative data (</w:t>
      </w:r>
      <w:r w:rsidR="001C35A2" w:rsidRPr="001D183C">
        <w:rPr>
          <w:rFonts w:ascii="Times New Roman" w:hAnsi="Times New Roman" w:cs="Times New Roman"/>
          <w:sz w:val="24"/>
          <w:szCs w:val="24"/>
        </w:rPr>
        <w:t xml:space="preserve">Data and </w:t>
      </w:r>
      <w:r w:rsidRPr="001D183C">
        <w:rPr>
          <w:rFonts w:ascii="Times New Roman" w:hAnsi="Times New Roman" w:cs="Times New Roman"/>
          <w:sz w:val="24"/>
          <w:szCs w:val="24"/>
        </w:rPr>
        <w:t>Silverman, 2011). Applying descriptive statistical approaches to evaluate quantities and cost implications of hotel food waste, the quantitative component depended on official UK food waste figures and industry financial reports</w:t>
      </w:r>
      <w:r w:rsidR="001C35A2" w:rsidRPr="001D183C">
        <w:rPr>
          <w:rFonts w:ascii="Times New Roman" w:hAnsi="Times New Roman" w:cs="Times New Roman"/>
          <w:sz w:val="24"/>
          <w:szCs w:val="24"/>
        </w:rPr>
        <w:t xml:space="preserve">. </w:t>
      </w:r>
      <w:r w:rsidRPr="001D183C">
        <w:rPr>
          <w:rFonts w:ascii="Times New Roman" w:hAnsi="Times New Roman" w:cs="Times New Roman"/>
          <w:sz w:val="24"/>
          <w:szCs w:val="24"/>
        </w:rPr>
        <w:t>The qualitative component consisted of methodical content analysis of industry guidelines and peer-reviewed papers to identify themes about adoption of composting and circular economy techniques (Geissdoerfer et al., 2017). Triangulating quantitative trends and qualitative themes from trustworthy secondary sources guarantees a thorough and exact analysis of food waste composting in the UK hotel industry. This method offers proof of the growth in sustainable practices.</w:t>
      </w:r>
    </w:p>
    <w:p w14:paraId="5F097953" w14:textId="04135875" w:rsidR="00E97D3A" w:rsidRPr="001D183C" w:rsidRDefault="00E97D3A" w:rsidP="001D183C">
      <w:pPr>
        <w:pStyle w:val="EU"/>
        <w:spacing w:line="360" w:lineRule="auto"/>
        <w:rPr>
          <w:rFonts w:ascii="Times New Roman" w:hAnsi="Times New Roman" w:cs="Times New Roman"/>
          <w:color w:val="auto"/>
        </w:rPr>
      </w:pPr>
      <w:r w:rsidRPr="001D183C">
        <w:rPr>
          <w:rFonts w:ascii="Times New Roman" w:hAnsi="Times New Roman" w:cs="Times New Roman"/>
          <w:color w:val="auto"/>
        </w:rPr>
        <w:t>Theme impact analysis</w:t>
      </w:r>
    </w:p>
    <w:p w14:paraId="4F6F9070" w14:textId="79351F45" w:rsidR="00A00474" w:rsidRPr="001D183C" w:rsidRDefault="00A00474" w:rsidP="001D183C">
      <w:pPr>
        <w:spacing w:line="360" w:lineRule="auto"/>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 xml:space="preserve">Treating kitchen trash as resources for regeneration rather than waste, food waste composting has become a mainstay of the circular economy in the UK hotel and hospitality industry. For background, hospitality food waste makes around 12% of all trash, which highlights the sector's potential influence in circular </w:t>
      </w:r>
      <w:r w:rsidR="000A3FA9" w:rsidRPr="001D183C">
        <w:rPr>
          <w:rFonts w:ascii="Times New Roman" w:hAnsi="Times New Roman" w:cs="Times New Roman"/>
          <w:sz w:val="24"/>
          <w:szCs w:val="24"/>
          <w:lang w:eastAsia="en-GB"/>
        </w:rPr>
        <w:t>initiatives (Prokic et al., 2022)</w:t>
      </w:r>
      <w:r w:rsidRPr="001D183C">
        <w:rPr>
          <w:rFonts w:ascii="Times New Roman" w:hAnsi="Times New Roman" w:cs="Times New Roman"/>
          <w:sz w:val="24"/>
          <w:szCs w:val="24"/>
          <w:lang w:eastAsia="en-GB"/>
        </w:rPr>
        <w:t>. Applying models like PESTLE and the triple-bottom-line helps one to understand how political, economic, social, technical, and aspects influence acceptance. Politically and legally, new UK laws clearly target food waste. England's 2023 Waste Prevention Program, for instance, created a Hospitality Sector Council to assist businesses on projects aiming at "repurposing, reuse and diverging food waste"</w:t>
      </w:r>
      <w:r w:rsidR="000A3FA9" w:rsidRPr="001D183C">
        <w:rPr>
          <w:rFonts w:ascii="Times New Roman" w:hAnsi="Times New Roman" w:cs="Times New Roman"/>
          <w:sz w:val="24"/>
          <w:szCs w:val="24"/>
          <w:lang w:eastAsia="en-GB"/>
        </w:rPr>
        <w:t>.</w:t>
      </w:r>
      <w:r w:rsidRPr="001D183C">
        <w:rPr>
          <w:rFonts w:ascii="Times New Roman" w:hAnsi="Times New Roman" w:cs="Times New Roman"/>
          <w:sz w:val="24"/>
          <w:szCs w:val="24"/>
          <w:lang w:eastAsia="en-GB"/>
        </w:rPr>
        <w:t xml:space="preserve"> These legislative changes reflect larger environmental commitments (such as the net-zero aims set by the UK), so hotels are under more demand to match resource and climate targets. Change also results from economic forces</w:t>
      </w:r>
      <w:r w:rsidR="000A3FA9" w:rsidRPr="001D183C">
        <w:rPr>
          <w:rFonts w:ascii="Times New Roman" w:hAnsi="Times New Roman" w:cs="Times New Roman"/>
          <w:sz w:val="24"/>
          <w:szCs w:val="24"/>
          <w:lang w:eastAsia="en-GB"/>
        </w:rPr>
        <w:t xml:space="preserve">. </w:t>
      </w:r>
      <w:r w:rsidR="000A3FA9" w:rsidRPr="001D183C">
        <w:rPr>
          <w:rFonts w:ascii="Times New Roman" w:hAnsi="Times New Roman" w:cs="Times New Roman"/>
          <w:sz w:val="24"/>
          <w:szCs w:val="24"/>
          <w:lang w:eastAsia="en-GB"/>
        </w:rPr>
        <w:t xml:space="preserve">GOV.UK, </w:t>
      </w:r>
      <w:r w:rsidR="000A3FA9" w:rsidRPr="001D183C">
        <w:rPr>
          <w:rFonts w:ascii="Times New Roman" w:hAnsi="Times New Roman" w:cs="Times New Roman"/>
          <w:sz w:val="24"/>
          <w:szCs w:val="24"/>
          <w:lang w:eastAsia="en-GB"/>
        </w:rPr>
        <w:t>(</w:t>
      </w:r>
      <w:r w:rsidR="000A3FA9" w:rsidRPr="001D183C">
        <w:rPr>
          <w:rFonts w:ascii="Times New Roman" w:hAnsi="Times New Roman" w:cs="Times New Roman"/>
          <w:sz w:val="24"/>
          <w:szCs w:val="24"/>
          <w:lang w:eastAsia="en-GB"/>
        </w:rPr>
        <w:t>2023)</w:t>
      </w:r>
      <w:r w:rsidR="000A3FA9" w:rsidRPr="001D183C">
        <w:rPr>
          <w:rFonts w:ascii="Times New Roman" w:hAnsi="Times New Roman" w:cs="Times New Roman"/>
          <w:sz w:val="24"/>
          <w:szCs w:val="24"/>
          <w:lang w:eastAsia="en-GB"/>
        </w:rPr>
        <w:t xml:space="preserve"> </w:t>
      </w:r>
      <w:r w:rsidRPr="001D183C">
        <w:rPr>
          <w:rFonts w:ascii="Times New Roman" w:hAnsi="Times New Roman" w:cs="Times New Roman"/>
          <w:sz w:val="24"/>
          <w:szCs w:val="24"/>
          <w:lang w:eastAsia="en-GB"/>
        </w:rPr>
        <w:t>show that UK hotels throw around 18% of bought food, resulting in an industry loss of over £3.2 billion yearly. Rising landfill charges and high waste disposal costs give significant financial incentives to reduce waste. Socially, consumer awareness of sustainability is growing; one survey revealed that over seventy percent of tourists choose environmentally friendly lodging.</w:t>
      </w:r>
      <w:r w:rsidRPr="001D183C">
        <w:rPr>
          <w:rFonts w:ascii="Times New Roman" w:hAnsi="Times New Roman" w:cs="Times New Roman"/>
          <w:sz w:val="24"/>
          <w:szCs w:val="24"/>
          <w:lang w:eastAsia="en-GB"/>
        </w:rPr>
        <w:t xml:space="preserve"> Thus,</w:t>
      </w:r>
      <w:r w:rsidRPr="001D183C">
        <w:rPr>
          <w:rFonts w:ascii="Times New Roman" w:hAnsi="Times New Roman" w:cs="Times New Roman"/>
          <w:sz w:val="24"/>
          <w:szCs w:val="24"/>
          <w:lang w:eastAsia="en-GB"/>
        </w:rPr>
        <w:t xml:space="preserve"> green activities like composting may improve visitor happiness and brand image. Technologically, developments (such as efficient on-site digesters and small compost units) have made treatment more practical; environmental imperatives (e.g., UN Sustainable Development Goals and carbon reduction objectives) give composting further importance</w:t>
      </w:r>
      <w:r w:rsidR="000A3FA9" w:rsidRPr="001D183C">
        <w:rPr>
          <w:rFonts w:ascii="Times New Roman" w:hAnsi="Times New Roman" w:cs="Times New Roman"/>
          <w:sz w:val="24"/>
          <w:szCs w:val="24"/>
        </w:rPr>
        <w:t xml:space="preserve"> </w:t>
      </w:r>
      <w:r w:rsidR="000A3FA9" w:rsidRPr="001D183C">
        <w:rPr>
          <w:rFonts w:ascii="Times New Roman" w:hAnsi="Times New Roman" w:cs="Times New Roman"/>
          <w:sz w:val="24"/>
          <w:szCs w:val="24"/>
          <w:lang w:eastAsia="en-GB"/>
        </w:rPr>
        <w:t>(Zhang et al., 2024)</w:t>
      </w:r>
      <w:r w:rsidRPr="001D183C">
        <w:rPr>
          <w:rFonts w:ascii="Times New Roman" w:hAnsi="Times New Roman" w:cs="Times New Roman"/>
          <w:sz w:val="24"/>
          <w:szCs w:val="24"/>
          <w:lang w:eastAsia="en-GB"/>
        </w:rPr>
        <w:t>. Legal standards support action: revised Government Buying Standards now mandate foodservice providers to "take steps to minimise food waste" via written reduction plans, therefore essentially forcing circular practices in contracted hospitality. Waste management has thus become a major strategic concern for hotel managers. Industry responses are complex and reflect these forces. Reflecting circular ideas in operations, many UK hotels now separate food waste for anaerobic digestion or composting. Both large chains and individual properties do food-waste audits, adjust serving portions, and work with nearby farms or trash contractors to complete resource loops</w:t>
      </w:r>
      <w:r w:rsidR="000A3FA9" w:rsidRPr="001D183C">
        <w:rPr>
          <w:rFonts w:ascii="Times New Roman" w:hAnsi="Times New Roman" w:cs="Times New Roman"/>
          <w:sz w:val="24"/>
          <w:szCs w:val="24"/>
        </w:rPr>
        <w:t xml:space="preserve"> </w:t>
      </w:r>
      <w:r w:rsidR="000A3FA9" w:rsidRPr="001D183C">
        <w:rPr>
          <w:rFonts w:ascii="Times New Roman" w:hAnsi="Times New Roman" w:cs="Times New Roman"/>
          <w:sz w:val="24"/>
          <w:szCs w:val="24"/>
          <w:lang w:eastAsia="en-GB"/>
        </w:rPr>
        <w:t>(Malik et al., 2024)</w:t>
      </w:r>
      <w:r w:rsidRPr="001D183C">
        <w:rPr>
          <w:rFonts w:ascii="Times New Roman" w:hAnsi="Times New Roman" w:cs="Times New Roman"/>
          <w:sz w:val="24"/>
          <w:szCs w:val="24"/>
          <w:lang w:eastAsia="en-GB"/>
        </w:rPr>
        <w:t>. To turn vegetable peelings and plate trash into useable compost or biogas feedstock, several businesses have set up on-site food processors or composters By showing a circular loop, these methods convert one hotel's trash into another stakeholder's resource. Furthermore, many hotels include composting into their corporate responsibility plans, therefore indicating to stakeholders that environmental issues come first. Such projects have clear benefits: good food waste management may "curtail expenditures" and "enhance brand reputation," according to a recent research aligning with both business and social aims</w:t>
      </w:r>
      <w:r w:rsidR="000A3FA9" w:rsidRPr="001D183C">
        <w:rPr>
          <w:rFonts w:ascii="Times New Roman" w:hAnsi="Times New Roman" w:cs="Times New Roman"/>
          <w:sz w:val="24"/>
          <w:szCs w:val="24"/>
          <w:lang w:eastAsia="en-GB"/>
        </w:rPr>
        <w:t xml:space="preserve"> (Hamararu and Perri, 2024).</w:t>
      </w:r>
      <w:r w:rsidRPr="001D183C">
        <w:rPr>
          <w:rFonts w:ascii="Times New Roman" w:hAnsi="Times New Roman" w:cs="Times New Roman"/>
          <w:sz w:val="24"/>
          <w:szCs w:val="24"/>
          <w:lang w:eastAsia="en-GB"/>
        </w:rPr>
        <w:t xml:space="preserve"> To increase involvement, hotels often include employees and guests in composting initiatives (such as bin labelling and educating service personnel). Encouragement of compost usage in kitchen gardens or community allotments helps hotels show environmental leadership and boost public goodwill, which may convert into competitive advantage. The answers of the industry have limits, however. Only little waste reductions from voluntary initiatives to date (WRAP's Guardians of Grub campaign) suggest mixed results from self-regulation. Many businesses have practical challenges: food waste typically ends up in a landfill as composting equipment and procedures need for large capital and space that smaller hotels or those in crowded metropolitan regions may lack</w:t>
      </w:r>
      <w:r w:rsidR="000A3FA9" w:rsidRPr="001D183C">
        <w:rPr>
          <w:rFonts w:ascii="Times New Roman" w:hAnsi="Times New Roman" w:cs="Times New Roman"/>
          <w:sz w:val="24"/>
          <w:szCs w:val="24"/>
        </w:rPr>
        <w:t xml:space="preserve"> </w:t>
      </w:r>
      <w:r w:rsidR="000A3FA9" w:rsidRPr="001D183C">
        <w:rPr>
          <w:rFonts w:ascii="Times New Roman" w:hAnsi="Times New Roman" w:cs="Times New Roman"/>
          <w:sz w:val="24"/>
          <w:szCs w:val="24"/>
          <w:lang w:eastAsia="en-GB"/>
        </w:rPr>
        <w:t>(Chemmanur and Fenech, 2024)</w:t>
      </w:r>
      <w:r w:rsidRPr="001D183C">
        <w:rPr>
          <w:rFonts w:ascii="Times New Roman" w:hAnsi="Times New Roman" w:cs="Times New Roman"/>
          <w:sz w:val="24"/>
          <w:szCs w:val="24"/>
          <w:lang w:eastAsia="en-GB"/>
        </w:rPr>
        <w:t xml:space="preserve">. Moreover, improper management might contaminate separated garbage (should visitors or staff combine items), therefore jeopardising the composting process. Crucially, composting solves waste only after it is produced; it does not replace upstream preventive measures (like buying poor goods or changing menus). This draws attention to a conceptual flaw: neglect of prevention renders circular loops </w:t>
      </w:r>
      <w:r w:rsidR="000A3FA9" w:rsidRPr="001D183C">
        <w:rPr>
          <w:rFonts w:ascii="Times New Roman" w:hAnsi="Times New Roman" w:cs="Times New Roman"/>
          <w:sz w:val="24"/>
          <w:szCs w:val="24"/>
          <w:lang w:eastAsia="en-GB"/>
        </w:rPr>
        <w:t>unfinished (</w:t>
      </w:r>
      <w:r w:rsidR="000A3FA9" w:rsidRPr="001D183C">
        <w:rPr>
          <w:rFonts w:ascii="Times New Roman" w:hAnsi="Times New Roman" w:cs="Times New Roman"/>
          <w:sz w:val="24"/>
          <w:szCs w:val="24"/>
          <w:lang w:eastAsia="en-GB"/>
        </w:rPr>
        <w:t>Ayilara et al., 2020)</w:t>
      </w:r>
      <w:r w:rsidRPr="001D183C">
        <w:rPr>
          <w:rFonts w:ascii="Times New Roman" w:hAnsi="Times New Roman" w:cs="Times New Roman"/>
          <w:sz w:val="24"/>
          <w:szCs w:val="24"/>
          <w:lang w:eastAsia="en-GB"/>
        </w:rPr>
        <w:t>. In PESTLE terminology, social and regulatory forces drive adoption; yet, economic and operational restrictions impede it and leave areas where consumption patterns still need to be improved. Stakeholder theory helps hotels to balance customers' and regulators' environmental demands with owners' short-term cost concerns, therefore affecting resource allocation. The triple-bottom-line approach also emphasises this conundrum: whereas composting helps with social and environmental objectives, its wider influence relies on proving long-term financial worth</w:t>
      </w:r>
      <w:r w:rsidR="000A3FA9" w:rsidRPr="001D183C">
        <w:rPr>
          <w:rFonts w:ascii="Times New Roman" w:hAnsi="Times New Roman" w:cs="Times New Roman"/>
          <w:sz w:val="24"/>
          <w:szCs w:val="24"/>
          <w:lang w:eastAsia="en-GB"/>
        </w:rPr>
        <w:t xml:space="preserve"> (Kaira, 2024)</w:t>
      </w:r>
      <w:r w:rsidRPr="001D183C">
        <w:rPr>
          <w:rFonts w:ascii="Times New Roman" w:hAnsi="Times New Roman" w:cs="Times New Roman"/>
          <w:sz w:val="24"/>
          <w:szCs w:val="24"/>
          <w:lang w:eastAsia="en-GB"/>
        </w:rPr>
        <w:t>. Although some hotels try to profit from compost—for instance, selling extra fertiliser or utilising it to grow food—such approaches have little profitability in reality. In response to legislative, business, and social constraints, UK hotels are progressively implementing circular food-waste strategies that clearly improve the environment and reputation. These steps involve stakeholders, minimise waste, and help to lower expenses.</w:t>
      </w:r>
      <w:r w:rsidRPr="001D183C">
        <w:rPr>
          <w:rFonts w:ascii="Times New Roman" w:hAnsi="Times New Roman" w:cs="Times New Roman"/>
          <w:sz w:val="24"/>
          <w:szCs w:val="24"/>
          <w:lang w:eastAsia="en-GB"/>
        </w:rPr>
        <w:t xml:space="preserve"> </w:t>
      </w:r>
      <w:r w:rsidRPr="001D183C">
        <w:rPr>
          <w:rFonts w:ascii="Times New Roman" w:hAnsi="Times New Roman" w:cs="Times New Roman"/>
          <w:sz w:val="24"/>
          <w:szCs w:val="24"/>
          <w:lang w:eastAsia="en-GB"/>
        </w:rPr>
        <w:t>Though its ultimate impact depends on broad industry commitment, supportive infrastructure, and integration of waste prevention as well as treatment strategies, circular-economy food composting in UK hospitality offers notable sustainability benefits in overall line with CSR and green tourism trends. To attain complete circularity, researchers warn, composting should be included into a larger waste hierarchy and supported by upstream actions (such as cautious menu design, excess donation programs and consumer education). When spread throughout the sector, small waste reductions may thus result in notable financial and environmental benefits.</w:t>
      </w:r>
    </w:p>
    <w:p w14:paraId="28F2A550" w14:textId="64ECCA01" w:rsidR="00A00474" w:rsidRPr="001D183C" w:rsidRDefault="00A00474" w:rsidP="001D183C">
      <w:pPr>
        <w:pStyle w:val="EU"/>
        <w:spacing w:line="360" w:lineRule="auto"/>
        <w:rPr>
          <w:rFonts w:ascii="Times New Roman" w:hAnsi="Times New Roman" w:cs="Times New Roman"/>
          <w:color w:val="auto"/>
        </w:rPr>
      </w:pPr>
      <w:r w:rsidRPr="001D183C">
        <w:rPr>
          <w:rFonts w:ascii="Times New Roman" w:hAnsi="Times New Roman" w:cs="Times New Roman"/>
          <w:color w:val="auto"/>
        </w:rPr>
        <w:t>Conclusion</w:t>
      </w:r>
    </w:p>
    <w:p w14:paraId="09B6FB9A" w14:textId="511EC299" w:rsidR="00A00474" w:rsidRPr="001D183C" w:rsidRDefault="00A00474" w:rsidP="001D183C">
      <w:pPr>
        <w:spacing w:line="360" w:lineRule="auto"/>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In conclusion, c</w:t>
      </w:r>
      <w:r w:rsidRPr="001D183C">
        <w:rPr>
          <w:rFonts w:ascii="Times New Roman" w:hAnsi="Times New Roman" w:cs="Times New Roman"/>
          <w:sz w:val="24"/>
          <w:szCs w:val="24"/>
          <w:lang w:eastAsia="en-GB"/>
        </w:rPr>
        <w:t>omposting food waste in UK hotels shows a sensible circular economy approach that lowers running costs and environmental effect. Turning organic waste into nutrients helps properties complete material loops, comply with regulations, and satisfy rising visitor demand for sustainability. Still, space constraints, capital costs, and staff participation issues impede broad acceptance. Hotels should combine on-site or outsourced composting systems with preventative actions such trash audits and menu modification to maximise advantages. Further improvement of circular processes might come from staff training and cooperation with nearby businesses. Advancement of hospitality sustainability depends on include composting into a complete waste hierarchy.</w:t>
      </w:r>
    </w:p>
    <w:p w14:paraId="78A6DE15" w14:textId="07D04861" w:rsidR="00A00474" w:rsidRPr="001D183C" w:rsidRDefault="00A00474" w:rsidP="001D183C">
      <w:pPr>
        <w:pStyle w:val="EU"/>
        <w:spacing w:line="360" w:lineRule="auto"/>
        <w:rPr>
          <w:rFonts w:ascii="Times New Roman" w:hAnsi="Times New Roman" w:cs="Times New Roman"/>
          <w:color w:val="auto"/>
        </w:rPr>
      </w:pPr>
      <w:r w:rsidRPr="001D183C">
        <w:rPr>
          <w:rFonts w:ascii="Times New Roman" w:hAnsi="Times New Roman" w:cs="Times New Roman"/>
          <w:color w:val="auto"/>
        </w:rPr>
        <w:t>Recommendations</w:t>
      </w:r>
    </w:p>
    <w:p w14:paraId="05B64D46" w14:textId="7C087FF2" w:rsidR="00A00474" w:rsidRPr="001D183C" w:rsidRDefault="00A00474" w:rsidP="001D183C">
      <w:pPr>
        <w:spacing w:line="360" w:lineRule="auto"/>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 xml:space="preserve">First, properties have to do methodical food waste audits and demand-forecasting utilising past guest consumption data to match procurement with real demands and hence reduce overproduction (Chawla, Lugosi </w:t>
      </w:r>
      <w:r w:rsidR="000A3FA9" w:rsidRPr="001D183C">
        <w:rPr>
          <w:rFonts w:ascii="Times New Roman" w:hAnsi="Times New Roman" w:cs="Times New Roman"/>
          <w:sz w:val="24"/>
          <w:szCs w:val="24"/>
          <w:lang w:eastAsia="en-GB"/>
        </w:rPr>
        <w:t>and</w:t>
      </w:r>
      <w:r w:rsidRPr="001D183C">
        <w:rPr>
          <w:rFonts w:ascii="Times New Roman" w:hAnsi="Times New Roman" w:cs="Times New Roman"/>
          <w:sz w:val="24"/>
          <w:szCs w:val="24"/>
          <w:lang w:eastAsia="en-GB"/>
        </w:rPr>
        <w:t xml:space="preserve"> Hawkins, 2021). Incorporating visitor segmentation and event booking trends can help to improve forecast accuracy; audits should separate waste by kitchen and plate sources in order to focus reduction efforts. While rural and resort hotels can use on-site composting units or biogas digesters to convert residual waste into nutrient-rich outputs, urban hotels can either partner with licensed anaerobic digestion providers or install small in-room food waste processors (Okumus, 2020). Third, management should run thorough staff training courses covering segregation policies, contamination prevention, and equipment operation; scenario-based seminars and cross-departmental meetings help to create a circular culture and guarantee ongoing compliance. Fourth, hotels should work with local stakeholders—such as social entrepreneurs, urban farms, and community gardens—to divert compost and extra food; these alliances support food security projects, so strengthening resource loops, and offer marketing benefits through sustainability narratives (Kirchherr, Reike </w:t>
      </w:r>
      <w:r w:rsidR="001D183C" w:rsidRPr="001D183C">
        <w:rPr>
          <w:rFonts w:ascii="Times New Roman" w:hAnsi="Times New Roman" w:cs="Times New Roman"/>
          <w:sz w:val="24"/>
          <w:szCs w:val="24"/>
          <w:lang w:eastAsia="en-GB"/>
        </w:rPr>
        <w:t>and</w:t>
      </w:r>
      <w:r w:rsidRPr="001D183C">
        <w:rPr>
          <w:rFonts w:ascii="Times New Roman" w:hAnsi="Times New Roman" w:cs="Times New Roman"/>
          <w:sz w:val="24"/>
          <w:szCs w:val="24"/>
          <w:lang w:eastAsia="en-GB"/>
        </w:rPr>
        <w:t xml:space="preserve"> Hekkert, 2017). Standardised measurement and reporting of waste generating and diversion rates should be mandated; technical guidance networks established to bridge practitioner knowledge gaps; industry associations and legislators must establish enabling frameworks by offering financial incentives—grants, tax credits—and clarifying regulations on animal by-product treatment to reduce compliance barriers (Geissdoerfer et al., 2017). Hotels can turn organic waste from a liability into a regenerative resource by combining preventative audits, suitable technology, workforce involvement, community collaboration, and supportive policy measures, so delivering concurrent environmental, social, and economic benefits in line with circular economy concepts and increasing long-term operational resilience industry-wide.</w:t>
      </w:r>
    </w:p>
    <w:p w14:paraId="06B57645" w14:textId="77777777" w:rsidR="0059761E" w:rsidRDefault="0059761E" w:rsidP="00A00474">
      <w:pPr>
        <w:spacing w:line="360" w:lineRule="auto"/>
        <w:jc w:val="both"/>
        <w:rPr>
          <w:rFonts w:ascii="Times New Roman" w:hAnsi="Times New Roman" w:cs="Times New Roman"/>
          <w:sz w:val="24"/>
          <w:szCs w:val="24"/>
          <w:lang w:eastAsia="en-GB"/>
        </w:rPr>
      </w:pPr>
    </w:p>
    <w:p w14:paraId="23FB9506" w14:textId="77777777" w:rsidR="0059761E" w:rsidRDefault="0059761E" w:rsidP="00A00474">
      <w:pPr>
        <w:spacing w:line="360" w:lineRule="auto"/>
        <w:jc w:val="both"/>
        <w:rPr>
          <w:rFonts w:ascii="Times New Roman" w:hAnsi="Times New Roman" w:cs="Times New Roman"/>
          <w:sz w:val="24"/>
          <w:szCs w:val="24"/>
          <w:lang w:eastAsia="en-GB"/>
        </w:rPr>
      </w:pPr>
    </w:p>
    <w:p w14:paraId="2043A371" w14:textId="77777777" w:rsidR="0059761E" w:rsidRDefault="0059761E" w:rsidP="00A00474">
      <w:pPr>
        <w:spacing w:line="360" w:lineRule="auto"/>
        <w:jc w:val="both"/>
        <w:rPr>
          <w:rFonts w:ascii="Times New Roman" w:hAnsi="Times New Roman" w:cs="Times New Roman"/>
          <w:sz w:val="24"/>
          <w:szCs w:val="24"/>
          <w:lang w:eastAsia="en-GB"/>
        </w:rPr>
      </w:pPr>
    </w:p>
    <w:p w14:paraId="3EA1C7DA" w14:textId="77777777" w:rsidR="0059761E" w:rsidRDefault="0059761E" w:rsidP="00A00474">
      <w:pPr>
        <w:spacing w:line="360" w:lineRule="auto"/>
        <w:jc w:val="both"/>
        <w:rPr>
          <w:rFonts w:ascii="Times New Roman" w:hAnsi="Times New Roman" w:cs="Times New Roman"/>
          <w:sz w:val="24"/>
          <w:szCs w:val="24"/>
          <w:lang w:eastAsia="en-GB"/>
        </w:rPr>
      </w:pPr>
    </w:p>
    <w:p w14:paraId="408C79B7" w14:textId="77777777" w:rsidR="0059761E" w:rsidRDefault="0059761E" w:rsidP="00A00474">
      <w:pPr>
        <w:spacing w:line="360" w:lineRule="auto"/>
        <w:jc w:val="both"/>
        <w:rPr>
          <w:rFonts w:ascii="Times New Roman" w:hAnsi="Times New Roman" w:cs="Times New Roman"/>
          <w:sz w:val="24"/>
          <w:szCs w:val="24"/>
          <w:lang w:eastAsia="en-GB"/>
        </w:rPr>
      </w:pPr>
    </w:p>
    <w:p w14:paraId="1E6DE293" w14:textId="77777777" w:rsidR="0059761E" w:rsidRDefault="0059761E" w:rsidP="00A00474">
      <w:pPr>
        <w:spacing w:line="360" w:lineRule="auto"/>
        <w:jc w:val="both"/>
        <w:rPr>
          <w:rFonts w:ascii="Times New Roman" w:hAnsi="Times New Roman" w:cs="Times New Roman"/>
          <w:sz w:val="24"/>
          <w:szCs w:val="24"/>
          <w:lang w:eastAsia="en-GB"/>
        </w:rPr>
      </w:pPr>
    </w:p>
    <w:p w14:paraId="43099092" w14:textId="77777777" w:rsidR="0059761E" w:rsidRDefault="0059761E" w:rsidP="00A00474">
      <w:pPr>
        <w:spacing w:line="360" w:lineRule="auto"/>
        <w:jc w:val="both"/>
        <w:rPr>
          <w:rFonts w:ascii="Times New Roman" w:hAnsi="Times New Roman" w:cs="Times New Roman"/>
          <w:sz w:val="24"/>
          <w:szCs w:val="24"/>
          <w:lang w:eastAsia="en-GB"/>
        </w:rPr>
      </w:pPr>
    </w:p>
    <w:p w14:paraId="406DE915" w14:textId="77777777" w:rsidR="0059761E" w:rsidRDefault="0059761E" w:rsidP="00A00474">
      <w:pPr>
        <w:spacing w:line="360" w:lineRule="auto"/>
        <w:jc w:val="both"/>
        <w:rPr>
          <w:rFonts w:ascii="Times New Roman" w:hAnsi="Times New Roman" w:cs="Times New Roman"/>
          <w:sz w:val="24"/>
          <w:szCs w:val="24"/>
          <w:lang w:eastAsia="en-GB"/>
        </w:rPr>
      </w:pPr>
    </w:p>
    <w:p w14:paraId="6269DDA5" w14:textId="77777777" w:rsidR="0059761E" w:rsidRDefault="0059761E" w:rsidP="00A00474">
      <w:pPr>
        <w:spacing w:line="360" w:lineRule="auto"/>
        <w:jc w:val="both"/>
        <w:rPr>
          <w:rFonts w:ascii="Times New Roman" w:hAnsi="Times New Roman" w:cs="Times New Roman"/>
          <w:sz w:val="24"/>
          <w:szCs w:val="24"/>
          <w:lang w:eastAsia="en-GB"/>
        </w:rPr>
      </w:pPr>
    </w:p>
    <w:p w14:paraId="5BCDF79F" w14:textId="77777777" w:rsidR="0059761E" w:rsidRDefault="0059761E" w:rsidP="00A00474">
      <w:pPr>
        <w:spacing w:line="360" w:lineRule="auto"/>
        <w:jc w:val="both"/>
        <w:rPr>
          <w:rFonts w:ascii="Times New Roman" w:hAnsi="Times New Roman" w:cs="Times New Roman"/>
          <w:sz w:val="24"/>
          <w:szCs w:val="24"/>
          <w:lang w:eastAsia="en-GB"/>
        </w:rPr>
      </w:pPr>
    </w:p>
    <w:p w14:paraId="5692A97A" w14:textId="77777777" w:rsidR="0059761E" w:rsidRDefault="0059761E" w:rsidP="00A00474">
      <w:pPr>
        <w:spacing w:line="360" w:lineRule="auto"/>
        <w:jc w:val="both"/>
        <w:rPr>
          <w:rFonts w:ascii="Times New Roman" w:hAnsi="Times New Roman" w:cs="Times New Roman"/>
          <w:sz w:val="24"/>
          <w:szCs w:val="24"/>
          <w:lang w:eastAsia="en-GB"/>
        </w:rPr>
      </w:pPr>
    </w:p>
    <w:p w14:paraId="4F6B9BCA" w14:textId="77777777" w:rsidR="0059761E" w:rsidRDefault="0059761E" w:rsidP="00A00474">
      <w:pPr>
        <w:spacing w:line="360" w:lineRule="auto"/>
        <w:jc w:val="both"/>
        <w:rPr>
          <w:rFonts w:ascii="Times New Roman" w:hAnsi="Times New Roman" w:cs="Times New Roman"/>
          <w:sz w:val="24"/>
          <w:szCs w:val="24"/>
          <w:lang w:eastAsia="en-GB"/>
        </w:rPr>
      </w:pPr>
    </w:p>
    <w:p w14:paraId="312892E2" w14:textId="77777777" w:rsidR="001C35A2" w:rsidRDefault="001C35A2" w:rsidP="00A00474">
      <w:pPr>
        <w:spacing w:line="360" w:lineRule="auto"/>
        <w:jc w:val="both"/>
        <w:rPr>
          <w:rFonts w:ascii="Times New Roman" w:hAnsi="Times New Roman" w:cs="Times New Roman"/>
          <w:sz w:val="24"/>
          <w:szCs w:val="24"/>
          <w:lang w:eastAsia="en-GB"/>
        </w:rPr>
      </w:pPr>
    </w:p>
    <w:p w14:paraId="272E7E09" w14:textId="77777777" w:rsidR="0059761E" w:rsidRDefault="0059761E" w:rsidP="00A00474">
      <w:pPr>
        <w:spacing w:line="360" w:lineRule="auto"/>
        <w:jc w:val="both"/>
        <w:rPr>
          <w:rFonts w:ascii="Times New Roman" w:hAnsi="Times New Roman" w:cs="Times New Roman"/>
          <w:sz w:val="24"/>
          <w:szCs w:val="24"/>
          <w:lang w:eastAsia="en-GB"/>
        </w:rPr>
      </w:pPr>
    </w:p>
    <w:p w14:paraId="6E849D18" w14:textId="4124C387" w:rsidR="0059761E" w:rsidRPr="001D183C" w:rsidRDefault="0059761E" w:rsidP="001D183C">
      <w:pPr>
        <w:pStyle w:val="EU"/>
        <w:spacing w:line="360" w:lineRule="auto"/>
        <w:rPr>
          <w:rFonts w:ascii="Times New Roman" w:hAnsi="Times New Roman" w:cs="Times New Roman"/>
          <w:color w:val="auto"/>
        </w:rPr>
      </w:pPr>
      <w:r w:rsidRPr="001D183C">
        <w:rPr>
          <w:rFonts w:ascii="Times New Roman" w:hAnsi="Times New Roman" w:cs="Times New Roman"/>
          <w:color w:val="auto"/>
        </w:rPr>
        <w:t>References</w:t>
      </w:r>
    </w:p>
    <w:p w14:paraId="06AF75D6" w14:textId="77777777" w:rsidR="00002A7D" w:rsidRPr="001D183C" w:rsidRDefault="00002A7D"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Amicarelli, V., Aluculesei, A.C., Lagioia, G., Pamfilie, R. and Bux, C., 2022. How to manage and minimize food waste in the hotel industry: An exploratory research. International Journal of Culture, Tourism and Hospitality Research, 16(1), pp.152-167.</w:t>
      </w:r>
    </w:p>
    <w:p w14:paraId="633F49E7" w14:textId="0DF1B1E0" w:rsidR="001C35A2" w:rsidRPr="001D183C" w:rsidRDefault="001C35A2"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Ayilara, M., Olanrewaju, O., Babalola, O. and Odeyemi, O. (2020). Waste Management through Composting: Challenges and Potentials. Sustainability, [online] 12(11), p.4456. doi:https://doi.org/10.3390/su12114456.</w:t>
      </w:r>
    </w:p>
    <w:p w14:paraId="360F40A8" w14:textId="4F1F8148" w:rsidR="0059761E" w:rsidRPr="001D183C" w:rsidRDefault="0059761E"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Bittner, N., Bakker, N. and Long, T.B., 2024. Circular economy and the hospitality industry: A comparison of the Netherlands and Indonesia. Journal of Cleaner Production, 444, p.141253.</w:t>
      </w:r>
    </w:p>
    <w:p w14:paraId="6D470FB9" w14:textId="76D8A3CC" w:rsidR="00002A7D" w:rsidRPr="001D183C" w:rsidRDefault="00002A7D"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Chawla, G., Lugosi, P. and Hawkins, R. (2021). Food Waste Drivers in Corporate Luxury Hotels: Competing Perceptions and Priorities across the Service Cycle. Tourism and Hospitality, [online] 2(3), pp.302–318. doi:https://doi.org/10.3390/tourhosp2030019.</w:t>
      </w:r>
    </w:p>
    <w:p w14:paraId="44E4795D" w14:textId="0F80B278" w:rsidR="000A3FA9" w:rsidRPr="001D183C" w:rsidRDefault="000A3FA9"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Chemmanur, A. and Fenech, C. (2024). Sustainability in the Hospitality Industry | Deloitte UK. [online] www.deloitte.com. Available at: https://www.deloitte.com/uk/en/Industries/consumer/blogs/sustainability-in-the-hospitality-industry.html.</w:t>
      </w:r>
    </w:p>
    <w:p w14:paraId="1E382FCB" w14:textId="194CF79D" w:rsidR="001C35A2" w:rsidRPr="001D183C" w:rsidRDefault="001C35A2"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Creswell, J.W., Shope, R., Plano Clark, V.L. and Green, D.O., 2006. How interpretive qualitative research extends mixed methods research. Research in the Schools, 13(1), pp.1-11.</w:t>
      </w:r>
    </w:p>
    <w:p w14:paraId="58BE4AD9" w14:textId="3C58F52D" w:rsidR="001C35A2" w:rsidRPr="001D183C" w:rsidRDefault="001C35A2"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Data, I.Q. and Silverman, D., 2011. A guide to the principles of qualitative research.</w:t>
      </w:r>
    </w:p>
    <w:p w14:paraId="7EA31054" w14:textId="0CBA24F2" w:rsidR="000A3FA9" w:rsidRPr="001D183C" w:rsidRDefault="000A3FA9"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Geissdoerfer, M., Savaget, P., Bocken, N.M. and Hultink, E.J., 2017. The Circular Economy–A new sustainability paradigm?. Journal of cleaner production, 143, pp.757-768.</w:t>
      </w:r>
    </w:p>
    <w:p w14:paraId="258FBB96" w14:textId="5A2B86FD" w:rsidR="001C35A2" w:rsidRPr="001D183C" w:rsidRDefault="001C35A2"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 xml:space="preserve">GOV.UK. (n.d.). APHA warns not to feed kitchen scraps to farm animals because of disease risk. [online] Available at: </w:t>
      </w:r>
      <w:hyperlink r:id="rId7" w:history="1">
        <w:r w:rsidR="000A3FA9" w:rsidRPr="001D183C">
          <w:rPr>
            <w:rStyle w:val="Hyperlink"/>
            <w:rFonts w:ascii="Times New Roman" w:hAnsi="Times New Roman" w:cs="Times New Roman"/>
            <w:color w:val="auto"/>
            <w:sz w:val="24"/>
            <w:szCs w:val="24"/>
            <w:lang w:eastAsia="en-GB"/>
          </w:rPr>
          <w:t>https://www.gov.uk/government/news/apha-warns-not-to-feed-kitchen-scraps-to-farm-animals-because-of-disease-risk</w:t>
        </w:r>
      </w:hyperlink>
      <w:r w:rsidRPr="001D183C">
        <w:rPr>
          <w:rFonts w:ascii="Times New Roman" w:hAnsi="Times New Roman" w:cs="Times New Roman"/>
          <w:sz w:val="24"/>
          <w:szCs w:val="24"/>
          <w:lang w:eastAsia="en-GB"/>
        </w:rPr>
        <w:t>.</w:t>
      </w:r>
    </w:p>
    <w:p w14:paraId="5B59BA41" w14:textId="31BCB506" w:rsidR="000A3FA9" w:rsidRPr="001D183C" w:rsidRDefault="000A3FA9"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 xml:space="preserve">GOV.UK (2023). The waste prevention programme for England: Maximising Resources, Minimising Waste. [online] GOV.UK. Available at: </w:t>
      </w:r>
      <w:hyperlink r:id="rId8" w:history="1">
        <w:r w:rsidRPr="001D183C">
          <w:rPr>
            <w:rStyle w:val="Hyperlink"/>
            <w:rFonts w:ascii="Times New Roman" w:hAnsi="Times New Roman" w:cs="Times New Roman"/>
            <w:color w:val="auto"/>
            <w:sz w:val="24"/>
            <w:szCs w:val="24"/>
            <w:lang w:eastAsia="en-GB"/>
          </w:rPr>
          <w:t>https://www.gov.uk/government/publications/waste-prevention-programme-for-england-maximising-resources-minimising-waste/the-waste-prevention-programme-for-england-maximising-resources-minimising-waste</w:t>
        </w:r>
      </w:hyperlink>
      <w:r w:rsidRPr="001D183C">
        <w:rPr>
          <w:rFonts w:ascii="Times New Roman" w:hAnsi="Times New Roman" w:cs="Times New Roman"/>
          <w:sz w:val="24"/>
          <w:szCs w:val="24"/>
          <w:lang w:eastAsia="en-GB"/>
        </w:rPr>
        <w:t>.</w:t>
      </w:r>
    </w:p>
    <w:p w14:paraId="24AD40DC" w14:textId="61C6F8AD" w:rsidR="000A3FA9" w:rsidRPr="001D183C" w:rsidRDefault="000A3FA9"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Hămuraru, M. and Perri, A., 2024. Efficient strategies for reducing, reusing, and recycling waste generated by the hospitality industry activities. In Development of sustainable tourism: actualities and opportunities (pp. 162-167).</w:t>
      </w:r>
    </w:p>
    <w:p w14:paraId="162DF1D8" w14:textId="6042449A" w:rsidR="0059761E" w:rsidRPr="001D183C" w:rsidRDefault="0059761E"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Julião, J., Gaspar, M., Tjahjono, B. and Rocha, S., 2018, June. Exploring circular economy in the hospitality industry. In International Conference on Innovation, Engineering and Entrepreneurship (pp. 953-960). Cham: Springer International Publishing.</w:t>
      </w:r>
    </w:p>
    <w:p w14:paraId="6CDA9D66" w14:textId="27AAF994" w:rsidR="000A3FA9" w:rsidRPr="001D183C" w:rsidRDefault="000A3FA9"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Kalra, P., 2024. Corporate Social Responsibility and Stakeholder Theory: An Integrated Review. Journal of Management &amp; Entrepreneurship, 10.</w:t>
      </w:r>
    </w:p>
    <w:p w14:paraId="6FC27A23" w14:textId="040B7B0B" w:rsidR="00002A7D" w:rsidRPr="001D183C" w:rsidRDefault="00002A7D"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Kirchherr, J., Piscicelli, L., Bour, R., Kostense-Smit, E., Muller, J., Huibrechtse-Truijens, A. and Hekkert, M., 2018. Barriers to the circular economy: Evidence from the European Union (EU). Ecological economics, 150, pp.264-272.</w:t>
      </w:r>
    </w:p>
    <w:p w14:paraId="7006F973" w14:textId="3C4E4F20" w:rsidR="001C35A2" w:rsidRPr="001D183C" w:rsidRDefault="001C35A2"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Lin, L., Xu, F., Ge, X. and Li, Y., 2018. Improving the sustainability of organic waste management practices in the food-energy-water nexus: A comparative review of anaerobic digestion and composting. Renewable and Sustainable Energy Reviews, 89, pp.151-167.</w:t>
      </w:r>
    </w:p>
    <w:p w14:paraId="6B4A331A" w14:textId="689F68F4" w:rsidR="00002A7D" w:rsidRPr="001D183C" w:rsidRDefault="00002A7D"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 xml:space="preserve">Malik, X., Smith, L., Stewart, I. and Burnett, N. (2024). Food waste in the UK. [online] Parliament.uk. Available at: </w:t>
      </w:r>
      <w:hyperlink r:id="rId9" w:history="1">
        <w:r w:rsidR="001C35A2" w:rsidRPr="001D183C">
          <w:rPr>
            <w:rStyle w:val="Hyperlink"/>
            <w:rFonts w:ascii="Times New Roman" w:hAnsi="Times New Roman" w:cs="Times New Roman"/>
            <w:color w:val="auto"/>
            <w:sz w:val="24"/>
            <w:szCs w:val="24"/>
            <w:lang w:eastAsia="en-GB"/>
          </w:rPr>
          <w:t>https://researchbriefings.files.parliament.uk/documents/CBP-7552/CBP-7552.pdf</w:t>
        </w:r>
      </w:hyperlink>
      <w:r w:rsidRPr="001D183C">
        <w:rPr>
          <w:rFonts w:ascii="Times New Roman" w:hAnsi="Times New Roman" w:cs="Times New Roman"/>
          <w:sz w:val="24"/>
          <w:szCs w:val="24"/>
          <w:lang w:eastAsia="en-GB"/>
        </w:rPr>
        <w:t>.</w:t>
      </w:r>
    </w:p>
    <w:p w14:paraId="5375D44D" w14:textId="1A1E5964" w:rsidR="001C35A2" w:rsidRPr="001D183C" w:rsidRDefault="001C35A2"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Okumus, B., Taheri, B., Giritlioglu, I. and Gannon, M.J., 2020. Tackling food waste in all-inclusive resort hotels. International Journal of Hospitality Management, 88, p.102543.</w:t>
      </w:r>
    </w:p>
    <w:p w14:paraId="444DC5AC" w14:textId="32DC1AD0" w:rsidR="001C35A2" w:rsidRPr="001D183C" w:rsidRDefault="001C35A2"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Potting, J., Hekkert, M.P., Worrell, E. and Hanemaaijer, A., 2017. Circular economy: measuring innovation in the product chain. Planbureau voor de Leefomgeving, (2544).</w:t>
      </w:r>
    </w:p>
    <w:p w14:paraId="10B42F58" w14:textId="2E15FB76" w:rsidR="0059761E" w:rsidRPr="001D183C" w:rsidRDefault="0059761E"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 xml:space="preserve">Priestley, S. (2016). Food Waste: key facts, policy and trends in the UK. commonslibrary.parliament.uk. [online] Available at: </w:t>
      </w:r>
      <w:hyperlink r:id="rId10" w:history="1">
        <w:r w:rsidR="001C35A2" w:rsidRPr="001D183C">
          <w:rPr>
            <w:rStyle w:val="Hyperlink"/>
            <w:rFonts w:ascii="Times New Roman" w:hAnsi="Times New Roman" w:cs="Times New Roman"/>
            <w:color w:val="auto"/>
            <w:sz w:val="24"/>
            <w:szCs w:val="24"/>
            <w:lang w:eastAsia="en-GB"/>
          </w:rPr>
          <w:t>https://commonslibrary.parliament.uk/research-briefings/cbp-7552/</w:t>
        </w:r>
      </w:hyperlink>
      <w:r w:rsidRPr="001D183C">
        <w:rPr>
          <w:rFonts w:ascii="Times New Roman" w:hAnsi="Times New Roman" w:cs="Times New Roman"/>
          <w:sz w:val="24"/>
          <w:szCs w:val="24"/>
          <w:lang w:eastAsia="en-GB"/>
        </w:rPr>
        <w:t>.</w:t>
      </w:r>
    </w:p>
    <w:p w14:paraId="67BA9A4A" w14:textId="4101D7DB" w:rsidR="000A3FA9" w:rsidRPr="001D183C" w:rsidRDefault="000A3FA9"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Prokic, D., Stepanov, J., Curcic, L., Stojic, N. and Pucarevic, M., 2022. The role of circular economy in food waste management in fulfilling the United Nations’ sustainable development goals. Acta Univ. Sapientiae Aliment, 15(1), pp.51-66.</w:t>
      </w:r>
    </w:p>
    <w:p w14:paraId="7AD2045A" w14:textId="62B59999" w:rsidR="001C35A2" w:rsidRPr="001D183C" w:rsidRDefault="001C35A2"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Sileyew, K.J., 2019. Research design and methodology (Vol. 7, pp. 1-12). London: Cyberspace.</w:t>
      </w:r>
    </w:p>
    <w:p w14:paraId="7F8EA5A8" w14:textId="2F8754B0" w:rsidR="0059761E" w:rsidRPr="001D183C" w:rsidRDefault="0059761E" w:rsidP="001D183C">
      <w:pPr>
        <w:spacing w:line="360" w:lineRule="auto"/>
        <w:ind w:left="720" w:hanging="720"/>
        <w:jc w:val="both"/>
        <w:rPr>
          <w:rFonts w:ascii="Times New Roman" w:eastAsiaTheme="majorEastAsia" w:hAnsi="Times New Roman" w:cs="Times New Roman"/>
          <w:bCs/>
          <w:kern w:val="0"/>
          <w:sz w:val="24"/>
          <w:szCs w:val="24"/>
          <w:lang w:eastAsia="en-GB"/>
          <w14:ligatures w14:val="none"/>
        </w:rPr>
      </w:pPr>
      <w:r w:rsidRPr="001D183C">
        <w:rPr>
          <w:rFonts w:ascii="Times New Roman" w:eastAsiaTheme="majorEastAsia" w:hAnsi="Times New Roman" w:cs="Times New Roman"/>
          <w:bCs/>
          <w:kern w:val="0"/>
          <w:sz w:val="24"/>
          <w:szCs w:val="24"/>
          <w:lang w:eastAsia="en-GB"/>
          <w14:ligatures w14:val="none"/>
        </w:rPr>
        <w:t>Sillanpää, M. and Ncibi, C., 2019. The circular economy: Case studies about the transition from the linear economy. Academic Press.</w:t>
      </w:r>
    </w:p>
    <w:p w14:paraId="7BF2A040" w14:textId="5CED8412" w:rsidR="00002A7D" w:rsidRPr="001D183C" w:rsidRDefault="00002A7D" w:rsidP="001D183C">
      <w:pPr>
        <w:spacing w:line="360" w:lineRule="auto"/>
        <w:ind w:left="720" w:hanging="720"/>
        <w:jc w:val="both"/>
        <w:rPr>
          <w:rFonts w:ascii="Times New Roman" w:eastAsiaTheme="majorEastAsia" w:hAnsi="Times New Roman" w:cs="Times New Roman"/>
          <w:bCs/>
          <w:kern w:val="0"/>
          <w:sz w:val="24"/>
          <w:szCs w:val="24"/>
          <w:lang w:eastAsia="en-GB"/>
          <w14:ligatures w14:val="none"/>
        </w:rPr>
      </w:pPr>
      <w:r w:rsidRPr="001D183C">
        <w:rPr>
          <w:rFonts w:ascii="Times New Roman" w:eastAsiaTheme="majorEastAsia" w:hAnsi="Times New Roman" w:cs="Times New Roman"/>
          <w:bCs/>
          <w:kern w:val="0"/>
          <w:sz w:val="24"/>
          <w:szCs w:val="24"/>
          <w:lang w:eastAsia="en-GB"/>
          <w14:ligatures w14:val="none"/>
        </w:rPr>
        <w:t>Tura, N., Hanski, J., Ahola, T., Ståhle, M., Piiparinen, S. and Valkokari, P., 2019. Unlocking circular business: A framework of barriers and drivers. Journal of cleaner production, 212, pp.90-98.</w:t>
      </w:r>
    </w:p>
    <w:p w14:paraId="02BD0EF6" w14:textId="77777777" w:rsidR="0059761E" w:rsidRPr="001D183C" w:rsidRDefault="0059761E"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WRAP (2022). UK Food and Drink Pact: Food Waste Reduction Roadmap. [online] WRAP. Available at: https://www.wrap.ngo/take-action/uk-food-drink-pact/food-waste-reduction-roadmap.</w:t>
      </w:r>
    </w:p>
    <w:p w14:paraId="092D4A73" w14:textId="77777777" w:rsidR="000A3FA9" w:rsidRPr="001D183C" w:rsidRDefault="000A3FA9" w:rsidP="001D183C">
      <w:pPr>
        <w:spacing w:line="360" w:lineRule="auto"/>
        <w:ind w:left="720" w:hanging="720"/>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Zhang, Z., Chen, Z., Zhang, J., Liu, Y., Chen, L., Yang, M., Osman, A.I., Farghali, M., Liu, E., Hassan, D., Ihara, I., Lu, K., Rooney, D.W. and Yap, P.-S. (2024). Municipal solid waste management challenges in developing regions: A comprehensive review and future perspectives for Asia and Africa. Science of The Total Environment, [online] 930, p.172794. doi:https://doi.org/10.1016/j.scitotenv.2024.172794.</w:t>
      </w:r>
    </w:p>
    <w:p w14:paraId="298DDE71" w14:textId="77777777" w:rsidR="000A3FA9" w:rsidRPr="001D183C" w:rsidRDefault="000A3FA9" w:rsidP="001D183C">
      <w:pPr>
        <w:spacing w:line="360" w:lineRule="auto"/>
        <w:jc w:val="both"/>
        <w:rPr>
          <w:rFonts w:ascii="Times New Roman" w:hAnsi="Times New Roman" w:cs="Times New Roman"/>
          <w:sz w:val="24"/>
          <w:szCs w:val="24"/>
          <w:lang w:eastAsia="en-GB"/>
        </w:rPr>
      </w:pPr>
    </w:p>
    <w:p w14:paraId="29F3A9D7" w14:textId="429B6586" w:rsidR="0059761E" w:rsidRPr="001D183C" w:rsidRDefault="000A3FA9" w:rsidP="001D183C">
      <w:pPr>
        <w:spacing w:line="360" w:lineRule="auto"/>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w:t>
      </w:r>
    </w:p>
    <w:p w14:paraId="32BDC934" w14:textId="03C778F9" w:rsidR="0059761E" w:rsidRPr="001D183C" w:rsidRDefault="0059761E" w:rsidP="001D183C">
      <w:pPr>
        <w:spacing w:line="360" w:lineRule="auto"/>
        <w:jc w:val="both"/>
        <w:rPr>
          <w:rFonts w:ascii="Times New Roman" w:hAnsi="Times New Roman" w:cs="Times New Roman"/>
          <w:sz w:val="24"/>
          <w:szCs w:val="24"/>
          <w:lang w:eastAsia="en-GB"/>
        </w:rPr>
      </w:pPr>
      <w:r w:rsidRPr="001D183C">
        <w:rPr>
          <w:rFonts w:ascii="Times New Roman" w:hAnsi="Times New Roman" w:cs="Times New Roman"/>
          <w:sz w:val="24"/>
          <w:szCs w:val="24"/>
          <w:lang w:eastAsia="en-GB"/>
        </w:rPr>
        <w:t>‌</w:t>
      </w:r>
    </w:p>
    <w:sectPr w:rsidR="0059761E" w:rsidRPr="001D183C" w:rsidSect="001D183C">
      <w:footerReference w:type="default" r:id="rId1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8D765F" w14:textId="77777777" w:rsidR="000B6699" w:rsidRDefault="000B6699" w:rsidP="000451DE">
      <w:pPr>
        <w:spacing w:after="0" w:line="240" w:lineRule="auto"/>
      </w:pPr>
      <w:r>
        <w:separator/>
      </w:r>
    </w:p>
  </w:endnote>
  <w:endnote w:type="continuationSeparator" w:id="0">
    <w:p w14:paraId="58960F92" w14:textId="77777777" w:rsidR="000B6699" w:rsidRDefault="000B6699" w:rsidP="00045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8750290"/>
      <w:docPartObj>
        <w:docPartGallery w:val="Page Numbers (Bottom of Page)"/>
        <w:docPartUnique/>
      </w:docPartObj>
    </w:sdtPr>
    <w:sdtEndPr>
      <w:rPr>
        <w:noProof/>
      </w:rPr>
    </w:sdtEndPr>
    <w:sdtContent>
      <w:p w14:paraId="2D7B3842" w14:textId="46F2F75A" w:rsidR="000451DE" w:rsidRDefault="000451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F4BBB3" w14:textId="77777777" w:rsidR="000451DE" w:rsidRDefault="00045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D65E7C" w14:textId="77777777" w:rsidR="000B6699" w:rsidRDefault="000B6699" w:rsidP="000451DE">
      <w:pPr>
        <w:spacing w:after="0" w:line="240" w:lineRule="auto"/>
      </w:pPr>
      <w:r>
        <w:separator/>
      </w:r>
    </w:p>
  </w:footnote>
  <w:footnote w:type="continuationSeparator" w:id="0">
    <w:p w14:paraId="0136338C" w14:textId="77777777" w:rsidR="000B6699" w:rsidRDefault="000B6699" w:rsidP="000451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51DE"/>
    <w:rsid w:val="00002A7D"/>
    <w:rsid w:val="000451DE"/>
    <w:rsid w:val="000A3FA9"/>
    <w:rsid w:val="000B6699"/>
    <w:rsid w:val="001C35A2"/>
    <w:rsid w:val="001D183C"/>
    <w:rsid w:val="004D3A14"/>
    <w:rsid w:val="0059761E"/>
    <w:rsid w:val="007B0CC3"/>
    <w:rsid w:val="009B6397"/>
    <w:rsid w:val="00A00474"/>
    <w:rsid w:val="00B151A8"/>
    <w:rsid w:val="00C82D1F"/>
    <w:rsid w:val="00D73CFE"/>
    <w:rsid w:val="00E97D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0F3A66"/>
  <w15:chartTrackingRefBased/>
  <w15:docId w15:val="{0A9833F2-7AD4-45E4-9C9A-BE7B1BB8E3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0451D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451D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451D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451D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451D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451D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451D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451D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2F5496"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0451D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451D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451D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451D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451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451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451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451DE"/>
    <w:rPr>
      <w:rFonts w:eastAsiaTheme="majorEastAsia" w:cstheme="majorBidi"/>
      <w:color w:val="272727" w:themeColor="text1" w:themeTint="D8"/>
    </w:rPr>
  </w:style>
  <w:style w:type="paragraph" w:styleId="Title">
    <w:name w:val="Title"/>
    <w:basedOn w:val="Normal"/>
    <w:next w:val="Normal"/>
    <w:link w:val="TitleChar"/>
    <w:uiPriority w:val="10"/>
    <w:qFormat/>
    <w:rsid w:val="000451D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51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451D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451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451DE"/>
    <w:pPr>
      <w:spacing w:before="160"/>
      <w:jc w:val="center"/>
    </w:pPr>
    <w:rPr>
      <w:i/>
      <w:iCs/>
      <w:color w:val="404040" w:themeColor="text1" w:themeTint="BF"/>
    </w:rPr>
  </w:style>
  <w:style w:type="character" w:customStyle="1" w:styleId="QuoteChar">
    <w:name w:val="Quote Char"/>
    <w:basedOn w:val="DefaultParagraphFont"/>
    <w:link w:val="Quote"/>
    <w:uiPriority w:val="29"/>
    <w:rsid w:val="000451DE"/>
    <w:rPr>
      <w:i/>
      <w:iCs/>
      <w:color w:val="404040" w:themeColor="text1" w:themeTint="BF"/>
    </w:rPr>
  </w:style>
  <w:style w:type="paragraph" w:styleId="ListParagraph">
    <w:name w:val="List Paragraph"/>
    <w:basedOn w:val="Normal"/>
    <w:uiPriority w:val="34"/>
    <w:qFormat/>
    <w:rsid w:val="000451DE"/>
    <w:pPr>
      <w:ind w:left="720"/>
      <w:contextualSpacing/>
    </w:pPr>
  </w:style>
  <w:style w:type="character" w:styleId="IntenseEmphasis">
    <w:name w:val="Intense Emphasis"/>
    <w:basedOn w:val="DefaultParagraphFont"/>
    <w:uiPriority w:val="21"/>
    <w:qFormat/>
    <w:rsid w:val="000451DE"/>
    <w:rPr>
      <w:i/>
      <w:iCs/>
      <w:color w:val="2F5496" w:themeColor="accent1" w:themeShade="BF"/>
    </w:rPr>
  </w:style>
  <w:style w:type="paragraph" w:styleId="IntenseQuote">
    <w:name w:val="Intense Quote"/>
    <w:basedOn w:val="Normal"/>
    <w:next w:val="Normal"/>
    <w:link w:val="IntenseQuoteChar"/>
    <w:uiPriority w:val="30"/>
    <w:qFormat/>
    <w:rsid w:val="000451D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451DE"/>
    <w:rPr>
      <w:i/>
      <w:iCs/>
      <w:color w:val="2F5496" w:themeColor="accent1" w:themeShade="BF"/>
    </w:rPr>
  </w:style>
  <w:style w:type="character" w:styleId="IntenseReference">
    <w:name w:val="Intense Reference"/>
    <w:basedOn w:val="DefaultParagraphFont"/>
    <w:uiPriority w:val="32"/>
    <w:qFormat/>
    <w:rsid w:val="000451DE"/>
    <w:rPr>
      <w:b/>
      <w:bCs/>
      <w:smallCaps/>
      <w:color w:val="2F5496" w:themeColor="accent1" w:themeShade="BF"/>
      <w:spacing w:val="5"/>
    </w:rPr>
  </w:style>
  <w:style w:type="paragraph" w:styleId="Header">
    <w:name w:val="header"/>
    <w:basedOn w:val="Normal"/>
    <w:link w:val="HeaderChar"/>
    <w:uiPriority w:val="99"/>
    <w:unhideWhenUsed/>
    <w:rsid w:val="00045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1DE"/>
  </w:style>
  <w:style w:type="paragraph" w:styleId="Footer">
    <w:name w:val="footer"/>
    <w:basedOn w:val="Normal"/>
    <w:link w:val="FooterChar"/>
    <w:uiPriority w:val="99"/>
    <w:unhideWhenUsed/>
    <w:rsid w:val="00045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1DE"/>
  </w:style>
  <w:style w:type="character" w:styleId="Hyperlink">
    <w:name w:val="Hyperlink"/>
    <w:basedOn w:val="DefaultParagraphFont"/>
    <w:uiPriority w:val="99"/>
    <w:unhideWhenUsed/>
    <w:rsid w:val="001C35A2"/>
    <w:rPr>
      <w:color w:val="0563C1" w:themeColor="hyperlink"/>
      <w:u w:val="single"/>
    </w:rPr>
  </w:style>
  <w:style w:type="character" w:styleId="UnresolvedMention">
    <w:name w:val="Unresolved Mention"/>
    <w:basedOn w:val="DefaultParagraphFont"/>
    <w:uiPriority w:val="99"/>
    <w:semiHidden/>
    <w:unhideWhenUsed/>
    <w:rsid w:val="001C35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1508678">
      <w:bodyDiv w:val="1"/>
      <w:marLeft w:val="0"/>
      <w:marRight w:val="0"/>
      <w:marTop w:val="0"/>
      <w:marBottom w:val="0"/>
      <w:divBdr>
        <w:top w:val="none" w:sz="0" w:space="0" w:color="auto"/>
        <w:left w:val="none" w:sz="0" w:space="0" w:color="auto"/>
        <w:bottom w:val="none" w:sz="0" w:space="0" w:color="auto"/>
        <w:right w:val="none" w:sz="0" w:space="0" w:color="auto"/>
      </w:divBdr>
    </w:div>
    <w:div w:id="12782914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waste-prevention-programme-for-england-maximising-resources-minimising-waste/the-waste-prevention-programme-for-england-maximising-resources-minimising-waste"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gov.uk/government/news/apha-warns-not-to-feed-kitchen-scraps-to-farm-animals-because-of-disease-risk"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yperlink" Target="https://commonslibrary.parliament.uk/research-briefings/cbp-7552/" TargetMode="External"/><Relationship Id="rId4" Type="http://schemas.openxmlformats.org/officeDocument/2006/relationships/footnotes" Target="footnotes.xml"/><Relationship Id="rId9" Type="http://schemas.openxmlformats.org/officeDocument/2006/relationships/hyperlink" Target="https://researchbriefings.files.parliament.uk/documents/CBP-7552/CBP-7552.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93</TotalTime>
  <Pages>13</Pages>
  <Words>4057</Words>
  <Characters>23127</Characters>
  <Application>Microsoft Office Word</Application>
  <DocSecurity>0</DocSecurity>
  <Lines>192</Lines>
  <Paragraphs>54</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Introduction</vt:lpstr>
      <vt:lpstr>Literature review</vt:lpstr>
      <vt:lpstr>Methodology</vt:lpstr>
      <vt:lpstr>Theme impact analysis</vt:lpstr>
      <vt:lpstr>Conclusion</vt:lpstr>
      <vt:lpstr>Recommendations</vt:lpstr>
      <vt:lpstr>References</vt:lpstr>
    </vt:vector>
  </TitlesOfParts>
  <Company/>
  <LinksUpToDate>false</LinksUpToDate>
  <CharactersWithSpaces>27130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2025-05-26T20:18:00Z</dcterms:created>
  <dcterms:modified xsi:type="dcterms:W3CDTF">2025-05-26T22:15:00Z</dcterms:modified>
</cp:coreProperties>
</file>