
<file path=[Content_Types].xml><?xml version="1.0" encoding="utf-8"?>
<Types xmlns="http://schemas.openxmlformats.org/package/2006/content-types">
  <Default Extension="xml" ContentType="application/xml"/>
  <Default Extension="ttf" ContentType="application/x-font-ttf"/>
  <Default Extension="rels" ContentType="application/vnd.openxmlformats-package.relationships+xml"/>
  <Default Extension="jpg" ContentType="image/jpeg"/>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word/styles.xml" ContentType="application/vnd.openxmlformats-officedocument.wordprocessingml.styles+xml"/>
  <Override PartName="/word/footer1.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word/header1.xml" ContentType="application/vnd.openxmlformats-officedocument.wordprocessingml.header+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package/2006/relationships/metadata/core-properties" Target="docProps/core.xml" Id="rId1" /><Relationship Type="http://schemas.openxmlformats.org/officeDocument/2006/relationships/officeDocument" Target="word/document.xml" Id="rId2" /><Relationship Type="http://schemas.openxmlformats.org/officeDocument/2006/relationships/extended-properties" Target="/docProps/app.xml" Id="Rd0ebdb437baa4345"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a14="http://schemas.microsoft.com/office/drawing/2010/main" xmlns:woe="http://schemas.microsoft.com/office/word/2020/oembed" mc:Ignorable="wp14">
  <w:body>
    <w:p w:rsidR="040530DB" w:rsidP="040530DB" w:rsidRDefault="040530DB" w14:paraId="2311C4F2" w14:textId="76F04E17">
      <w:pP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w:rsidR="040530DB" w:rsidP="040530DB" w:rsidRDefault="040530DB" w14:paraId="08C03A1B" w14:textId="19C76524">
      <w:pP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w:rsidR="6F8ED14F" w:rsidP="040530DB" w:rsidRDefault="6F8ED14F" w14:paraId="70C4B367" w14:textId="5C987BE2">
      <w:pPr>
        <w:shd w:val="clear" w:color="auto" w:fill="auto"/>
        <w:spacing w:before="0" w:after="0" w:line="480" w:lineRule="auto"/>
        <w:ind w:left="0" w:right="0" w:firstLine="0"/>
        <w:jc w:val="center"/>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r w:rsidRPr="39F5A7F2" w:rsidR="6F8ED14F">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Pr>
        <w:t xml:space="preserve">University </w:t>
      </w:r>
      <w:r w:rsidRPr="39F5A7F2" w:rsidR="06B0CA0C">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Pr>
        <w:t>of</w:t>
      </w:r>
      <w:r w:rsidRPr="39F5A7F2" w:rsidR="6F8ED14F">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Pr>
        <w:t xml:space="preserve"> Wales Trinity Saint David</w:t>
      </w:r>
    </w:p>
    <w:p w:rsidR="040530DB" w:rsidP="040530DB" w:rsidRDefault="040530DB" w14:paraId="1F4197D3" w14:textId="47F8466F">
      <w:pP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w:rsidR="3A6ADB45" w:rsidP="040530DB" w:rsidRDefault="3A6ADB45" w14:paraId="420179CB" w14:textId="30E413F9">
      <w:pPr>
        <w:shd w:val="clear" w:color="auto" w:fill="auto"/>
        <w:spacing w:before="0" w:after="0" w:line="480" w:lineRule="auto"/>
        <w:ind w:left="0" w:right="0" w:firstLine="0"/>
        <w:jc w:val="center"/>
        <w:rPr>
          <w:rFonts w:ascii="Times New Roman" w:hAnsi="Times New Roman" w:eastAsia="Times New Roman" w:cs="Times New Roman"/>
          <w:b w:val="0"/>
          <w:bCs w:val="0"/>
          <w:i w:val="1"/>
          <w:iCs w:val="1"/>
          <w:caps w:val="0"/>
          <w:smallCaps w:val="0"/>
          <w:strike w:val="0"/>
          <w:dstrike w:val="0"/>
          <w:color w:val="000000" w:themeColor="text1" w:themeTint="FF" w:themeShade="FF"/>
          <w:sz w:val="22"/>
          <w:szCs w:val="22"/>
          <w:u w:val="none"/>
          <w:vertAlign w:val="baseline"/>
          <w:rtl w:val="0"/>
        </w:rPr>
      </w:pPr>
      <w:r w:rsidRPr="39F5A7F2" w:rsidR="3A6ADB45">
        <w:rPr>
          <w:rFonts w:ascii="Times New Roman" w:hAnsi="Times New Roman" w:eastAsia="Times New Roman" w:cs="Times New Roman"/>
          <w:b w:val="0"/>
          <w:bCs w:val="0"/>
          <w:i w:val="1"/>
          <w:iCs w:val="1"/>
          <w:caps w:val="0"/>
          <w:smallCaps w:val="0"/>
          <w:strike w:val="0"/>
          <w:dstrike w:val="0"/>
          <w:color w:val="000000" w:themeColor="text1" w:themeTint="FF" w:themeShade="FF"/>
          <w:sz w:val="22"/>
          <w:szCs w:val="22"/>
          <w:u w:val="none"/>
          <w:vertAlign w:val="baseline"/>
        </w:rPr>
        <w:t>‘</w:t>
      </w:r>
      <w:r w:rsidRPr="39F5A7F2" w:rsidR="7AE4D129">
        <w:rPr>
          <w:rFonts w:ascii="Times New Roman" w:hAnsi="Times New Roman" w:eastAsia="Times New Roman" w:cs="Times New Roman"/>
          <w:b w:val="0"/>
          <w:bCs w:val="0"/>
          <w:i w:val="1"/>
          <w:iCs w:val="1"/>
          <w:caps w:val="0"/>
          <w:smallCaps w:val="0"/>
          <w:strike w:val="0"/>
          <w:dstrike w:val="0"/>
          <w:color w:val="000000" w:themeColor="text1" w:themeTint="FF" w:themeShade="FF"/>
          <w:sz w:val="22"/>
          <w:szCs w:val="22"/>
          <w:u w:val="none"/>
          <w:vertAlign w:val="baseline"/>
        </w:rPr>
        <w:t xml:space="preserve">The Historical Theories of Crime </w:t>
      </w:r>
      <w:r w:rsidRPr="39F5A7F2" w:rsidR="3989B65B">
        <w:rPr>
          <w:rFonts w:ascii="Times New Roman" w:hAnsi="Times New Roman" w:eastAsia="Times New Roman" w:cs="Times New Roman"/>
          <w:b w:val="0"/>
          <w:bCs w:val="0"/>
          <w:i w:val="1"/>
          <w:iCs w:val="1"/>
          <w:caps w:val="0"/>
          <w:smallCaps w:val="0"/>
          <w:strike w:val="0"/>
          <w:dstrike w:val="0"/>
          <w:color w:val="000000" w:themeColor="text1" w:themeTint="FF" w:themeShade="FF"/>
          <w:sz w:val="22"/>
          <w:szCs w:val="22"/>
          <w:u w:val="none"/>
          <w:vertAlign w:val="baseline"/>
        </w:rPr>
        <w:t>and</w:t>
      </w:r>
      <w:r w:rsidRPr="39F5A7F2" w:rsidR="7AE4D129">
        <w:rPr>
          <w:rFonts w:ascii="Times New Roman" w:hAnsi="Times New Roman" w:eastAsia="Times New Roman" w:cs="Times New Roman"/>
          <w:b w:val="0"/>
          <w:bCs w:val="0"/>
          <w:i w:val="1"/>
          <w:iCs w:val="1"/>
          <w:caps w:val="0"/>
          <w:smallCaps w:val="0"/>
          <w:strike w:val="0"/>
          <w:dstrike w:val="0"/>
          <w:color w:val="000000" w:themeColor="text1" w:themeTint="FF" w:themeShade="FF"/>
          <w:sz w:val="22"/>
          <w:szCs w:val="22"/>
          <w:u w:val="none"/>
          <w:vertAlign w:val="baseline"/>
        </w:rPr>
        <w:t xml:space="preserve"> The Case Study of Robert Thomps</w:t>
      </w:r>
      <w:r w:rsidRPr="39F5A7F2" w:rsidR="48192B33">
        <w:rPr>
          <w:rFonts w:ascii="Times New Roman" w:hAnsi="Times New Roman" w:eastAsia="Times New Roman" w:cs="Times New Roman"/>
          <w:b w:val="0"/>
          <w:bCs w:val="0"/>
          <w:i w:val="1"/>
          <w:iCs w:val="1"/>
          <w:caps w:val="0"/>
          <w:smallCaps w:val="0"/>
          <w:strike w:val="0"/>
          <w:dstrike w:val="0"/>
          <w:color w:val="000000" w:themeColor="text1" w:themeTint="FF" w:themeShade="FF"/>
          <w:sz w:val="22"/>
          <w:szCs w:val="22"/>
          <w:u w:val="none"/>
          <w:vertAlign w:val="baseline"/>
        </w:rPr>
        <w:t>on and Jon Venables</w:t>
      </w:r>
      <w:r w:rsidRPr="39F5A7F2" w:rsidR="38B2A64C">
        <w:rPr>
          <w:rFonts w:ascii="Times New Roman" w:hAnsi="Times New Roman" w:eastAsia="Times New Roman" w:cs="Times New Roman"/>
          <w:b w:val="0"/>
          <w:bCs w:val="0"/>
          <w:i w:val="1"/>
          <w:iCs w:val="1"/>
          <w:caps w:val="0"/>
          <w:smallCaps w:val="0"/>
          <w:strike w:val="0"/>
          <w:dstrike w:val="0"/>
          <w:color w:val="000000" w:themeColor="text1" w:themeTint="FF" w:themeShade="FF"/>
          <w:sz w:val="22"/>
          <w:szCs w:val="22"/>
          <w:u w:val="none"/>
          <w:vertAlign w:val="baseline"/>
        </w:rPr>
        <w:t>’</w:t>
      </w:r>
    </w:p>
    <w:p w:rsidR="040530DB" w:rsidP="040530DB" w:rsidRDefault="040530DB" w14:paraId="272B7E93" w14:textId="4413D366">
      <w:pP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w:rsidR="08C3E60E" w:rsidP="040530DB" w:rsidRDefault="08C3E60E" w14:paraId="2E202E75" w14:textId="33C2EF85">
      <w:pPr>
        <w:shd w:val="clear" w:color="auto" w:fill="auto"/>
        <w:spacing w:before="0" w:after="0" w:line="480" w:lineRule="auto"/>
        <w:ind w:left="0" w:right="0" w:firstLine="0"/>
        <w:jc w:val="center"/>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r w:rsidRPr="39F5A7F2" w:rsidR="08C3E60E">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Pr>
        <w:t>Elyse Hopkins</w:t>
      </w:r>
    </w:p>
    <w:p w:rsidR="0A6CB9BA" w:rsidP="040530DB" w:rsidRDefault="0A6CB9BA" w14:paraId="1E7716BF" w14:textId="42211EFF">
      <w:pPr>
        <w:pStyle w:val="Normal"/>
        <w:jc w:val="center"/>
        <w:rPr>
          <w:sz w:val="24"/>
          <w:szCs w:val="24"/>
        </w:rPr>
      </w:pPr>
      <w:r w:rsidRPr="39F5A7F2" w:rsidR="0A6CB9BA">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Pr>
        <w:t>1550604</w:t>
      </w:r>
    </w:p>
    <w:p w:rsidR="040530DB" w:rsidP="040530DB" w:rsidRDefault="040530DB" w14:paraId="7060DB80" w14:textId="2C4CBEF6">
      <w:pP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w:rsidR="040530DB" w:rsidP="040530DB" w:rsidRDefault="040530DB" w14:paraId="5097A6AD" w14:textId="01B8867E">
      <w:pP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w:rsidR="040530DB" w:rsidP="040530DB" w:rsidRDefault="040530DB" w14:paraId="466CEE83" w14:textId="48031C92">
      <w:pP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w:rsidR="040530DB" w:rsidP="040530DB" w:rsidRDefault="040530DB" w14:paraId="361CB319" w14:textId="5AA95925">
      <w:pP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w:rsidR="040530DB" w:rsidP="040530DB" w:rsidRDefault="040530DB" w14:paraId="4FF1EF96" w14:textId="4C60106C">
      <w:pP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w:rsidR="040530DB" w:rsidP="040530DB" w:rsidRDefault="040530DB" w14:paraId="7DD4CF94" w14:textId="2F3AC73A">
      <w:pP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w:rsidR="040530DB" w:rsidP="040530DB" w:rsidRDefault="040530DB" w14:paraId="3779BAE6" w14:textId="51CB63E4">
      <w:pP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w:rsidR="040530DB" w:rsidP="040530DB" w:rsidRDefault="040530DB" w14:paraId="0397ED65" w14:textId="3A0E2A53">
      <w:pP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w:rsidR="040530DB" w:rsidP="040530DB" w:rsidRDefault="040530DB" w14:paraId="668FE445" w14:textId="6B8976D8">
      <w:pP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w:rsidR="040530DB" w:rsidP="040530DB" w:rsidRDefault="040530DB" w14:paraId="2D38EFF3" w14:textId="2047F4CB">
      <w:pP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w:rsidR="040530DB" w:rsidP="040530DB" w:rsidRDefault="040530DB" w14:paraId="5B00DC49" w14:textId="60245196">
      <w:pP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w:rsidR="040530DB" w:rsidP="040530DB" w:rsidRDefault="040530DB" w14:paraId="301970E0" w14:textId="21375DF0">
      <w:pP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w:rsidR="040530DB" w:rsidP="040530DB" w:rsidRDefault="040530DB" w14:paraId="33114F99" w14:textId="305ABD79">
      <w:pP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w:rsidR="040530DB" w:rsidP="040530DB" w:rsidRDefault="040530DB" w14:paraId="389E036D" w14:textId="04251714">
      <w:pP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w:rsidR="040530DB" w:rsidP="040530DB" w:rsidRDefault="040530DB" w14:paraId="62A29F3D" w14:textId="532BC061">
      <w:pP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w:rsidR="040530DB" w:rsidP="040530DB" w:rsidRDefault="040530DB" w14:paraId="3964D632" w14:textId="633D86E9">
      <w:pP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w:rsidR="040530DB" w:rsidP="040530DB" w:rsidRDefault="040530DB" w14:paraId="79A24F51" w14:textId="0EDD0296">
      <w:pP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w:rsidR="040530DB" w:rsidP="040530DB" w:rsidRDefault="040530DB" w14:paraId="657F0A6F" w14:textId="78FD71D3">
      <w:pP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w:rsidR="040530DB" w:rsidP="040530DB" w:rsidRDefault="040530DB" w14:paraId="0C4A9438" w14:textId="11879D3A">
      <w:pP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w:rsidR="040530DB" w:rsidP="040530DB" w:rsidRDefault="040530DB" w14:paraId="5E168E3D" w14:textId="582990E0">
      <w:pP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w:rsidR="040530DB" w:rsidP="040530DB" w:rsidRDefault="040530DB" w14:paraId="39C99DE8" w14:textId="5306EE2F">
      <w:pP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w:rsidR="040530DB" w:rsidP="040530DB" w:rsidRDefault="040530DB" w14:paraId="0098DE89" w14:textId="2275C0ED">
      <w:pP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w:rsidR="040530DB" w:rsidP="040530DB" w:rsidRDefault="040530DB" w14:paraId="6F24103E" w14:textId="59CD098E">
      <w:pP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w:rsidR="040530DB" w:rsidP="040530DB" w:rsidRDefault="040530DB" w14:paraId="3175EB61" w14:textId="38610B2C">
      <w:pP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xmlns:wp14="http://schemas.microsoft.com/office/word/2010/wordml" w:rsidRPr="00000000" w:rsidR="00000000" w:rsidDel="00000000" w:rsidP="040530DB" w:rsidRDefault="00000000" w14:paraId="00000001" wp14:textId="2903480B">
      <w:pPr>
        <w:keepNext w:val="0"/>
        <w:keepLines w:val="0"/>
        <w:widowControl w:val="1"/>
        <w:pBdr>
          <w:top w:val="nil" w:sz="0" w:space="0"/>
          <w:left w:val="nil" w:sz="0" w:space="0"/>
          <w:bottom w:val="nil" w:sz="0" w:space="0"/>
          <w:right w:val="nil" w:sz="0" w:space="0"/>
          <w:between w:val="nil" w:sz="0" w:space="0"/>
        </w:pBd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pP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“Crime” is defined as an ever-changing entity, the changes of legislation and different rules applying to different areas and societies (Durkheim, 1938 as cited in Newburn, 2013, p.170). Because of this, it is uncertain someone’s reasons and motives for crime, there have been multiple theories to why criminals offend. Criminological theories could help in crime prevention;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therefore,</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it is useful to know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catalysts</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or triggers for these individuals who carry out criminal </w:t>
      </w:r>
      <w:proofErr w:type="spellStart"/>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behaviour</w:t>
      </w:r>
      <w:proofErr w:type="spellEnd"/>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to get a better understanding for why they occur (Newburn, 2013, p.6). David Garland’s states that criminology comes under two “streams of work; </w:t>
      </w:r>
      <w:r w:rsidRPr="040530DB" w:rsidDel="00000000" w:rsidR="040530DB">
        <w:rPr>
          <w:rFonts w:ascii="Times New Roman" w:hAnsi="Times New Roman" w:eastAsia="Times New Roman" w:cs="Times New Roman"/>
          <w:b w:val="0"/>
          <w:bCs w:val="0"/>
          <w:i w:val="1"/>
          <w:iCs w:val="1"/>
          <w:caps w:val="0"/>
          <w:smallCaps w:val="0"/>
          <w:strike w:val="0"/>
          <w:dstrike w:val="0"/>
          <w:color w:val="000000"/>
          <w:sz w:val="22"/>
          <w:szCs w:val="22"/>
          <w:u w:val="none"/>
          <w:shd w:val="clear" w:fill="auto"/>
          <w:vertAlign w:val="baseline"/>
        </w:rPr>
        <w:t xml:space="preserve">The Governmental Project</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and </w:t>
      </w:r>
      <w:r w:rsidRPr="040530DB" w:rsidDel="00000000" w:rsidR="040530DB">
        <w:rPr>
          <w:rFonts w:ascii="Times New Roman" w:hAnsi="Times New Roman" w:eastAsia="Times New Roman" w:cs="Times New Roman"/>
          <w:b w:val="0"/>
          <w:bCs w:val="0"/>
          <w:i w:val="1"/>
          <w:iCs w:val="1"/>
          <w:caps w:val="0"/>
          <w:smallCaps w:val="0"/>
          <w:strike w:val="0"/>
          <w:dstrike w:val="0"/>
          <w:color w:val="000000"/>
          <w:sz w:val="22"/>
          <w:szCs w:val="22"/>
          <w:u w:val="none"/>
          <w:shd w:val="clear" w:fill="auto"/>
          <w:vertAlign w:val="baseline"/>
        </w:rPr>
        <w:t xml:space="preserve">The</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proofErr w:type="spellStart"/>
      <w:r w:rsidRPr="040530DB" w:rsidDel="00000000" w:rsidR="040530DB">
        <w:rPr>
          <w:rFonts w:ascii="Times New Roman" w:hAnsi="Times New Roman" w:eastAsia="Times New Roman" w:cs="Times New Roman"/>
          <w:b w:val="0"/>
          <w:bCs w:val="0"/>
          <w:i w:val="1"/>
          <w:iCs w:val="1"/>
          <w:caps w:val="0"/>
          <w:smallCaps w:val="0"/>
          <w:strike w:val="0"/>
          <w:dstrike w:val="0"/>
          <w:color w:val="000000"/>
          <w:sz w:val="22"/>
          <w:szCs w:val="22"/>
          <w:u w:val="none"/>
          <w:shd w:val="clear" w:fill="auto"/>
          <w:vertAlign w:val="baseline"/>
        </w:rPr>
        <w:t xml:space="preserve">Lambrosian</w:t>
      </w:r>
      <w:proofErr w:type="spellEnd"/>
      <w:r w:rsidRPr="040530DB" w:rsidDel="00000000" w:rsidR="040530DB">
        <w:rPr>
          <w:rFonts w:ascii="Times New Roman" w:hAnsi="Times New Roman" w:eastAsia="Times New Roman" w:cs="Times New Roman"/>
          <w:b w:val="0"/>
          <w:bCs w:val="0"/>
          <w:i w:val="1"/>
          <w:iCs w:val="1"/>
          <w:caps w:val="0"/>
          <w:smallCaps w:val="0"/>
          <w:strike w:val="0"/>
          <w:dstrike w:val="0"/>
          <w:color w:val="000000"/>
          <w:sz w:val="22"/>
          <w:szCs w:val="22"/>
          <w:u w:val="none"/>
          <w:shd w:val="clear" w:fill="auto"/>
          <w:vertAlign w:val="baseline"/>
        </w:rPr>
        <w:t xml:space="preserve"> Project</w:t>
      </w:r>
      <w:r w:rsidRPr="00000000" w:rsidDel="00000000" w:rsidR="040530DB">
        <w:rPr>
          <w:sz w:val="22"/>
          <w:szCs w:val="22"/>
        </w:rPr>
        <w:t xml:space="preserve">'' governmental</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using police and prison work and its “administration of criminal justice” (Newburn, 2013, p.114), whilst </w:t>
      </w:r>
      <w:proofErr w:type="spellStart"/>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Lambrosian</w:t>
      </w:r>
      <w:proofErr w:type="spellEnd"/>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studies the characteristics to distinguish ‘criminals’ from ‘non criminals’ (Newburn, 2013, p.4).</w:t>
      </w:r>
    </w:p>
    <w:p xmlns:wp14="http://schemas.microsoft.com/office/word/2010/wordml" w:rsidRPr="00000000" w:rsidR="00000000" w:rsidDel="00000000" w:rsidP="040530DB" w:rsidRDefault="00000000" w14:paraId="00000002" wp14:textId="7C460DA6">
      <w:pPr>
        <w:keepNext w:val="0"/>
        <w:keepLines w:val="0"/>
        <w:widowControl w:val="1"/>
        <w:pBdr>
          <w:top w:val="nil" w:sz="0" w:space="0"/>
          <w:left w:val="nil" w:sz="0" w:space="0"/>
          <w:bottom w:val="nil" w:sz="0" w:space="0"/>
          <w:right w:val="nil" w:sz="0" w:space="0"/>
          <w:between w:val="nil" w:sz="0" w:space="0"/>
        </w:pBd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pP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Criminology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considers</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psychological, social, legal theory and historical factors, however “different approaches are at odds with each other” which may explain the challenges to </w:t>
      </w:r>
      <w:r w:rsidRPr="00000000" w:rsidDel="00000000" w:rsidR="040530DB">
        <w:rPr>
          <w:sz w:val="22"/>
          <w:szCs w:val="22"/>
        </w:rPr>
        <w:t xml:space="preserve">pinpoint</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what exactly is the “true” cause, if there is such (Newburn, 2013, p.4). </w:t>
      </w:r>
    </w:p>
    <w:p xmlns:wp14="http://schemas.microsoft.com/office/word/2010/wordml" w:rsidRPr="00000000" w:rsidR="00000000" w:rsidDel="00000000" w:rsidP="00000000" w:rsidRDefault="00000000" w14:paraId="00000003"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480" w:lineRule="auto"/>
        <w:ind w:left="0" w:right="0" w:firstLine="0"/>
        <w:jc w:val="left"/>
        <w:rPr>
          <w:rFonts w:ascii="Times New Roman" w:hAnsi="Times New Roman" w:eastAsia="Times New Roman" w:cs="Times New Roman"/>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40530DB" w:rsidRDefault="00000000" w14:paraId="00000004" wp14:textId="708D6CF5">
      <w:pPr>
        <w:keepNext w:val="0"/>
        <w:keepLines w:val="0"/>
        <w:widowControl w:val="1"/>
        <w:pBdr>
          <w:top w:val="nil" w:sz="0" w:space="0"/>
          <w:left w:val="nil" w:sz="0" w:space="0"/>
          <w:bottom w:val="nil" w:sz="0" w:space="0"/>
          <w:right w:val="nil" w:sz="0" w:space="0"/>
          <w:between w:val="nil" w:sz="0" w:space="0"/>
        </w:pBd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pP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As a result of these theories,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it’s</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left room for possibility for </w:t>
      </w:r>
      <w:proofErr w:type="gramStart"/>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a number of</w:t>
      </w:r>
      <w:proofErr w:type="gramEnd"/>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causes for crime; as society advances, new discoveries and developments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of theories</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are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perhaps due</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to a better understanding of human </w:t>
      </w:r>
      <w:proofErr w:type="spellStart"/>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behaviour</w:t>
      </w:r>
      <w:proofErr w:type="spellEnd"/>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and its causes. In a historical context, they seem to stem from these main </w:t>
      </w:r>
      <w:proofErr w:type="gramStart"/>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theories;</w:t>
      </w:r>
      <w:proofErr w:type="gramEnd"/>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Classicism, Positivism, and Sociological. </w:t>
      </w:r>
    </w:p>
    <w:p xmlns:wp14="http://schemas.microsoft.com/office/word/2010/wordml" w:rsidRPr="00000000" w:rsidR="00000000" w:rsidDel="00000000" w:rsidP="040530DB" w:rsidRDefault="00000000" w14:paraId="00000007" wp14:textId="2F9D8549">
      <w:pPr>
        <w:keepNext w:val="0"/>
        <w:keepLines w:val="0"/>
        <w:widowControl w:val="1"/>
        <w:pBdr>
          <w:top w:val="nil" w:sz="0" w:space="0"/>
          <w:left w:val="nil" w:sz="0" w:space="0"/>
          <w:bottom w:val="nil" w:sz="0" w:space="0"/>
          <w:right w:val="nil" w:sz="0" w:space="0"/>
          <w:between w:val="nil" w:sz="0" w:space="0"/>
        </w:pBd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pP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Classicism is described to be the theory that an individual can have rational thought, knows “right from wrong” known as rational choice theory (Muncie, 2009, p.400) and has the freedom of choice to offend knowing what the consequences entail, and the belief of punishment as a deterrent to these crimes (Muncie, 2009, p.92-93). “Classical Theory was a general shift from feudal to industrial</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feudal way of life implying morbid consequences for morbid actions. In this sense, classical theory may have been a way of people are deterring from crime by having a form of punishment “consistent” that applies to all, with its focus to deter people from committing such acts of criminal behaviour. Jeremy Bentham’s Utilitarianism principles of the pleasure / pain concept to inflict pain onto the offender that who received pleasure, to equal the offence to ensure “compliance for the greater good</w:t>
      </w:r>
      <w:r w:rsidRPr="00000000" w:rsidDel="00000000" w:rsidR="00000000">
        <w:rPr>
          <w:rtl w:val="0"/>
        </w:rPr>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Likewise, Beccaria’s principles of punishment </w:t>
      </w:r>
      <w:proofErr w:type="gramStart"/>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was</w:t>
      </w:r>
      <w:proofErr w:type="gramEnd"/>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justification that a criminal had “infringed the rights of others” (Newburn, 2013, p.117). Beccaria’s teachings </w:t>
      </w:r>
    </w:p>
    <w:p xmlns:wp14="http://schemas.microsoft.com/office/word/2010/wordml" w:rsidRPr="00000000" w:rsidR="00000000" w:rsidDel="00000000" w:rsidP="040530DB" w:rsidRDefault="00000000" w14:paraId="00000008" wp14:textId="77777777">
      <w:pPr>
        <w:keepNext w:val="0"/>
        <w:keepLines w:val="0"/>
        <w:widowControl w:val="1"/>
        <w:pBdr>
          <w:top w:val="nil" w:sz="0" w:space="0"/>
          <w:left w:val="nil" w:sz="0" w:space="0"/>
          <w:bottom w:val="nil" w:sz="0" w:space="0"/>
          <w:right w:val="nil" w:sz="0" w:space="0"/>
          <w:between w:val="nil" w:sz="0" w:space="0"/>
        </w:pBd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pPr>
    </w:p>
    <w:p w:rsidR="040530DB" w:rsidP="040530DB" w:rsidRDefault="040530DB" w14:paraId="6706A3AB" w14:textId="1EEEB2EA">
      <w:pPr>
        <w:pStyle w:val="Normal"/>
        <w:spacing w:line="480" w:lineRule="auto"/>
        <w:rPr>
          <w:sz w:val="24"/>
          <w:szCs w:val="24"/>
        </w:rPr>
      </w:pPr>
    </w:p>
    <w:p xmlns:wp14="http://schemas.microsoft.com/office/word/2010/wordml" w:rsidRPr="00000000" w:rsidR="00000000" w:rsidDel="00000000" w:rsidP="040530DB" w:rsidRDefault="00000000" w14:paraId="00000009" wp14:textId="155DE08A">
      <w:pPr>
        <w:keepNext w:val="0"/>
        <w:keepLines w:val="0"/>
        <w:widowControl w:val="1"/>
        <w:pBdr>
          <w:top w:val="nil" w:sz="0" w:space="0"/>
          <w:left w:val="nil" w:sz="0" w:space="0"/>
          <w:bottom w:val="nil" w:sz="0" w:space="0"/>
          <w:right w:val="nil" w:sz="0" w:space="0"/>
          <w:between w:val="nil" w:sz="0" w:space="0"/>
        </w:pBd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pPr>
      <w:r w:rsidRPr="040530DB" w:rsidDel="00000000" w:rsidR="436D6000">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In Neo Classicism’s, it believes that the individual can seek a “just” solution or punishment, backed by scientific reasons to why the individual committed the crime in the first place is for the offender to gain personal benefit. In that sense, the individual may deter from committing a crime if the punishment goes against what they wish to gain; whilst classicism suggests that a person offends, they get punished for it, and the punishment is in line or equal to the offence (Newburn, 2013, p.114). </w:t>
      </w:r>
      <w:proofErr w:type="gramStart"/>
      <w:r w:rsidRPr="040530DB" w:rsidDel="00000000" w:rsidR="436D6000">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With this in mind, Classicism</w:t>
      </w:r>
      <w:proofErr w:type="gramEnd"/>
      <w:r w:rsidRPr="040530DB" w:rsidDel="00000000" w:rsidR="436D6000">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can be perceived too narrow of a reason for why a person commits crime, as with </w:t>
      </w:r>
      <w:r w:rsidRPr="040530DB" w:rsidDel="00000000" w:rsidR="436D6000">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Bentham's</w:t>
      </w:r>
      <w:r w:rsidRPr="040530DB" w:rsidDel="00000000" w:rsidR="436D6000">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Utilitarianism teachings that crime is driven from pleasure, seems it does not cover enough basis or does not consider other known factors to why an individual offends as Muncie states: </w:t>
      </w:r>
    </w:p>
    <w:p xmlns:wp14="http://schemas.microsoft.com/office/word/2010/wordml" w:rsidRPr="00000000" w:rsidR="00000000" w:rsidDel="00000000" w:rsidP="040530DB" w:rsidRDefault="00000000" w14:paraId="6ECBED90" wp14:textId="34C70503">
      <w:pPr>
        <w:keepNext w:val="0"/>
        <w:keepLines w:val="0"/>
        <w:widowControl w:val="1"/>
        <w:pBdr>
          <w:top w:val="nil" w:sz="0" w:space="0"/>
          <w:left w:val="nil" w:sz="0" w:space="0"/>
          <w:bottom w:val="nil" w:sz="0" w:space="0"/>
          <w:right w:val="nil" w:sz="0" w:space="0"/>
          <w:between w:val="nil" w:sz="0" w:space="0"/>
        </w:pBd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Pr>
      </w:pP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“Such a decision (freely made) is however, influenced by inherited constitutional factors” (Muncie, 2009, p.93), the person may inherit characteristics or mannerisms, whether biological or sociologically taught. The response to crime in classicist terms focuses on the punishment whilst positivism seeks treatment (Newburn, 2013, p.120</w:t>
      </w:r>
      <w:proofErr w:type="gramStart"/>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In</w:t>
      </w:r>
      <w:proofErr w:type="gramEnd"/>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contrast to Classicism, Positivism believes that there is a variety of influences to reason the acts of the individual through scientific studies; more factors are considered such </w:t>
      </w:r>
      <w:proofErr w:type="gramStart"/>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as;</w:t>
      </w:r>
      <w:proofErr w:type="gramEnd"/>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Biological including Psychological Positivism, and Sociological (Muncie, 2009, p.400). </w:t>
      </w:r>
      <w:r w:rsidRPr="00000000" w:rsidDel="00000000" w:rsidR="00000000">
        <w:rPr>
          <w:rtl w:val="0"/>
        </w:rPr>
      </w:r>
    </w:p>
    <w:p xmlns:wp14="http://schemas.microsoft.com/office/word/2010/wordml" w:rsidRPr="00000000" w:rsidR="00000000" w:rsidDel="00000000" w:rsidP="040530DB" w:rsidRDefault="00000000" w14:paraId="2E1F41AB" wp14:textId="577F00E6">
      <w:pPr>
        <w:keepNext w:val="0"/>
        <w:keepLines w:val="0"/>
        <w:widowControl w:val="1"/>
        <w:pBdr>
          <w:top w:val="nil" w:sz="0" w:space="0"/>
          <w:left w:val="nil" w:sz="0" w:space="0"/>
          <w:bottom w:val="nil" w:sz="0" w:space="0"/>
          <w:right w:val="nil" w:sz="0" w:space="0"/>
          <w:between w:val="nil" w:sz="0" w:space="0"/>
        </w:pBd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Pr>
      </w:pPr>
      <w:r w:rsidRPr="39F5A7F2" w:rsidDel="00000000" w:rsidR="3B0E1447">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p>
    <w:p xmlns:wp14="http://schemas.microsoft.com/office/word/2010/wordml" w:rsidRPr="00000000" w:rsidR="00000000" w:rsidDel="00000000" w:rsidP="040530DB" w:rsidRDefault="00000000" w14:paraId="0000000D" wp14:textId="75B1FCE7">
      <w:pPr>
        <w:keepNext w:val="0"/>
        <w:keepLines w:val="0"/>
        <w:widowControl w:val="1"/>
        <w:pBdr>
          <w:top w:val="nil" w:sz="0" w:space="0"/>
          <w:left w:val="nil" w:sz="0" w:space="0"/>
          <w:bottom w:val="nil" w:sz="0" w:space="0"/>
          <w:right w:val="nil" w:sz="0" w:space="0"/>
          <w:between w:val="nil" w:sz="0" w:space="0"/>
        </w:pBd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pP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The physiology of a “criminal</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studies into physical characteristics </w:t>
      </w:r>
      <w:r w:rsidRPr="39F5A7F2" w:rsidDel="00000000" w:rsidR="311D9F3C">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that </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would </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indicate</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the </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behaviour</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of the individual, Cesare Lombroso’s theory of Atavism “primitive” features and being born a criminal, goes in hand with the theory of correlating someone’s features with their temperament known as “somatotyping</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w:t>
      </w:r>
      <w:r w:rsidRPr="39F5A7F2" w:rsidDel="00000000" w:rsidR="271B1538">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theorized by Earnest Hooton</w:t>
      </w:r>
      <w:r w:rsidRPr="39F5A7F2" w:rsidDel="00000000" w:rsidR="1D16BC7D">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r w:rsidRPr="39F5A7F2" w:rsidDel="00000000" w:rsidR="0E3EEF42">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and later</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by William Sheldon in 1949</w:t>
      </w:r>
      <w:r w:rsidRPr="39F5A7F2" w:rsidR="2D85412B">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Pr>
        <w:t xml:space="preserve"> (Newburn, 2013, p.127)</w:t>
      </w:r>
      <w:r w:rsidRPr="39F5A7F2" w:rsidDel="00000000" w:rsidR="2D85412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r w:rsidRPr="39F5A7F2" w:rsidDel="00000000" w:rsidR="619E05F0">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This theory may </w:t>
      </w:r>
      <w:r w:rsidRPr="39F5A7F2" w:rsidDel="00000000" w:rsidR="619E05F0">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be considered to be</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extreme in the sense that there’s suggested inferiority </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determined</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by how an individual looks, that they would act in a certain way based on assumption (Muncie, 2009, p.89, p.403). Muncie further states that Earnest Hooton and Sheldon’s theories of Somatotyping could have been hinting the character type with a social class character; athletic build associating with delinquency, delinquency associating with malnutrition and manual </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labour</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linking to a likely “working class origin” (Muncie, 2009, p.90). This implies a prejudice way of thinking basing theories on assumption, the theory was </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favourable</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as a way of “differentiating between us and them” creating a divide of classes that the more “sophisticated” can be comfortably marginalized from the lower class (Muncie, 2009, p.92). </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Lambroso’s</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study, due to scientific knowledge of the time compared to modern day’s understanding, quickly became outdated as “ideas were a product of their era” the findings were based </w:t>
      </w:r>
      <w:r w:rsidRPr="39F5A7F2" w:rsidDel="00000000" w:rsidR="6A66BE29">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on</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the assumptions and technologies in 1800s (Newburn, 2013, p.125). </w:t>
      </w:r>
    </w:p>
    <w:p w:rsidR="040530DB" w:rsidP="040530DB" w:rsidRDefault="040530DB" w14:paraId="1794F414" w14:textId="0BE07F84">
      <w:pPr>
        <w:pStyle w:val="Normal"/>
        <w:spacing w:line="480" w:lineRule="auto"/>
        <w:rPr>
          <w:sz w:val="24"/>
          <w:szCs w:val="24"/>
        </w:rPr>
      </w:pPr>
    </w:p>
    <w:p xmlns:wp14="http://schemas.microsoft.com/office/word/2010/wordml" w:rsidRPr="00000000" w:rsidR="00000000" w:rsidDel="00000000" w:rsidP="040530DB" w:rsidRDefault="00000000" w14:paraId="00000012" wp14:textId="61EAB9E6">
      <w:pPr>
        <w:keepNext w:val="0"/>
        <w:keepLines w:val="0"/>
        <w:widowControl w:val="1"/>
        <w:pBdr>
          <w:top w:val="nil" w:sz="0" w:space="0"/>
          <w:left w:val="nil" w:sz="0" w:space="0"/>
          <w:bottom w:val="nil" w:sz="0" w:space="0"/>
          <w:right w:val="nil" w:sz="0" w:space="0"/>
          <w:between w:val="nil" w:sz="0" w:space="0"/>
        </w:pBd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pP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Charles Goring’s argument of “mental inferiority” inherited by criminal relations, the belief that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criminality</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is genetic, basing this belief off his own research of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criminality</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in spouses, families between parents and children. However, from this study, Goring believed that environment the individual grows up in, poverty and social status was “insignificant” to whether an individual would be a criminal, Muncie raised the notion that poverty, malnutrition, poor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schooling</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and unemployment could factor the relation to family members influencing the </w:t>
      </w:r>
      <w:proofErr w:type="spellStart"/>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behaviour</w:t>
      </w:r>
      <w:proofErr w:type="spellEnd"/>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(Muncie, 2009, p.91).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Environmental and social upbringing may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determine</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how the individual may act, similarly, upbringing without knowledge of biological and/or mental health defects may also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determine</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proofErr w:type="spellStart"/>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behaviour</w:t>
      </w:r>
      <w:proofErr w:type="spellEnd"/>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of the individual or lack of support from their peers/ family or adhering to the individual’s needs. </w:t>
      </w:r>
      <w:r w:rsidRPr="00000000" w:rsidDel="00000000" w:rsidR="00000000">
        <w:rPr>
          <w:rtl w:val="0"/>
        </w:rPr>
      </w:r>
      <w:r w:rsidRPr="00000000" w:rsidDel="00000000" w:rsidR="00000000">
        <w:rPr>
          <w:rtl w:val="0"/>
        </w:rPr>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It may negatively impact the </w:t>
      </w:r>
      <w:proofErr w:type="spellStart"/>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behaviour</w:t>
      </w:r>
      <w:proofErr w:type="spellEnd"/>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of the individual, reducing quality of life, the individual then seeking a solution which may not be socially or morally be in line with society. </w:t>
      </w:r>
    </w:p>
    <w:p w:rsidR="040530DB" w:rsidP="040530DB" w:rsidRDefault="040530DB" w14:paraId="45E1A5B8" w14:textId="1FC9A8AA">
      <w:pPr>
        <w:pStyle w:val="Normal"/>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xmlns:wp14="http://schemas.microsoft.com/office/word/2010/wordml" w:rsidRPr="00000000" w:rsidR="00000000" w:rsidDel="00000000" w:rsidP="040530DB" w:rsidRDefault="00000000" w14:paraId="00000014" wp14:textId="334D212F">
      <w:pPr>
        <w:pStyle w:val="Normal"/>
        <w:keepNext w:val="0"/>
        <w:keepLines w:val="0"/>
        <w:widowControl w:val="1"/>
        <w:pBdr>
          <w:top w:val="nil" w:sz="0" w:space="0"/>
          <w:left w:val="nil" w:sz="0" w:space="0"/>
          <w:bottom w:val="nil" w:sz="0" w:space="0"/>
          <w:right w:val="nil" w:sz="0" w:space="0"/>
          <w:between w:val="nil" w:sz="0" w:space="0"/>
        </w:pBd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pPr>
      <w:r w:rsidRPr="040530DB" w:rsidDel="00000000" w:rsidR="7779C59F">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Using the principles of Classicism, the placement of a mentally compromised individual with mentally able offender in a prison setting may not gain the support they need to recover and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desist</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as it may with the latter, as both Beccaria and Bentham were in </w:t>
      </w:r>
      <w:proofErr w:type="spellStart"/>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favour</w:t>
      </w:r>
      <w:proofErr w:type="spellEnd"/>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of imprisonment (Newburn, 2013, p.119). According to House of Commons Report of </w:t>
      </w:r>
      <w:r w:rsidRPr="040530DB" w:rsidDel="00000000" w:rsidR="040530DB">
        <w:rPr>
          <w:rFonts w:ascii="Times New Roman" w:hAnsi="Times New Roman" w:eastAsia="Times New Roman" w:cs="Times New Roman"/>
          <w:b w:val="0"/>
          <w:bCs w:val="0"/>
          <w:i w:val="1"/>
          <w:iCs w:val="1"/>
          <w:caps w:val="0"/>
          <w:smallCaps w:val="0"/>
          <w:strike w:val="0"/>
          <w:dstrike w:val="0"/>
          <w:color w:val="000000"/>
          <w:sz w:val="22"/>
          <w:szCs w:val="22"/>
          <w:u w:val="none"/>
          <w:shd w:val="clear" w:fill="auto"/>
          <w:vertAlign w:val="baseline"/>
        </w:rPr>
        <w:t xml:space="preserve">Mental Health in Prisons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(2017),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stating</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high rates of </w:t>
      </w:r>
      <w:r w:rsidRPr="040530DB" w:rsidDel="00000000" w:rsidR="01259167">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self-inflicted</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death and </w:t>
      </w:r>
      <w:r w:rsidRPr="040530DB" w:rsidDel="00000000" w:rsidR="660360D7">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self-harm</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in prison, along with individuals more likely to suffer with mental health problems being confined than they are in the community (Parliament. House of Commons, 2017, p.3)</w:t>
      </w:r>
      <w:r w:rsidRPr="040530DB" w:rsidDel="00000000" w:rsidR="7CC04BEE">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Thereby causing more harm as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it’s</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painting them with the same brush that may not prove effective in crime prevention, therefore Classicist punishment could be ineffective. </w:t>
      </w:r>
    </w:p>
    <w:p w:rsidR="040530DB" w:rsidP="040530DB" w:rsidRDefault="040530DB" w14:paraId="356A475D" w14:textId="6C2C28CC">
      <w:pP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xmlns:wp14="http://schemas.microsoft.com/office/word/2010/wordml" w:rsidRPr="00000000" w:rsidR="00000000" w:rsidDel="00000000" w:rsidP="040530DB" w:rsidRDefault="00000000" w14:paraId="00000015" wp14:textId="2F2E5442">
      <w:pPr>
        <w:keepNext w:val="0"/>
        <w:keepLines w:val="0"/>
        <w:widowControl w:val="1"/>
        <w:pBdr>
          <w:top w:val="nil" w:sz="0" w:space="0"/>
          <w:left w:val="nil" w:sz="0" w:space="0"/>
          <w:bottom w:val="nil" w:sz="0" w:space="0"/>
          <w:right w:val="nil" w:sz="0" w:space="0"/>
          <w:between w:val="nil" w:sz="0" w:space="0"/>
        </w:pBd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pPr>
      <w:r w:rsidRPr="040530DB" w:rsidDel="00000000" w:rsidR="31F14846">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Psychological factors and brain function studies were shown that the individual’s actions can be a result of brain dysfunctions; chemical imbalances linking “abnormal brain activity and serious crimes such as murder by the insane” (Newburn, 2013, p.139). The importance of correct care and nourishment in preliminary stages of life is paramount for the development for the child to grow up healthy. However, despite best efforts, biological abnormalities can still occur as it was noted with studies suggesting “low blood sugar and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Hypoglycaemia</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is associated with </w:t>
      </w:r>
      <w:proofErr w:type="spellStart"/>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behavioural</w:t>
      </w:r>
      <w:proofErr w:type="spellEnd"/>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problems” (Newburn, 2013, p.143). Attention deficit disorders such as ADHD was shown to be associated with low cognitive abilities, and as a result may have an impact on future </w:t>
      </w:r>
      <w:proofErr w:type="spellStart"/>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behaviour</w:t>
      </w:r>
      <w:proofErr w:type="spellEnd"/>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(Newburn, 2013, p.139). Sigmund Freud’s psychoanalytic theories taught that humans are in essence “anti-social” beings that act on pleasure seeking impulsive </w:t>
      </w:r>
      <w:proofErr w:type="spellStart"/>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behaviour</w:t>
      </w:r>
      <w:proofErr w:type="spellEnd"/>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the theory focuses on “irrational and unconscious motivations” using the three concepts: The Id, Ego and Super Ego (Newburn, 2013, p.149). Freud’s teachings of the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superego</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as being accountable for morals and </w:t>
      </w:r>
      <w:proofErr w:type="spellStart"/>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behaviour</w:t>
      </w:r>
      <w:proofErr w:type="spellEnd"/>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if the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superego</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is weak, it is related to deviant </w:t>
      </w:r>
      <w:proofErr w:type="spellStart"/>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behaviour</w:t>
      </w:r>
      <w:proofErr w:type="spellEnd"/>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and psychopathy as the individual lacks guilt (Newburn, 2013, p.149).</w:t>
      </w:r>
    </w:p>
    <w:p xmlns:wp14="http://schemas.microsoft.com/office/word/2010/wordml" w:rsidRPr="00000000" w:rsidR="00000000" w:rsidDel="00000000" w:rsidP="00000000" w:rsidRDefault="00000000" w14:paraId="00000016"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480" w:lineRule="auto"/>
        <w:ind w:left="0" w:right="0" w:firstLine="0"/>
        <w:jc w:val="left"/>
        <w:rPr>
          <w:rFonts w:ascii="Times New Roman" w:hAnsi="Times New Roman" w:eastAsia="Times New Roman" w:cs="Times New Roman"/>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40530DB" w:rsidRDefault="00000000" w14:paraId="00000017" wp14:textId="0AAA27F8">
      <w:pPr>
        <w:keepNext w:val="0"/>
        <w:keepLines w:val="0"/>
        <w:widowControl w:val="1"/>
        <w:pBdr>
          <w:top w:val="nil" w:sz="0" w:space="0"/>
          <w:left w:val="nil" w:sz="0" w:space="0"/>
          <w:bottom w:val="nil" w:sz="0" w:space="0"/>
          <w:right w:val="nil" w:sz="0" w:space="0"/>
          <w:between w:val="nil" w:sz="0" w:space="0"/>
        </w:pBd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pPr>
      <w:r w:rsidRPr="040530DB" w:rsidDel="00000000" w:rsidR="0CD1532D">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Sociological theory of crime also mentions the surroundings of the individual may influence criminal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behaviour</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and with change being inevitable within society, it implies that there isn’t a “fixed” form with sociological theory, therefore it relies on current movements and prediction “Sociological theories appear less interested in crime as a specific pattern of </w:t>
      </w:r>
      <w:proofErr w:type="spellStart"/>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behaviour</w:t>
      </w:r>
      <w:proofErr w:type="spellEnd"/>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and more in </w:t>
      </w:r>
      <w:r w:rsidRPr="040530DB" w:rsidDel="00000000" w:rsidR="040530DB">
        <w:rPr>
          <w:rFonts w:ascii="Times New Roman" w:hAnsi="Times New Roman" w:eastAsia="Times New Roman" w:cs="Times New Roman"/>
          <w:b w:val="0"/>
          <w:bCs w:val="0"/>
          <w:i w:val="1"/>
          <w:iCs w:val="1"/>
          <w:caps w:val="0"/>
          <w:smallCaps w:val="0"/>
          <w:strike w:val="0"/>
          <w:dstrike w:val="0"/>
          <w:color w:val="000000"/>
          <w:sz w:val="22"/>
          <w:szCs w:val="22"/>
          <w:u w:val="none"/>
          <w:shd w:val="clear" w:fill="auto"/>
          <w:vertAlign w:val="baseline"/>
        </w:rPr>
        <w:t xml:space="preserve">probabilistic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accounts of variations in crime rates given particular social, geographical and economic circumstances. They focus on general patterns of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criminality</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rather than in individual motivations.” (Muncie, 2009, p.111). Emile Durkheim’s teachings were during the time of the industrial revolution, societal norms as they knew it were to change, solidarity between groups and beliefs creating factions within society who shared like mindedness with each other (Newburn, 2013, p.173) Durkheim believed that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deviance</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is the product of “weak moral integration” and that it is a “social fact” that is inevitable, it cannot be prevented in a sense that with social change comes new meaning of what is acceptable or unacceptable voluntarily or not (Newburn, 2013, p.174). similarly with Robert Merton’s Anomie/ Strain theory, the goals set by the individual, namely wealth and status, anomie is the result of these goals being unachievable, therefore it causes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deviance</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or criminal </w:t>
      </w:r>
      <w:proofErr w:type="spellStart"/>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behaviour</w:t>
      </w:r>
      <w:proofErr w:type="spellEnd"/>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“they are responding to the social situation in which they find themselves” (Merton, 1969, as cited by Newburn, 2013, p.175) it argues that social and economic shifts inevitably </w:t>
      </w:r>
      <w:proofErr w:type="gramStart"/>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causes</w:t>
      </w:r>
      <w:proofErr w:type="gramEnd"/>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criminal </w:t>
      </w:r>
      <w:proofErr w:type="spellStart"/>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behaviour</w:t>
      </w:r>
      <w:proofErr w:type="spellEnd"/>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w:t>
      </w:r>
    </w:p>
    <w:p xmlns:wp14="http://schemas.microsoft.com/office/word/2010/wordml" w:rsidRPr="00000000" w:rsidR="00000000" w:rsidDel="00000000" w:rsidP="00000000" w:rsidRDefault="00000000" w14:paraId="00000018"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480" w:lineRule="auto"/>
        <w:ind w:left="0" w:right="0" w:firstLine="0"/>
        <w:jc w:val="left"/>
        <w:rPr>
          <w:rFonts w:ascii="Times New Roman" w:hAnsi="Times New Roman" w:eastAsia="Times New Roman" w:cs="Times New Roman"/>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40530DB" w:rsidRDefault="00000000" w14:paraId="22CF9839" wp14:textId="6DCDC7C4">
      <w:pPr>
        <w:keepNext w:val="0"/>
        <w:keepLines w:val="0"/>
        <w:widowControl w:val="1"/>
        <w:pBdr>
          <w:top w:val="nil" w:sz="0" w:space="0"/>
          <w:left w:val="nil" w:sz="0" w:space="0"/>
          <w:bottom w:val="nil" w:sz="0" w:space="0"/>
          <w:right w:val="nil" w:sz="0" w:space="0"/>
          <w:between w:val="nil" w:sz="0" w:space="0"/>
        </w:pBd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Pr>
      </w:pPr>
      <w:r w:rsidRPr="040530DB" w:rsidDel="00000000" w:rsidR="35FA2270">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John Muncie refers to Laurie Taylor’s fruit machine analogy, that individuals in society are having unfair chances as the “game is rigged and only some players are consistently rewarded, however no one questions who placed the machine there in the first place, and who takes the profit.” Relating to Merton’s strain theory, individuals in the lower class have unfair chances at life, they cannot improve their situation because of class oppression, an action or “crime” is committed as it does not socially fit with current legal and moral codes, “action becomes ‘crime’ when they are defined as such by legal and other institutions” (Muncie, </w:t>
      </w:r>
      <w:proofErr w:type="gramStart"/>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2009,p.</w:t>
      </w:r>
      <w:proofErr w:type="gramEnd"/>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112). Further implying that the ruling class have the high ground of the system thus they are rewarded for the lower class’ shortcomings. To quote Jeffrey Reiman’s text “The rich get </w:t>
      </w:r>
      <w:proofErr w:type="gramStart"/>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richer</w:t>
      </w:r>
      <w:proofErr w:type="gramEnd"/>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and the poor get prison” with the criminal justice system suggest bias towards the lower class (Muncie, 2009, p.133)</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p>
    <w:p xmlns:wp14="http://schemas.microsoft.com/office/word/2010/wordml" w:rsidRPr="00000000" w:rsidR="00000000" w:rsidDel="00000000" w:rsidP="040530DB" w:rsidRDefault="00000000" w14:paraId="2241E50B" wp14:textId="08C26EC5">
      <w:pPr>
        <w:keepNext w:val="0"/>
        <w:keepLines w:val="0"/>
        <w:widowControl w:val="1"/>
        <w:pBdr>
          <w:top w:val="nil" w:sz="0" w:space="0"/>
          <w:left w:val="nil" w:sz="0" w:space="0"/>
          <w:bottom w:val="nil" w:sz="0" w:space="0"/>
          <w:right w:val="nil" w:sz="0" w:space="0"/>
          <w:between w:val="nil" w:sz="0" w:space="0"/>
        </w:pBd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xmlns:wp14="http://schemas.microsoft.com/office/word/2010/wordml" w:rsidRPr="00000000" w:rsidR="00000000" w:rsidDel="00000000" w:rsidP="040530DB" w:rsidRDefault="00000000" w14:paraId="00000019" wp14:textId="125A3A6A">
      <w:pPr>
        <w:keepNext w:val="0"/>
        <w:keepLines w:val="0"/>
        <w:widowControl w:val="1"/>
        <w:pBdr>
          <w:top w:val="nil" w:sz="0" w:space="0"/>
          <w:left w:val="nil" w:sz="0" w:space="0"/>
          <w:bottom w:val="nil" w:sz="0" w:space="0"/>
          <w:right w:val="nil" w:sz="0" w:space="0"/>
          <w:between w:val="nil" w:sz="0" w:space="0"/>
        </w:pBd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pPr>
      <w:r w:rsidRPr="39F5A7F2" w:rsidDel="00000000" w:rsidR="23F34BE9">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It is to be mentioned that Strain theory may exaggerate greatly onto the middle class, and </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patronising</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towards the working class does not consider other crimes such as </w:t>
      </w:r>
      <w:r w:rsidRPr="39F5A7F2" w:rsidDel="00000000" w:rsidR="05FC00E5">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non-utilitarian</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Albert Cohen expresses this in ‘</w:t>
      </w:r>
      <w:r w:rsidRPr="39F5A7F2" w:rsidDel="00000000" w:rsidR="040530DB">
        <w:rPr>
          <w:rFonts w:ascii="Times New Roman" w:hAnsi="Times New Roman" w:eastAsia="Times New Roman" w:cs="Times New Roman"/>
          <w:b w:val="0"/>
          <w:bCs w:val="0"/>
          <w:i w:val="1"/>
          <w:iCs w:val="1"/>
          <w:caps w:val="0"/>
          <w:smallCaps w:val="0"/>
          <w:strike w:val="0"/>
          <w:dstrike w:val="0"/>
          <w:color w:val="000000"/>
          <w:sz w:val="22"/>
          <w:szCs w:val="22"/>
          <w:u w:val="none"/>
          <w:shd w:val="clear" w:fill="auto"/>
          <w:vertAlign w:val="baseline"/>
        </w:rPr>
        <w:t xml:space="preserve">Status</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r w:rsidRPr="39F5A7F2" w:rsidDel="00000000" w:rsidR="040530DB">
        <w:rPr>
          <w:rFonts w:ascii="Times New Roman" w:hAnsi="Times New Roman" w:eastAsia="Times New Roman" w:cs="Times New Roman"/>
          <w:b w:val="0"/>
          <w:bCs w:val="0"/>
          <w:i w:val="1"/>
          <w:iCs w:val="1"/>
          <w:caps w:val="0"/>
          <w:smallCaps w:val="0"/>
          <w:strike w:val="0"/>
          <w:dstrike w:val="0"/>
          <w:color w:val="000000"/>
          <w:sz w:val="22"/>
          <w:szCs w:val="22"/>
          <w:u w:val="none"/>
          <w:shd w:val="clear" w:fill="auto"/>
          <w:vertAlign w:val="baseline"/>
        </w:rPr>
        <w:t xml:space="preserve">Frustration</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(Newburn, 2013, p.201) </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Sub Cultur</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e theory addresses that youth cultures </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favour</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the socially unconventional and being </w:t>
      </w:r>
      <w:r w:rsidRPr="39F5A7F2" w:rsidDel="00000000" w:rsidR="2669AB4A">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non-conforming</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unlike Strain the “deviants” do not </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idolise</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middle class aspirations and rather, “rejects middle class values” and create their own aspirations and goals (Newburn, 2013, p.197-198). as Muncie states that there </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wasn’t</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consideration that crime may be a freely chosen course of action and that it may be due to “</w:t>
      </w:r>
      <w:r w:rsidRPr="39F5A7F2" w:rsidDel="00000000" w:rsidR="040530DB">
        <w:rPr>
          <w:rFonts w:ascii="Times New Roman" w:hAnsi="Times New Roman" w:eastAsia="Times New Roman" w:cs="Times New Roman"/>
          <w:b w:val="0"/>
          <w:bCs w:val="0"/>
          <w:i w:val="1"/>
          <w:iCs w:val="1"/>
          <w:caps w:val="0"/>
          <w:smallCaps w:val="0"/>
          <w:strike w:val="0"/>
          <w:dstrike w:val="0"/>
          <w:color w:val="000000"/>
          <w:sz w:val="22"/>
          <w:szCs w:val="22"/>
          <w:u w:val="none"/>
          <w:shd w:val="clear" w:fill="auto"/>
          <w:vertAlign w:val="baseline"/>
        </w:rPr>
        <w:t xml:space="preserve">different </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forms of socialization, rather than lack of socialization” (Muncie, 2009, p.112) rather than placing the lack of socialization as a cause of crime, but who the individual surrounds themselves with different peer groups may </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determine</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the person’s choices.</w:t>
      </w:r>
    </w:p>
    <w:p xmlns:wp14="http://schemas.microsoft.com/office/word/2010/wordml" w:rsidRPr="00000000" w:rsidR="00000000" w:rsidDel="00000000" w:rsidP="00000000" w:rsidRDefault="00000000" w14:paraId="0000001A"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480" w:lineRule="auto"/>
        <w:ind w:left="0" w:right="0" w:firstLine="0"/>
        <w:jc w:val="left"/>
        <w:rPr>
          <w:rFonts w:ascii="Times New Roman" w:hAnsi="Times New Roman" w:eastAsia="Times New Roman" w:cs="Times New Roman"/>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40530DB" w:rsidRDefault="00000000" w14:paraId="0000001B" wp14:textId="449B4BC0">
      <w:pPr>
        <w:keepNext w:val="0"/>
        <w:keepLines w:val="0"/>
        <w:widowControl w:val="1"/>
        <w:pBdr>
          <w:top w:val="nil" w:sz="0" w:space="0"/>
          <w:left w:val="nil" w:sz="0" w:space="0"/>
          <w:bottom w:val="nil" w:sz="0" w:space="0"/>
          <w:right w:val="nil" w:sz="0" w:space="0"/>
          <w:between w:val="nil" w:sz="0" w:space="0"/>
        </w:pBd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pP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Interactionism argues that </w:t>
      </w:r>
      <w:r w:rsidRPr="040530DB" w:rsidDel="00000000" w:rsidR="4DAF6C37">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deviance</w:t>
      </w:r>
      <w:r w:rsidRPr="040530DB" w:rsidDel="00000000" w:rsidR="22B81940">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is a social construction, labelling theory expresses that whoever society collectively labels an individual a deviant, must be a deviant thus determining the </w:t>
      </w:r>
      <w:r w:rsidRPr="040530DB" w:rsidDel="00000000" w:rsidR="0A5CDA72">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character,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Deviance is </w:t>
      </w:r>
      <w:r w:rsidRPr="040530DB" w:rsidDel="00000000" w:rsidR="040530DB">
        <w:rPr>
          <w:rFonts w:ascii="Times New Roman" w:hAnsi="Times New Roman" w:eastAsia="Times New Roman" w:cs="Times New Roman"/>
          <w:b w:val="0"/>
          <w:bCs w:val="0"/>
          <w:i w:val="1"/>
          <w:iCs w:val="1"/>
          <w:caps w:val="0"/>
          <w:smallCaps w:val="0"/>
          <w:strike w:val="0"/>
          <w:dstrike w:val="0"/>
          <w:color w:val="000000"/>
          <w:sz w:val="22"/>
          <w:szCs w:val="22"/>
          <w:u w:val="none"/>
          <w:shd w:val="clear" w:fill="auto"/>
          <w:vertAlign w:val="baseline"/>
        </w:rPr>
        <w:t xml:space="preserve">not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a quality of the act the person commits, but rather a consequence of the application by others of rules and sanctions” (Becker, 1963, as cited by Newburn, 2013, p.218). This can be perceived that an individual, regardless of their own merits, may be classed by other’s interpretation of “deviant” and from this interaction, such as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prejudicial</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proofErr w:type="spellStart"/>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behaviour</w:t>
      </w:r>
      <w:proofErr w:type="spellEnd"/>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labelling the outsider as deviant as they do not conventionally conform to society, “rules are created by social groups, and it is the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infraction</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of these rules that creates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deviance</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(Newburn, 2013, p.221). Social attitudes are the drive behind criminological </w:t>
      </w:r>
      <w:proofErr w:type="spellStart"/>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behaviour</w:t>
      </w:r>
      <w:proofErr w:type="spellEnd"/>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in the case of Sociological theories. </w:t>
      </w:r>
    </w:p>
    <w:p w:rsidR="040530DB" w:rsidP="040530DB" w:rsidRDefault="040530DB" w14:paraId="0E818E0B" w14:textId="76BE8E9A">
      <w:pPr>
        <w:pStyle w:val="Normal"/>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xmlns:wp14="http://schemas.microsoft.com/office/word/2010/wordml" w:rsidRPr="00000000" w:rsidR="00000000" w:rsidDel="00000000" w:rsidP="040530DB" w:rsidRDefault="00000000" w14:paraId="0000001D" wp14:textId="24DB7BD4">
      <w:pPr>
        <w:pStyle w:val="Normal"/>
        <w:keepNext w:val="0"/>
        <w:keepLines w:val="0"/>
        <w:widowControl w:val="1"/>
        <w:pBdr>
          <w:top w:val="nil" w:sz="0" w:space="0"/>
          <w:left w:val="nil" w:sz="0" w:space="0"/>
          <w:bottom w:val="nil" w:sz="0" w:space="0"/>
          <w:right w:val="nil" w:sz="0" w:space="0"/>
          <w:between w:val="nil" w:sz="0" w:space="0"/>
        </w:pBd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pPr>
      <w:r w:rsidRPr="040530DB" w:rsidDel="00000000" w:rsidR="5F5DC95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From the research of theories, it seems that there </w:t>
      </w:r>
      <w:r w:rsidRPr="040530DB" w:rsidDel="00000000" w:rsidR="2D01DED0">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may be various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possible causes</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to why a person offends, In the case of the James Bulger murder by the two boys Jon Venables and Robert Thompson, in which the two offenders were </w:t>
      </w:r>
      <w:proofErr w:type="gramStart"/>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ten year old</w:t>
      </w:r>
      <w:proofErr w:type="gramEnd"/>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children, more than one factor could be applied to the case.</w:t>
      </w:r>
    </w:p>
    <w:p xmlns:wp14="http://schemas.microsoft.com/office/word/2010/wordml" w:rsidRPr="00000000" w:rsidR="00000000" w:rsidDel="00000000" w:rsidP="040530DB" w:rsidRDefault="00000000" w14:paraId="0299416C" wp14:textId="49E41236">
      <w:pPr>
        <w:pStyle w:val="Normal"/>
        <w:spacing w:line="480" w:lineRule="auto"/>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xmlns:wp14="http://schemas.microsoft.com/office/word/2010/wordml" w:rsidRPr="00000000" w:rsidR="00000000" w:rsidDel="00000000" w:rsidP="040530DB" w:rsidRDefault="00000000" w14:paraId="0000001F" wp14:textId="7A621107">
      <w:pPr>
        <w:pStyle w:val="Normal"/>
        <w:spacing w:line="480" w:lineRule="auto"/>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Pr>
      </w:pPr>
      <w:r w:rsidRPr="39F5A7F2" w:rsidDel="00000000" w:rsidR="24FEA2D7">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On the </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12th</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February 1993 in Walton Liverpool, James Bulger, at the age of two years old was abducted and murdered by Jon Venables and Robert Thompson (Muncie, 2009, p.5). At around 15:42pm, Venables and Thompson led Bulger out of the </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Bootle</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shopping </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centre</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to a railway track </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nearly three</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miles from where he was abducted (Levine, 1999, p.1138). The two boys tortured and killed Bulger, placing his body over the track to stage an accident. Bulger’s mutilated body was found two days after on the 14th February by a group of boys, post mortem shown split wounds and lacerations mainly to his head indicating being struck heavy with blows with bricks and the iron bar that was found at the scene (Real Stories, 2018) Thompson and Venables were </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recognised</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by the CCTV footage (Rice, Thomas, 2013, p.5) The both boys were interviewed separately, both had shown to place blame on one another once Thompson admitted to the murder, as Venables lied about his whereabouts prior to Thompson’s</w:t>
      </w:r>
      <w:r w:rsidRPr="39F5A7F2" w:rsidDel="00000000" w:rsidR="068A4949">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confession </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(Real Stories, 2018). with DNA evidence proving to be Bulger’s blood on the item of clothing from one of the suspects, along with a shoe print stamp on Bulger’s cheek matching the outside edge of the shoes worn by Thompson and the same paint found on the body of the victim </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evident</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on the clothes of the boys (Real Stories, 2018). </w:t>
      </w:r>
      <w:r w:rsidRPr="00000000" w:rsidDel="00000000" w:rsidR="00000000">
        <w:rPr>
          <w:rtl w:val="0"/>
        </w:rPr>
      </w:r>
    </w:p>
    <w:p xmlns:wp14="http://schemas.microsoft.com/office/word/2010/wordml" w:rsidRPr="00000000" w:rsidR="00000000" w:rsidDel="00000000" w:rsidP="040530DB" w:rsidRDefault="00000000" w14:paraId="408956A5" wp14:textId="5BA06408">
      <w:pPr>
        <w:pStyle w:val="Normal"/>
        <w:spacing w:line="480" w:lineRule="auto"/>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xmlns:wp14="http://schemas.microsoft.com/office/word/2010/wordml" w:rsidRPr="00000000" w:rsidR="00000000" w:rsidDel="00000000" w:rsidP="040530DB" w:rsidRDefault="00000000" w14:paraId="00000020" wp14:textId="06208737">
      <w:pPr>
        <w:pStyle w:val="Normal"/>
        <w:spacing w:line="480" w:lineRule="auto"/>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Pr>
      </w:pP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The weapons Venables and Thompson used were displayed at court, this questioned how innocent the boys were perceived to be, as it was known that 30 witnesses had seen the </w:t>
      </w:r>
      <w:r w:rsidRPr="39F5A7F2" w:rsidDel="00000000" w:rsidR="3267414E">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boys but</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did not intervene as it was thought that they were brothers (Levine, 1999, p.137). Weapons including bricks, an iron rod and stones which shown out of character </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behaviour</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from these two ten year </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olds</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with “premeditation set out to abduct a young child with the aim of murdering him” (Levine, 1999, p.1138). With the evidence presented, the courts labelled Venables and Thompson the youngest murderers in British history. November that year the two boys were convicted and sentenced to life imprisonment, (Rice, Thomas, 2013, p.2). June 2001 Venables and Thompson were released on parole and granted </w:t>
      </w:r>
      <w:r w:rsidRPr="39F5A7F2" w:rsidDel="00000000" w:rsidR="01986DB1">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lifelong</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anonymity (Muncie, 2009, p.5), March 2010 Jon Venables was </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reportedly recalled</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to prison for breach of his sentence conditions and charged for </w:t>
      </w:r>
      <w:r w:rsidRPr="39F5A7F2" w:rsidDel="00000000" w:rsidR="7225B687">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the possession of</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indecent images of children (Rice, Thomas, 2013, p.3).</w:t>
      </w:r>
    </w:p>
    <w:p xmlns:wp14="http://schemas.microsoft.com/office/word/2010/wordml" w:rsidRPr="00000000" w:rsidR="00000000" w:rsidDel="00000000" w:rsidP="00000000" w:rsidRDefault="00000000" w14:paraId="00000021"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480" w:lineRule="auto"/>
        <w:ind w:left="0" w:right="0" w:firstLine="0"/>
        <w:jc w:val="left"/>
        <w:rPr>
          <w:rFonts w:ascii="Times New Roman" w:hAnsi="Times New Roman" w:eastAsia="Times New Roman" w:cs="Times New Roman"/>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40530DB" w:rsidRDefault="00000000" w14:paraId="00000022" wp14:textId="2C3C3B77">
      <w:pPr>
        <w:keepNext w:val="0"/>
        <w:keepLines w:val="0"/>
        <w:widowControl w:val="1"/>
        <w:pBdr>
          <w:top w:val="nil" w:sz="0" w:space="0"/>
          <w:left w:val="nil" w:sz="0" w:space="0"/>
          <w:bottom w:val="nil" w:sz="0" w:space="0"/>
          <w:right w:val="nil" w:sz="0" w:space="0"/>
          <w:between w:val="nil" w:sz="0" w:space="0"/>
        </w:pBd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pP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r w:rsidRPr="040530DB" w:rsidDel="00000000" w:rsidR="0F98DC30">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r w:rsidRPr="040530DB" w:rsidDel="00000000" w:rsidR="5BB2B031">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Both</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families of Venables and Thompson were working class, it was implied that Thompson may have been assaulted by his father and his mother with alcohol dependency. This implies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possible neglect</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from parenting in the case of Thompson, however, Venables family life was reported to be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relatively </w:t>
      </w:r>
      <w:r w:rsidRPr="040530DB" w:rsidDel="00000000" w:rsidR="1DF86FC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normal</w:t>
      </w:r>
      <w:r w:rsidRPr="040530DB" w:rsidDel="00000000" w:rsidR="1DF86FC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suffered</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no violence at home, however he may have been subject to bullying at school, occasionally by Thompson. It was raised that there may have been a possibility that Thompson’s vulnerability at home, susceptible to abuse to inflict onto Venables, Thompson was thought to be the “leader” of the duo (Real Stories, 2018). Venables moved school before the murder as it was reported he displayed “hyperactive </w:t>
      </w:r>
      <w:proofErr w:type="spellStart"/>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behaviour</w:t>
      </w:r>
      <w:proofErr w:type="spellEnd"/>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and shown to be violent by choking another boy with a ruler. Although it was suspected that the two boys may have had personality disorders, particularly Thompson with his refusal to show remorse five years after the trial and was led to believe he shown sociopathic tendencies, had psychiatric sessions after the murder, it was suggested they had no specific mental illnesses, other than presenting “</w:t>
      </w:r>
      <w:proofErr w:type="spellStart"/>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behaviourally</w:t>
      </w:r>
      <w:proofErr w:type="spellEnd"/>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challenged” (Real Stories, 2018). </w:t>
      </w:r>
    </w:p>
    <w:p xmlns:wp14="http://schemas.microsoft.com/office/word/2010/wordml" w:rsidRPr="00000000" w:rsidR="00000000" w:rsidDel="00000000" w:rsidP="00000000" w:rsidRDefault="00000000" w14:paraId="00000023"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480" w:lineRule="auto"/>
        <w:ind w:left="0" w:right="0" w:firstLine="0"/>
        <w:jc w:val="left"/>
        <w:rPr>
          <w:rFonts w:ascii="Times New Roman" w:hAnsi="Times New Roman" w:eastAsia="Times New Roman" w:cs="Times New Roman"/>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40530DB" w:rsidRDefault="00000000" w14:paraId="00000026" wp14:textId="14311811">
      <w:pPr>
        <w:keepNext w:val="0"/>
        <w:keepLines w:val="0"/>
        <w:widowControl w:val="1"/>
        <w:pBdr>
          <w:top w:val="nil" w:sz="0" w:space="0"/>
          <w:left w:val="nil" w:sz="0" w:space="0"/>
          <w:bottom w:val="nil" w:sz="0" w:space="0"/>
          <w:right w:val="nil" w:sz="0" w:space="0"/>
          <w:between w:val="nil" w:sz="0" w:space="0"/>
        </w:pBd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pP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r w:rsidRPr="040530DB" w:rsidDel="00000000" w:rsidR="651EF075">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This questions whether it may be environmental influences to the boys </w:t>
      </w:r>
      <w:proofErr w:type="spellStart"/>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behaviour</w:t>
      </w:r>
      <w:proofErr w:type="spellEnd"/>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as the both of them were from working class family, both had far from perfect families, with Thompson’s father criminal past, abandoning the family and his mother’s alcoholism, whilst Jon Venables problems in school and </w:t>
      </w:r>
      <w:proofErr w:type="spellStart"/>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behavioural</w:t>
      </w:r>
      <w:proofErr w:type="spellEnd"/>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problems, perhaps they’re feelings of neglect may have led them to “act out” and led them to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truancy</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and troublemaking, social influences with them “egging each other on” to do their games as a form of excitement. Eventually these extreme forms satiating their boredom led to dangerous games causing the death of a toddler for sport</w:t>
      </w:r>
      <w:r w:rsidRPr="040530DB" w:rsidDel="00000000" w:rsidR="60692049">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(Real Stories, 2018)</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Later in 2010 Venables was called back to prison for breaching his conditions with possession of indecent images of children, this further brings the question of bio/ psychological </w:t>
      </w:r>
      <w:r w:rsidRPr="040530DB" w:rsidDel="00000000" w:rsidR="53806F6D">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and social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factors. </w:t>
      </w:r>
      <w:r w:rsidRPr="00000000" w:rsidDel="00000000" w:rsidR="00000000">
        <w:rPr>
          <w:rtl w:val="0"/>
        </w:rPr>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Pedophil</w:t>
      </w:r>
      <w:r w:rsidRPr="040530DB" w:rsidDel="00000000" w:rsidR="438E445E">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es tend</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to</w:t>
      </w:r>
      <w:r w:rsidRPr="040530DB" w:rsidDel="00000000" w:rsidR="2631345C">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have</w:t>
      </w:r>
      <w:r w:rsidRPr="040530DB" w:rsidDel="00000000" w:rsidR="2631345C">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social </w:t>
      </w:r>
      <w:r w:rsidRPr="040530DB" w:rsidDel="00000000" w:rsidR="687F49F6">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abnormalities</w:t>
      </w:r>
      <w:r w:rsidRPr="040530DB" w:rsidDel="00000000" w:rsidR="2631345C">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such as lacking social skill, or to be socially isolated</w:t>
      </w:r>
      <w:r w:rsidRPr="040530DB" w:rsidDel="00000000" w:rsidR="572B055A">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and go for vulnerable victims (Murray, </w:t>
      </w:r>
      <w:r w:rsidRPr="040530DB" w:rsidDel="00000000" w:rsidR="5B666562">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2000, p.219)</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in relation to James Bulger with later reports of </w:t>
      </w:r>
      <w:r w:rsidRPr="040530DB" w:rsidDel="00000000" w:rsidR="3AD091F6">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the toddler</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being sexually abused</w:t>
      </w:r>
      <w:r w:rsidRPr="040530DB" w:rsidDel="00000000" w:rsidR="4D889D1D">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r w:rsidRPr="040530DB" w:rsidDel="00000000" w:rsidR="72222483">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60minutesAustralia, 2018</w:t>
      </w:r>
      <w:r w:rsidRPr="040530DB" w:rsidDel="00000000" w:rsidR="4D889D1D">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there may have been a connection to which it may not have been taken seriously or may have been dismissed in the case, which hinder the correct treatment for Venables t</w:t>
      </w:r>
      <w:r w:rsidRPr="040530DB" w:rsidDel="00000000" w:rsidR="0BD427B3">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hat could have prevented</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him from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reoffending</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p>
    <w:p xmlns:wp14="http://schemas.microsoft.com/office/word/2010/wordml" w:rsidRPr="00000000" w:rsidR="00000000" w:rsidDel="00000000" w:rsidP="00000000" w:rsidRDefault="00000000" w14:paraId="00000027" wp14:textId="77777777">
      <w:pPr>
        <w:keepNext w:val="0"/>
        <w:keepLines w:val="0"/>
        <w:widowControl w:val="1"/>
        <w:pBdr>
          <w:top w:val="nil" w:sz="0" w:space="0"/>
          <w:left w:val="nil" w:sz="0" w:space="0"/>
          <w:bottom w:val="nil" w:sz="0" w:space="0"/>
          <w:right w:val="nil" w:sz="0" w:space="0"/>
          <w:between w:val="nil" w:sz="0" w:space="0"/>
        </w:pBdr>
        <w:shd w:val="clear" w:fill="auto"/>
        <w:spacing w:before="0" w:after="0" w:line="480" w:lineRule="auto"/>
        <w:ind w:left="0" w:right="0" w:firstLine="0"/>
        <w:jc w:val="left"/>
        <w:rPr>
          <w:rFonts w:ascii="Times New Roman" w:hAnsi="Times New Roman" w:eastAsia="Times New Roman" w:cs="Times New Roman"/>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40530DB" w:rsidRDefault="00000000" w14:paraId="00000028" wp14:textId="3053A3DB">
      <w:pPr>
        <w:pStyle w:val="Normal"/>
        <w:keepNext w:val="0"/>
        <w:keepLines w:val="0"/>
        <w:widowControl w:val="1"/>
        <w:pBdr>
          <w:top w:val="nil" w:sz="0" w:space="0"/>
          <w:left w:val="nil" w:sz="0" w:space="0"/>
          <w:bottom w:val="nil" w:sz="0" w:space="0"/>
          <w:right w:val="nil" w:sz="0" w:space="0"/>
          <w:between w:val="nil" w:sz="0" w:space="0"/>
        </w:pBdr>
        <w:shd w:val="clear" w:color="auto" w:fill="auto"/>
        <w:spacing w:before="0" w:after="0" w:line="480" w:lineRule="auto"/>
        <w:ind/>
        <w:rPr>
          <w:rFonts w:ascii="Times New Roman" w:hAnsi="Times New Roman" w:eastAsia="Times New Roman" w:cs="Times New Roman"/>
          <w:b w:val="0"/>
          <w:bCs w:val="0"/>
          <w:i w:val="0"/>
          <w:iCs w:val="0"/>
          <w:noProof w:val="0"/>
          <w:color w:val="000000"/>
          <w:sz w:val="24"/>
          <w:szCs w:val="24"/>
          <w:shd w:val="clear" w:fill="auto"/>
          <w:lang w:val="en-US"/>
        </w:rPr>
      </w:pPr>
      <w:r w:rsidRPr="040530DB" w:rsidDel="00000000" w:rsidR="522BCED1">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Classical principles of punishment in the case of Thompson and Venables may have caused more harm than good, to try them as adults and placing them in a prison setting at such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a young age</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may have negatively set them to be repeat offenders in the future by being incarcerated,</w:t>
      </w:r>
      <w:r w:rsidRPr="040530DB" w:rsidDel="00000000" w:rsidR="0AC40E85">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or </w:t>
      </w:r>
      <w:r w:rsidRPr="040530DB" w:rsidDel="00000000" w:rsidR="61FAE902">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could place their lives at risk, as</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r w:rsidRPr="040530DB" w:rsidDel="00000000" w:rsidR="350460F5">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the mortality rates in</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prison</w:t>
      </w:r>
      <w:r w:rsidRPr="040530DB" w:rsidDel="00000000" w:rsidR="31E71FDE">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s are </w:t>
      </w:r>
      <w:r w:rsidRPr="040530DB" w:rsidDel="00000000" w:rsidR="080DD8E8">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considered </w:t>
      </w:r>
      <w:r w:rsidRPr="040530DB" w:rsidDel="00000000" w:rsidR="31E71FDE">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high</w:t>
      </w:r>
      <w:r w:rsidRPr="040530DB" w:rsidDel="00000000" w:rsidR="0940499E">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r w:rsidRPr="040530DB" w:rsidR="0940499E">
        <w:rPr>
          <w:rFonts w:ascii="Times New Roman" w:hAnsi="Times New Roman" w:eastAsia="Times New Roman" w:cs="Times New Roman"/>
          <w:b w:val="0"/>
          <w:bCs w:val="0"/>
          <w:i w:val="0"/>
          <w:iCs w:val="0"/>
          <w:noProof w:val="0"/>
          <w:color w:val="000000" w:themeColor="text1" w:themeTint="FF" w:themeShade="FF"/>
          <w:sz w:val="22"/>
          <w:szCs w:val="22"/>
          <w:lang w:val="en-US"/>
        </w:rPr>
        <w:t>(Parliament. House of Commons, 2017, p.9)</w:t>
      </w:r>
      <w:r w:rsidRPr="040530DB" w:rsidR="0D97340F">
        <w:rPr>
          <w:rFonts w:ascii="Times New Roman" w:hAnsi="Times New Roman" w:eastAsia="Times New Roman" w:cs="Times New Roman"/>
          <w:b w:val="0"/>
          <w:bCs w:val="0"/>
          <w:i w:val="0"/>
          <w:iCs w:val="0"/>
          <w:noProof w:val="0"/>
          <w:color w:val="000000" w:themeColor="text1" w:themeTint="FF" w:themeShade="FF"/>
          <w:sz w:val="22"/>
          <w:szCs w:val="22"/>
          <w:lang w:val="en-US"/>
        </w:rPr>
        <w:t>.</w:t>
      </w:r>
    </w:p>
    <w:p xmlns:wp14="http://schemas.microsoft.com/office/word/2010/wordml" w:rsidRPr="00000000" w:rsidR="00000000" w:rsidDel="00000000" w:rsidP="040530DB" w:rsidRDefault="00000000" w14:paraId="00000029" wp14:textId="3EEDE59C">
      <w:pPr>
        <w:pStyle w:val="Normal"/>
        <w:keepNext w:val="0"/>
        <w:keepLines w:val="0"/>
        <w:widowControl w:val="1"/>
        <w:pBdr>
          <w:top w:val="nil" w:sz="0" w:space="0"/>
          <w:left w:val="nil" w:sz="0" w:space="0"/>
          <w:bottom w:val="nil" w:sz="0" w:space="0"/>
          <w:right w:val="nil" w:sz="0" w:space="0"/>
          <w:between w:val="nil" w:sz="0" w:space="0"/>
        </w:pBd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tl w:val="0"/>
        </w:rPr>
      </w:pP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As argued by the referral unit manager in the </w:t>
      </w:r>
      <w:r w:rsidRPr="39F5A7F2" w:rsidDel="00000000" w:rsidR="0D20533C">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w:t>
      </w:r>
      <w:r w:rsidRPr="39F5A7F2" w:rsidDel="00000000" w:rsidR="0D20533C">
        <w:rPr>
          <w:rFonts w:ascii="Times New Roman" w:hAnsi="Times New Roman" w:eastAsia="Times New Roman" w:cs="Times New Roman"/>
          <w:b w:val="0"/>
          <w:bCs w:val="0"/>
          <w:i w:val="1"/>
          <w:iCs w:val="1"/>
          <w:caps w:val="0"/>
          <w:smallCaps w:val="0"/>
          <w:strike w:val="0"/>
          <w:dstrike w:val="0"/>
          <w:color w:val="000000"/>
          <w:sz w:val="22"/>
          <w:szCs w:val="22"/>
          <w:u w:val="none"/>
          <w:shd w:val="clear" w:fill="auto"/>
          <w:vertAlign w:val="baseline"/>
        </w:rPr>
        <w:t xml:space="preserve">Unforgiven: The Boys Who Killed A Child’ </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documentary, the </w:t>
      </w:r>
      <w:r w:rsidRPr="39F5A7F2" w:rsidDel="00000000" w:rsidR="498C0494">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accommodation</w:t>
      </w:r>
      <w:r w:rsidRPr="39F5A7F2" w:rsidDel="00000000" w:rsidR="7AF4F453">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r w:rsidRPr="39F5A7F2"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units </w:t>
      </w:r>
      <w:r w:rsidRPr="39F5A7F2" w:rsidDel="00000000" w:rsidR="1EF93BBF">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were seen as “investments for </w:t>
      </w:r>
      <w:r w:rsidRPr="39F5A7F2" w:rsidDel="00000000" w:rsidR="3C761B3E">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positive change to deter the individual from being incarcerated in the</w:t>
      </w:r>
      <w:r w:rsidRPr="39F5A7F2" w:rsidDel="00000000" w:rsidR="1EF93BBF">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r w:rsidRPr="39F5A7F2" w:rsidDel="00000000" w:rsidR="1EF93BBF">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future</w:t>
      </w:r>
      <w:r w:rsidRPr="39F5A7F2" w:rsidDel="00000000" w:rsidR="4F2A2D1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r w:rsidRPr="39F5A7F2" w:rsidDel="00000000" w:rsidR="4486E5BF">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Real stories, 2018).</w:t>
      </w:r>
    </w:p>
    <w:p w:rsidR="040530DB" w:rsidP="040530DB" w:rsidRDefault="040530DB" w14:paraId="5687EFC2" w14:textId="6955A9B4">
      <w:pP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xmlns:wp14="http://schemas.microsoft.com/office/word/2010/wordml" w:rsidRPr="00000000" w:rsidR="00000000" w:rsidDel="00000000" w:rsidP="040530DB" w:rsidRDefault="00000000" w14:paraId="418F2A8F" wp14:textId="057AED6B">
      <w:pPr>
        <w:keepNext w:val="0"/>
        <w:keepLines w:val="0"/>
        <w:widowControl w:val="1"/>
        <w:pBdr>
          <w:top w:val="nil" w:sz="0" w:space="0"/>
          <w:left w:val="nil" w:sz="0" w:space="0"/>
          <w:bottom w:val="nil" w:sz="0" w:space="0"/>
          <w:right w:val="nil" w:sz="0" w:space="0"/>
          <w:between w:val="nil" w:sz="0" w:space="0"/>
        </w:pBd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r w:rsidRPr="040530DB" w:rsidDel="00000000" w:rsidR="4486E5BF">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From looking at the different criminological theories, </w:t>
      </w:r>
      <w:r w:rsidRPr="040530DB" w:rsidDel="00000000" w:rsidR="40006FE9">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biological and psychological </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positivism</w:t>
      </w:r>
      <w:r w:rsidRPr="040530DB" w:rsidDel="00000000" w:rsidR="5D739591">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along with sociological influences</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seems to hold the most relevancy in the case of Venables and Thompson.</w:t>
      </w:r>
      <w:r w:rsidRPr="040530DB" w:rsidDel="00000000" w:rsidR="111AB034">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r w:rsidRPr="040530DB" w:rsidDel="00000000" w:rsidR="526791E8">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Biochemical</w:t>
      </w:r>
      <w:r w:rsidRPr="040530DB" w:rsidDel="00000000" w:rsidR="111AB034">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imbalance could be possible to why the boy’s acted in the way they did; </w:t>
      </w:r>
      <w:r w:rsidRPr="040530DB" w:rsidDel="00000000" w:rsidR="111AB034">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in reference to</w:t>
      </w:r>
      <w:r w:rsidRPr="040530DB" w:rsidDel="00000000" w:rsidR="111AB034">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the ADHD study mentioned earl</w:t>
      </w:r>
      <w:r w:rsidRPr="040530DB" w:rsidDel="00000000" w:rsidR="2244DB36">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ier</w:t>
      </w:r>
      <w:r w:rsidRPr="040530DB" w:rsidDel="00000000" w:rsidR="17F036E4">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w:t>
      </w:r>
      <w:r w:rsidRPr="040530DB" w:rsidDel="00000000" w:rsidR="2244DB36">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with attention deficit disorders</w:t>
      </w:r>
      <w:r w:rsidRPr="040530DB" w:rsidDel="00000000" w:rsidR="2C624A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for the case of </w:t>
      </w:r>
      <w:r w:rsidRPr="040530DB" w:rsidDel="00000000" w:rsidR="46A2C964">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Venables</w:t>
      </w:r>
      <w:r w:rsidRPr="040530DB" w:rsidDel="00000000" w:rsidR="2C624A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with his “hyperactive </w:t>
      </w:r>
      <w:proofErr w:type="spellStart"/>
      <w:r w:rsidRPr="040530DB" w:rsidDel="00000000" w:rsidR="2C624A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behaviour</w:t>
      </w:r>
      <w:proofErr w:type="spellEnd"/>
      <w:r w:rsidRPr="040530DB" w:rsidDel="00000000" w:rsidR="2C624A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w:t>
      </w:r>
      <w:r w:rsidRPr="040530DB" w:rsidDel="00000000" w:rsidR="572ED566">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w:t>
      </w:r>
      <w:r w:rsidRPr="040530DB" w:rsidDel="00000000" w:rsidR="572ED566">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whilst tissue damage from physical injury </w:t>
      </w:r>
      <w:r w:rsidRPr="040530DB" w:rsidDel="00000000" w:rsidR="6A7C8570">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can also have an impact on </w:t>
      </w:r>
      <w:proofErr w:type="spellStart"/>
      <w:r w:rsidRPr="040530DB" w:rsidDel="00000000" w:rsidR="6A7C8570">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behaviour</w:t>
      </w:r>
      <w:proofErr w:type="spellEnd"/>
      <w:r w:rsidRPr="040530DB" w:rsidDel="00000000" w:rsidR="6A7C8570">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(Newburn, 2013, p.139)</w:t>
      </w:r>
      <w:r w:rsidRPr="040530DB" w:rsidDel="00000000" w:rsidR="2244DB36">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r w:rsidRPr="040530DB" w:rsidDel="00000000" w:rsidR="649A212E">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as </w:t>
      </w:r>
      <w:r w:rsidRPr="040530DB" w:rsidDel="00000000" w:rsidR="2244DB36">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a result of</w:t>
      </w:r>
      <w:r w:rsidRPr="040530DB" w:rsidDel="00000000" w:rsidR="2244DB36">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childhood abuse</w:t>
      </w:r>
      <w:r w:rsidRPr="040530DB" w:rsidDel="00000000" w:rsidR="1EB7784D">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of Thompson by his father (Real Stories, 2018). In terms </w:t>
      </w:r>
      <w:r w:rsidRPr="040530DB" w:rsidDel="00000000" w:rsidR="4625C7A0">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of environmental</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and social influences, as </w:t>
      </w:r>
      <w:r w:rsidRPr="040530DB" w:rsidDel="00000000" w:rsidR="53027293">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working-class</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oppression may have </w:t>
      </w:r>
      <w:proofErr w:type="gramStart"/>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had an effect on</w:t>
      </w:r>
      <w:proofErr w:type="gramEnd"/>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their quality of life, both families may have had an impact on the boys</w:t>
      </w:r>
      <w:r w:rsidRPr="040530DB" w:rsidDel="00000000" w:rsidR="0AAD1114">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mental </w:t>
      </w:r>
      <w:r w:rsidRPr="040530DB" w:rsidDel="00000000" w:rsidR="78920ACE">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wellbeing</w:t>
      </w:r>
      <w:r w:rsidRPr="040530DB" w:rsidDel="00000000" w:rsidR="740F4A79">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r w:rsidRPr="040530DB" w:rsidDel="00000000" w:rsidR="740F4A79">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as a</w:t>
      </w:r>
      <w:r w:rsidRPr="040530DB" w:rsidDel="00000000" w:rsidR="4D7F58D0">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result </w:t>
      </w:r>
      <w:r w:rsidRPr="040530DB" w:rsidDel="00000000" w:rsidR="740F4A79">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of</w:t>
      </w:r>
      <w:r w:rsidRPr="040530DB" w:rsidDel="00000000" w:rsidR="740F4A79">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“maternal deprivation</w:t>
      </w:r>
      <w:r w:rsidRPr="040530DB" w:rsidDel="00000000" w:rsidR="740F4A79">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w:t>
      </w:r>
      <w:r w:rsidRPr="040530DB" w:rsidDel="00000000" w:rsidR="66E0A656">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from the relationships formed with their mothers</w:t>
      </w:r>
      <w:r w:rsidRPr="040530DB" w:rsidDel="00000000" w:rsidR="040530DB">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w:t>
      </w:r>
      <w:r w:rsidRPr="040530DB" w:rsidDel="00000000" w:rsidR="7CAF14B6">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Maternal deprivation researched by John Bowlby in juvenile </w:t>
      </w:r>
      <w:r w:rsidRPr="040530DB" w:rsidDel="00000000" w:rsidR="7974ACF7">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delinquency, the study shown that the individuals </w:t>
      </w:r>
      <w:r w:rsidRPr="040530DB" w:rsidDel="00000000" w:rsidR="1AA66C81">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developed "affection-less character” as a result. Disruption at childhood by bonding with the caregiver further shown difficulties in </w:t>
      </w:r>
      <w:r w:rsidRPr="040530DB" w:rsidDel="00000000" w:rsidR="14B5CF25">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socializing</w:t>
      </w:r>
      <w:r w:rsidRPr="040530DB" w:rsidDel="00000000" w:rsidR="1AA66C81">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and </w:t>
      </w:r>
      <w:r w:rsidRPr="040530DB" w:rsidDel="00000000" w:rsidR="1AA66C81">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establishing</w:t>
      </w:r>
      <w:r w:rsidRPr="040530DB" w:rsidDel="00000000" w:rsidR="1AA66C81">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relationships (Newburn, 2013, </w:t>
      </w:r>
      <w:r w:rsidRPr="040530DB" w:rsidDel="00000000" w:rsidR="0F506CA7">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p.150). </w:t>
      </w:r>
      <w:r w:rsidRPr="040530DB" w:rsidDel="00000000" w:rsidR="16E3E8DA">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Lastly to mention, the way society responded to the murder case, with mixed emotions particularly of anger, fear and shock, </w:t>
      </w:r>
      <w:r w:rsidRPr="040530DB" w:rsidDel="00000000" w:rsidR="6BECA9A2">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interactionist principles of labelling may have influenced these boys to being permanently condemned into </w:t>
      </w:r>
      <w:r w:rsidRPr="040530DB" w:rsidDel="00000000" w:rsidR="11FF9988">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believing that they were monsters</w:t>
      </w:r>
      <w:r w:rsidRPr="040530DB" w:rsidDel="00000000" w:rsidR="50A47EB9">
        <w:rPr>
          <w:rFonts w:ascii="Times New Roman" w:hAnsi="Times New Roman" w:eastAsia="Times New Roman" w:cs="Times New Roman"/>
          <w:b w:val="0"/>
          <w:bCs w:val="0"/>
          <w:i w:val="0"/>
          <w:iCs w:val="0"/>
          <w:caps w:val="0"/>
          <w:smallCaps w:val="0"/>
          <w:strike w:val="0"/>
          <w:dstrike w:val="0"/>
          <w:color w:val="000000"/>
          <w:sz w:val="22"/>
          <w:szCs w:val="22"/>
          <w:u w:val="none"/>
          <w:shd w:val="clear" w:fill="auto"/>
          <w:vertAlign w:val="baseline"/>
        </w:rPr>
        <w:t xml:space="preserve">, possible for why Venables reoffended. </w:t>
      </w:r>
    </w:p>
    <w:p xmlns:wp14="http://schemas.microsoft.com/office/word/2010/wordml" w:rsidRPr="00000000" w:rsidR="00000000" w:rsidDel="00000000" w:rsidP="040530DB" w:rsidRDefault="00000000" w14:paraId="15E47112" wp14:textId="4BE9727A">
      <w:pPr>
        <w:keepNext w:val="0"/>
        <w:keepLines w:val="0"/>
        <w:widowControl w:val="1"/>
        <w:pBdr>
          <w:top w:val="nil" w:sz="0" w:space="0"/>
          <w:left w:val="nil" w:sz="0" w:space="0"/>
          <w:bottom w:val="nil" w:sz="0" w:space="0"/>
          <w:right w:val="nil" w:sz="0" w:space="0"/>
          <w:between w:val="nil" w:sz="0" w:space="0"/>
        </w:pBd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w:rsidR="040530DB" w:rsidP="040530DB" w:rsidRDefault="040530DB" w14:paraId="05FA2591">
      <w:pPr>
        <w:shd w:val="clear" w:color="auto" w:fill="auto"/>
        <w:spacing w:before="0" w:after="0" w:line="480" w:lineRule="auto"/>
        <w:ind w:left="0" w:right="0" w:firstLine="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2"/>
          <w:szCs w:val="22"/>
          <w:u w:val="none"/>
          <w:vertAlign w:val="baseline"/>
          <w:rtl w:val="0"/>
        </w:rPr>
      </w:pPr>
    </w:p>
    <w:p xmlns:wp14="http://schemas.microsoft.com/office/word/2010/wordml" w:rsidRPr="00000000" w:rsidR="00000000" w:rsidDel="00000000" w:rsidP="040530DB" w:rsidRDefault="00000000" w14:paraId="0000002B" wp14:textId="77777777">
      <w:pPr>
        <w:keepNext w:val="0"/>
        <w:keepLines w:val="0"/>
        <w:widowControl w:val="1"/>
        <w:pBdr>
          <w:top w:val="nil" w:sz="0" w:space="0"/>
          <w:left w:val="nil" w:sz="0" w:space="0"/>
          <w:bottom w:val="nil" w:sz="0" w:space="0"/>
          <w:right w:val="nil" w:sz="0" w:space="0"/>
          <w:between w:val="nil" w:sz="0" w:space="0"/>
        </w:pBdr>
        <w:shd w:val="clear" w:color="auto" w:fill="auto"/>
        <w:spacing w:before="0" w:after="0" w:line="480" w:lineRule="auto"/>
        <w:ind w:left="0" w:right="0" w:firstLine="0"/>
        <w:jc w:val="left"/>
        <w:rPr>
          <w:rFonts w:ascii="Helvetica Neue" w:hAnsi="Helvetica Neue" w:eastAsia="Helvetica Neue" w:cs="Helvetica Neue"/>
          <w:b w:val="0"/>
          <w:bCs w:val="0"/>
          <w:i w:val="0"/>
          <w:iCs w:val="0"/>
          <w:caps w:val="0"/>
          <w:smallCaps w:val="0"/>
          <w:strike w:val="0"/>
          <w:dstrike w:val="0"/>
          <w:color w:val="000000"/>
          <w:sz w:val="24"/>
          <w:szCs w:val="24"/>
          <w:u w:val="none"/>
          <w:shd w:val="clear" w:fill="auto"/>
          <w:vertAlign w:val="baseline"/>
        </w:rPr>
      </w:pPr>
    </w:p>
    <w:p w:rsidR="040530DB" w:rsidP="040530DB" w:rsidRDefault="040530DB" w14:paraId="15199FB5" w14:textId="5AC47444">
      <w:pPr>
        <w:pStyle w:val="Normal"/>
        <w:rPr>
          <w:sz w:val="24"/>
          <w:szCs w:val="24"/>
        </w:rPr>
      </w:pPr>
    </w:p>
    <w:p w:rsidR="040530DB" w:rsidP="040530DB" w:rsidRDefault="040530DB" w14:paraId="737E778E" w14:textId="3F7C98FD">
      <w:pPr>
        <w:pStyle w:val="Normal"/>
        <w:rPr>
          <w:sz w:val="24"/>
          <w:szCs w:val="24"/>
        </w:rPr>
      </w:pPr>
    </w:p>
    <w:p w:rsidR="040530DB" w:rsidP="040530DB" w:rsidRDefault="040530DB" w14:paraId="20A3E83B" w14:textId="4CE0BFEF">
      <w:pPr>
        <w:pStyle w:val="Normal"/>
        <w:rPr>
          <w:sz w:val="24"/>
          <w:szCs w:val="24"/>
        </w:rPr>
      </w:pPr>
    </w:p>
    <w:p w:rsidR="040530DB" w:rsidP="040530DB" w:rsidRDefault="040530DB" w14:paraId="1D0FFB1C" w14:textId="61D92B32">
      <w:pPr>
        <w:pStyle w:val="Normal"/>
        <w:rPr>
          <w:sz w:val="24"/>
          <w:szCs w:val="24"/>
        </w:rPr>
      </w:pPr>
    </w:p>
    <w:p w:rsidR="040530DB" w:rsidP="040530DB" w:rsidRDefault="040530DB" w14:paraId="40BF0DF7" w14:textId="5042A210">
      <w:pPr>
        <w:pStyle w:val="Normal"/>
        <w:rPr>
          <w:sz w:val="24"/>
          <w:szCs w:val="24"/>
        </w:rPr>
      </w:pPr>
    </w:p>
    <w:p w:rsidR="040530DB" w:rsidP="040530DB" w:rsidRDefault="040530DB" w14:paraId="1600F173" w14:textId="67CEE081">
      <w:pPr>
        <w:pStyle w:val="Normal"/>
        <w:rPr>
          <w:sz w:val="24"/>
          <w:szCs w:val="24"/>
        </w:rPr>
      </w:pPr>
    </w:p>
    <w:p w:rsidR="040530DB" w:rsidP="040530DB" w:rsidRDefault="040530DB" w14:paraId="30EC5DE2" w14:textId="6BC50DFA">
      <w:pPr>
        <w:pStyle w:val="Normal"/>
        <w:rPr>
          <w:sz w:val="24"/>
          <w:szCs w:val="24"/>
        </w:rPr>
      </w:pPr>
    </w:p>
    <w:p w:rsidR="040530DB" w:rsidP="040530DB" w:rsidRDefault="040530DB" w14:paraId="7D245D99" w14:textId="69524205">
      <w:pPr>
        <w:pStyle w:val="Normal"/>
        <w:rPr>
          <w:sz w:val="24"/>
          <w:szCs w:val="24"/>
        </w:rPr>
      </w:pPr>
    </w:p>
    <w:p w:rsidR="040530DB" w:rsidP="040530DB" w:rsidRDefault="040530DB" w14:paraId="6AB35332" w14:textId="031B5F7F">
      <w:pPr>
        <w:pStyle w:val="Normal"/>
        <w:rPr>
          <w:sz w:val="24"/>
          <w:szCs w:val="24"/>
        </w:rPr>
      </w:pPr>
    </w:p>
    <w:p w:rsidR="040530DB" w:rsidP="040530DB" w:rsidRDefault="040530DB" w14:paraId="5ED3FBA2" w14:textId="3F9321D9">
      <w:pPr>
        <w:pStyle w:val="Normal"/>
        <w:rPr>
          <w:sz w:val="24"/>
          <w:szCs w:val="24"/>
        </w:rPr>
      </w:pPr>
    </w:p>
    <w:p w:rsidR="354E210B" w:rsidP="040530DB" w:rsidRDefault="354E210B" w14:paraId="3A0B7930" w14:textId="581339C9">
      <w:pPr>
        <w:pStyle w:val="Normal"/>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none"/>
          <w:vertAlign w:val="baseline"/>
        </w:rPr>
      </w:pPr>
      <w:r w:rsidRPr="39F5A7F2" w:rsidR="354E210B">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vertAlign w:val="baseline"/>
        </w:rPr>
        <w:t>Bibliography:</w:t>
      </w:r>
    </w:p>
    <w:p w:rsidR="040530DB" w:rsidP="040530DB" w:rsidRDefault="040530DB" w14:paraId="043C043F" w14:textId="778E1DA9">
      <w:pPr>
        <w:pStyle w:val="Normal"/>
        <w:rPr>
          <w:sz w:val="24"/>
          <w:szCs w:val="24"/>
        </w:rPr>
      </w:pPr>
    </w:p>
    <w:p w:rsidR="040530DB" w:rsidP="39F5A7F2" w:rsidRDefault="040530DB" w14:paraId="04056A81" w14:textId="123FF96A">
      <w:pPr>
        <w:pStyle w:val="Normal"/>
        <w:spacing w:line="480" w:lineRule="auto"/>
      </w:pPr>
      <w:r w:rsidRPr="39F5A7F2" w:rsidR="5E3C764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Dazza20006 (2014) </w:t>
      </w:r>
      <w:r w:rsidRPr="39F5A7F2" w:rsidR="5E3C7645">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Eyes of The </w:t>
      </w:r>
      <w:r w:rsidRPr="39F5A7F2" w:rsidR="5E3C7645">
        <w:rPr>
          <w:rFonts w:ascii="Times New Roman" w:hAnsi="Times New Roman" w:eastAsia="Times New Roman" w:cs="Times New Roman"/>
          <w:b w:val="0"/>
          <w:bCs w:val="0"/>
          <w:i w:val="1"/>
          <w:iCs w:val="1"/>
          <w:noProof w:val="0"/>
          <w:color w:val="000000" w:themeColor="text1" w:themeTint="FF" w:themeShade="FF"/>
          <w:sz w:val="24"/>
          <w:szCs w:val="24"/>
          <w:lang w:val="en-US"/>
        </w:rPr>
        <w:t>Detec</w:t>
      </w:r>
      <w:r w:rsidRPr="39F5A7F2" w:rsidR="24FCF392">
        <w:rPr>
          <w:rFonts w:ascii="Times New Roman" w:hAnsi="Times New Roman" w:eastAsia="Times New Roman" w:cs="Times New Roman"/>
          <w:b w:val="0"/>
          <w:bCs w:val="0"/>
          <w:i w:val="1"/>
          <w:iCs w:val="1"/>
          <w:noProof w:val="0"/>
          <w:color w:val="000000" w:themeColor="text1" w:themeTint="FF" w:themeShade="FF"/>
          <w:sz w:val="24"/>
          <w:szCs w:val="24"/>
          <w:lang w:val="en-US"/>
        </w:rPr>
        <w:t>t</w:t>
      </w:r>
      <w:r w:rsidRPr="39F5A7F2" w:rsidR="5E3C7645">
        <w:rPr>
          <w:rFonts w:ascii="Times New Roman" w:hAnsi="Times New Roman" w:eastAsia="Times New Roman" w:cs="Times New Roman"/>
          <w:b w:val="0"/>
          <w:bCs w:val="0"/>
          <w:i w:val="1"/>
          <w:iCs w:val="1"/>
          <w:noProof w:val="0"/>
          <w:color w:val="000000" w:themeColor="text1" w:themeTint="FF" w:themeShade="FF"/>
          <w:sz w:val="24"/>
          <w:szCs w:val="24"/>
          <w:lang w:val="en-US"/>
        </w:rPr>
        <w:t>ive</w:t>
      </w:r>
      <w:r w:rsidRPr="39F5A7F2" w:rsidR="40C4A72B">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 </w:t>
      </w:r>
      <w:r w:rsidRPr="39F5A7F2" w:rsidR="66CE0768">
        <w:rPr>
          <w:rFonts w:ascii="Times New Roman" w:hAnsi="Times New Roman" w:eastAsia="Times New Roman" w:cs="Times New Roman"/>
          <w:b w:val="0"/>
          <w:bCs w:val="0"/>
          <w:i w:val="1"/>
          <w:iCs w:val="1"/>
          <w:noProof w:val="0"/>
          <w:color w:val="000000" w:themeColor="text1" w:themeTint="FF" w:themeShade="FF"/>
          <w:sz w:val="24"/>
          <w:szCs w:val="24"/>
          <w:lang w:val="en-US"/>
        </w:rPr>
        <w:t>James Bulger</w:t>
      </w:r>
      <w:r w:rsidRPr="39F5A7F2" w:rsidR="40C4A72B">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 </w:t>
      </w:r>
      <w:r w:rsidRPr="39F5A7F2" w:rsidR="40C4A72B">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39F5A7F2" w:rsidR="551FAA4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online video] Available at: </w:t>
      </w:r>
      <w:hyperlink r:id="Rfef69a8975604ab2">
        <w:r w:rsidRPr="39F5A7F2" w:rsidR="551FAA44">
          <w:rPr>
            <w:rStyle w:val="Hyperlink"/>
            <w:rFonts w:ascii="Times New Roman" w:hAnsi="Times New Roman" w:eastAsia="Times New Roman" w:cs="Times New Roman"/>
            <w:noProof w:val="0"/>
            <w:sz w:val="24"/>
            <w:szCs w:val="24"/>
            <w:lang w:val="en-US"/>
          </w:rPr>
          <w:t>Eyes of the Detective – James Bulger - YouTube</w:t>
        </w:r>
      </w:hyperlink>
      <w:r w:rsidRPr="39F5A7F2" w:rsidR="55A3DC66">
        <w:rPr>
          <w:rFonts w:ascii="Times New Roman" w:hAnsi="Times New Roman" w:eastAsia="Times New Roman" w:cs="Times New Roman"/>
          <w:noProof w:val="0"/>
          <w:sz w:val="24"/>
          <w:szCs w:val="24"/>
          <w:lang w:val="en-US"/>
        </w:rPr>
        <w:t xml:space="preserve"> </w:t>
      </w:r>
      <w:r w:rsidRPr="39F5A7F2" w:rsidR="7A6FA7B2">
        <w:rPr>
          <w:rFonts w:ascii="Times New Roman" w:hAnsi="Times New Roman" w:eastAsia="Times New Roman" w:cs="Times New Roman"/>
          <w:noProof w:val="0"/>
          <w:sz w:val="24"/>
          <w:szCs w:val="24"/>
          <w:lang w:val="en-US"/>
        </w:rPr>
        <w:t>Accessed: 10/03/21</w:t>
      </w:r>
    </w:p>
    <w:p w:rsidR="175DF99F" w:rsidP="040530DB" w:rsidRDefault="175DF99F" w14:paraId="2BEE3DB2" w14:textId="0B98CD57">
      <w:pPr>
        <w:spacing w:line="480" w:lineRule="auto"/>
        <w:ind w:left="450" w:hanging="450"/>
      </w:pPr>
      <w:r w:rsidRPr="39F5A7F2" w:rsidR="175DF99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Jackson, D., 2015. </w:t>
      </w:r>
      <w:r w:rsidRPr="39F5A7F2" w:rsidR="175DF99F">
        <w:rPr>
          <w:rFonts w:ascii="Times New Roman" w:hAnsi="Times New Roman" w:eastAsia="Times New Roman" w:cs="Times New Roman"/>
          <w:b w:val="0"/>
          <w:bCs w:val="0"/>
          <w:i w:val="1"/>
          <w:iCs w:val="1"/>
          <w:noProof w:val="0"/>
          <w:color w:val="000000" w:themeColor="text1" w:themeTint="FF" w:themeShade="FF"/>
          <w:sz w:val="24"/>
          <w:szCs w:val="24"/>
          <w:lang w:val="en-US"/>
        </w:rPr>
        <w:t>Destroying the Baby in Themselves</w:t>
      </w:r>
      <w:r w:rsidRPr="39F5A7F2" w:rsidR="175DF99F">
        <w:rPr>
          <w:rFonts w:ascii="Times New Roman" w:hAnsi="Times New Roman" w:eastAsia="Times New Roman" w:cs="Times New Roman"/>
          <w:b w:val="0"/>
          <w:bCs w:val="0"/>
          <w:i w:val="0"/>
          <w:iCs w:val="0"/>
          <w:noProof w:val="0"/>
          <w:color w:val="000000" w:themeColor="text1" w:themeTint="FF" w:themeShade="FF"/>
          <w:sz w:val="24"/>
          <w:szCs w:val="24"/>
          <w:lang w:val="en-US"/>
        </w:rPr>
        <w:t>. Nottingham: Five Leaves Publications.</w:t>
      </w:r>
    </w:p>
    <w:p w:rsidR="175DF99F" w:rsidP="040530DB" w:rsidRDefault="175DF99F" w14:paraId="6E32754F" w14:textId="0FAE4E4D">
      <w:pPr>
        <w:spacing w:line="480" w:lineRule="auto"/>
        <w:ind w:left="450" w:hanging="450"/>
      </w:pPr>
      <w:r w:rsidRPr="39F5A7F2" w:rsidR="175DF99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Levine, M., 1999. Rethinking Bystander Nonintervention: Social Categorization and the Evidence of Witnesses at the James Bulger Murder Trial. </w:t>
      </w:r>
      <w:r w:rsidRPr="39F5A7F2" w:rsidR="175DF99F">
        <w:rPr>
          <w:rFonts w:ascii="Times New Roman" w:hAnsi="Times New Roman" w:eastAsia="Times New Roman" w:cs="Times New Roman"/>
          <w:b w:val="0"/>
          <w:bCs w:val="0"/>
          <w:i w:val="1"/>
          <w:iCs w:val="1"/>
          <w:noProof w:val="0"/>
          <w:color w:val="000000" w:themeColor="text1" w:themeTint="FF" w:themeShade="FF"/>
          <w:sz w:val="24"/>
          <w:szCs w:val="24"/>
          <w:lang w:val="en-US"/>
        </w:rPr>
        <w:t>Human Relations</w:t>
      </w:r>
      <w:r w:rsidRPr="39F5A7F2" w:rsidR="175DF99F">
        <w:rPr>
          <w:rFonts w:ascii="Times New Roman" w:hAnsi="Times New Roman" w:eastAsia="Times New Roman" w:cs="Times New Roman"/>
          <w:b w:val="0"/>
          <w:bCs w:val="0"/>
          <w:i w:val="0"/>
          <w:iCs w:val="0"/>
          <w:noProof w:val="0"/>
          <w:color w:val="000000" w:themeColor="text1" w:themeTint="FF" w:themeShade="FF"/>
          <w:sz w:val="24"/>
          <w:szCs w:val="24"/>
          <w:lang w:val="en-US"/>
        </w:rPr>
        <w:t>, 52(9), pp.1133-1155.</w:t>
      </w:r>
    </w:p>
    <w:p w:rsidR="175DF99F" w:rsidP="040530DB" w:rsidRDefault="175DF99F" w14:paraId="5DEE6027" w14:textId="135254D6">
      <w:pPr>
        <w:spacing w:line="480" w:lineRule="auto"/>
        <w:ind w:left="450" w:hanging="450"/>
        <w:rPr>
          <w:rFonts w:ascii="Times New Roman" w:hAnsi="Times New Roman" w:eastAsia="Times New Roman" w:cs="Times New Roman"/>
          <w:b w:val="0"/>
          <w:bCs w:val="0"/>
          <w:i w:val="0"/>
          <w:iCs w:val="0"/>
          <w:noProof w:val="0"/>
          <w:color w:val="000000" w:themeColor="text1" w:themeTint="FF" w:themeShade="FF"/>
          <w:sz w:val="24"/>
          <w:szCs w:val="24"/>
          <w:lang w:val="en-US"/>
        </w:rPr>
      </w:pPr>
      <w:r w:rsidRPr="39F5A7F2" w:rsidR="175DF99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Muncie, J., 2009. </w:t>
      </w:r>
      <w:r w:rsidRPr="39F5A7F2" w:rsidR="175DF99F">
        <w:rPr>
          <w:rFonts w:ascii="Times New Roman" w:hAnsi="Times New Roman" w:eastAsia="Times New Roman" w:cs="Times New Roman"/>
          <w:b w:val="0"/>
          <w:bCs w:val="0"/>
          <w:i w:val="1"/>
          <w:iCs w:val="1"/>
          <w:noProof w:val="0"/>
          <w:color w:val="000000" w:themeColor="text1" w:themeTint="FF" w:themeShade="FF"/>
          <w:sz w:val="24"/>
          <w:szCs w:val="24"/>
          <w:lang w:val="en-US"/>
        </w:rPr>
        <w:t>Youth &amp; crime</w:t>
      </w:r>
      <w:r w:rsidRPr="39F5A7F2" w:rsidR="175DF99F">
        <w:rPr>
          <w:rFonts w:ascii="Times New Roman" w:hAnsi="Times New Roman" w:eastAsia="Times New Roman" w:cs="Times New Roman"/>
          <w:b w:val="0"/>
          <w:bCs w:val="0"/>
          <w:i w:val="0"/>
          <w:iCs w:val="0"/>
          <w:noProof w:val="0"/>
          <w:color w:val="000000" w:themeColor="text1" w:themeTint="FF" w:themeShade="FF"/>
          <w:sz w:val="24"/>
          <w:szCs w:val="24"/>
          <w:lang w:val="en-US"/>
        </w:rPr>
        <w:t>. 3rd ed. Los Angeles: SAGE, pp.67,68,86,89,90-94,111-113,132-</w:t>
      </w:r>
      <w:r w:rsidRPr="39F5A7F2" w:rsidR="175DF99F">
        <w:rPr>
          <w:rFonts w:ascii="Times New Roman" w:hAnsi="Times New Roman" w:eastAsia="Times New Roman" w:cs="Times New Roman"/>
          <w:b w:val="0"/>
          <w:bCs w:val="0"/>
          <w:i w:val="0"/>
          <w:iCs w:val="0"/>
          <w:noProof w:val="0"/>
          <w:color w:val="000000" w:themeColor="text1" w:themeTint="FF" w:themeShade="FF"/>
          <w:sz w:val="24"/>
          <w:szCs w:val="24"/>
          <w:lang w:val="en-US"/>
        </w:rPr>
        <w:t>133,.</w:t>
      </w:r>
    </w:p>
    <w:p w:rsidR="175DF99F" w:rsidP="040530DB" w:rsidRDefault="175DF99F" w14:paraId="08FCE33B" w14:textId="64A6DB8B">
      <w:pPr>
        <w:spacing w:line="480" w:lineRule="auto"/>
        <w:ind w:left="450" w:hanging="450"/>
      </w:pPr>
      <w:r w:rsidRPr="39F5A7F2" w:rsidR="175DF99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Murray, J., 2000. Psychological Profile of Pedophiles and Child Molesters. </w:t>
      </w:r>
      <w:r w:rsidRPr="39F5A7F2" w:rsidR="175DF99F">
        <w:rPr>
          <w:rFonts w:ascii="Times New Roman" w:hAnsi="Times New Roman" w:eastAsia="Times New Roman" w:cs="Times New Roman"/>
          <w:b w:val="0"/>
          <w:bCs w:val="0"/>
          <w:i w:val="1"/>
          <w:iCs w:val="1"/>
          <w:noProof w:val="0"/>
          <w:color w:val="000000" w:themeColor="text1" w:themeTint="FF" w:themeShade="FF"/>
          <w:sz w:val="24"/>
          <w:szCs w:val="24"/>
          <w:lang w:val="en-US"/>
        </w:rPr>
        <w:t>The Journal of Psychology</w:t>
      </w:r>
      <w:r w:rsidRPr="39F5A7F2" w:rsidR="175DF99F">
        <w:rPr>
          <w:rFonts w:ascii="Times New Roman" w:hAnsi="Times New Roman" w:eastAsia="Times New Roman" w:cs="Times New Roman"/>
          <w:b w:val="0"/>
          <w:bCs w:val="0"/>
          <w:i w:val="0"/>
          <w:iCs w:val="0"/>
          <w:noProof w:val="0"/>
          <w:color w:val="000000" w:themeColor="text1" w:themeTint="FF" w:themeShade="FF"/>
          <w:sz w:val="24"/>
          <w:szCs w:val="24"/>
          <w:lang w:val="en-US"/>
        </w:rPr>
        <w:t>, 134(2), pp.211, 219, 224.</w:t>
      </w:r>
    </w:p>
    <w:p w:rsidR="175DF99F" w:rsidP="39F5A7F2" w:rsidRDefault="175DF99F" w14:paraId="1C18B5DD" w14:textId="6A2E1839">
      <w:pPr>
        <w:spacing w:line="480" w:lineRule="auto"/>
        <w:ind w:left="450" w:hanging="450"/>
        <w:rPr>
          <w:rFonts w:ascii="Times New Roman" w:hAnsi="Times New Roman" w:eastAsia="Times New Roman" w:cs="Times New Roman"/>
          <w:b w:val="0"/>
          <w:bCs w:val="0"/>
          <w:i w:val="0"/>
          <w:iCs w:val="0"/>
          <w:noProof w:val="0"/>
          <w:color w:val="000000" w:themeColor="text1" w:themeTint="FF" w:themeShade="FF"/>
          <w:sz w:val="24"/>
          <w:szCs w:val="24"/>
          <w:lang w:val="en-US"/>
        </w:rPr>
      </w:pPr>
      <w:r w:rsidRPr="39F5A7F2" w:rsidR="175DF99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Newburn, T., 2013. </w:t>
      </w:r>
      <w:r w:rsidRPr="39F5A7F2" w:rsidR="175DF99F">
        <w:rPr>
          <w:rFonts w:ascii="Times New Roman" w:hAnsi="Times New Roman" w:eastAsia="Times New Roman" w:cs="Times New Roman"/>
          <w:b w:val="0"/>
          <w:bCs w:val="0"/>
          <w:i w:val="1"/>
          <w:iCs w:val="1"/>
          <w:noProof w:val="0"/>
          <w:color w:val="000000" w:themeColor="text1" w:themeTint="FF" w:themeShade="FF"/>
          <w:sz w:val="24"/>
          <w:szCs w:val="24"/>
          <w:lang w:val="en-US"/>
        </w:rPr>
        <w:t>Criminology</w:t>
      </w:r>
      <w:r w:rsidRPr="39F5A7F2" w:rsidR="175DF99F">
        <w:rPr>
          <w:rFonts w:ascii="Times New Roman" w:hAnsi="Times New Roman" w:eastAsia="Times New Roman" w:cs="Times New Roman"/>
          <w:b w:val="0"/>
          <w:bCs w:val="0"/>
          <w:i w:val="0"/>
          <w:iCs w:val="0"/>
          <w:noProof w:val="0"/>
          <w:color w:val="000000" w:themeColor="text1" w:themeTint="FF" w:themeShade="FF"/>
          <w:sz w:val="24"/>
          <w:szCs w:val="24"/>
          <w:lang w:val="en-US"/>
        </w:rPr>
        <w:t>. London: Routledge, pp.4,114,115,116,117,138,139,143,149,150,151,153-</w:t>
      </w:r>
      <w:proofErr w:type="gramStart"/>
      <w:r w:rsidRPr="39F5A7F2" w:rsidR="175DF99F">
        <w:rPr>
          <w:rFonts w:ascii="Times New Roman" w:hAnsi="Times New Roman" w:eastAsia="Times New Roman" w:cs="Times New Roman"/>
          <w:b w:val="0"/>
          <w:bCs w:val="0"/>
          <w:i w:val="0"/>
          <w:iCs w:val="0"/>
          <w:noProof w:val="0"/>
          <w:color w:val="000000" w:themeColor="text1" w:themeTint="FF" w:themeShade="FF"/>
          <w:sz w:val="24"/>
          <w:szCs w:val="24"/>
          <w:lang w:val="en-US"/>
        </w:rPr>
        <w:t>155,.</w:t>
      </w:r>
      <w:proofErr w:type="gramEnd"/>
    </w:p>
    <w:p w:rsidR="67440070" w:rsidP="39F5A7F2" w:rsidRDefault="67440070" w14:paraId="68E288BB" w14:textId="1F6381C5">
      <w:pPr>
        <w:pStyle w:val="Normal"/>
        <w:spacing w:line="480" w:lineRule="auto"/>
        <w:rPr>
          <w:noProof w:val="0"/>
          <w:sz w:val="24"/>
          <w:szCs w:val="24"/>
          <w:lang w:val="en-US"/>
        </w:rPr>
      </w:pPr>
      <w:r w:rsidRPr="39F5A7F2" w:rsidR="6744007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Parliament. House of Commons (2017). </w:t>
      </w:r>
      <w:r w:rsidRPr="39F5A7F2" w:rsidR="67440070">
        <w:rPr>
          <w:rFonts w:ascii="Times New Roman" w:hAnsi="Times New Roman" w:eastAsia="Times New Roman" w:cs="Times New Roman"/>
          <w:b w:val="0"/>
          <w:bCs w:val="0"/>
          <w:i w:val="1"/>
          <w:iCs w:val="1"/>
          <w:noProof w:val="0"/>
          <w:color w:val="000000" w:themeColor="text1" w:themeTint="FF" w:themeShade="FF"/>
          <w:sz w:val="24"/>
          <w:szCs w:val="24"/>
          <w:lang w:val="en-US"/>
        </w:rPr>
        <w:t>Mental health in prisons 2017-2019</w:t>
      </w:r>
      <w:r w:rsidRPr="39F5A7F2" w:rsidR="3E7ADAEE">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 </w:t>
      </w:r>
      <w:r w:rsidRPr="39F5A7F2" w:rsidR="3E7ADAEE">
        <w:rPr>
          <w:rFonts w:ascii="Times New Roman" w:hAnsi="Times New Roman" w:eastAsia="Times New Roman" w:cs="Times New Roman"/>
          <w:b w:val="0"/>
          <w:bCs w:val="0"/>
          <w:i w:val="0"/>
          <w:iCs w:val="0"/>
          <w:noProof w:val="0"/>
          <w:color w:val="000000" w:themeColor="text1" w:themeTint="FF" w:themeShade="FF"/>
          <w:sz w:val="24"/>
          <w:szCs w:val="24"/>
          <w:lang w:val="en-US"/>
        </w:rPr>
        <w:t>(HC 2017 (400))</w:t>
      </w:r>
      <w:r w:rsidRPr="39F5A7F2" w:rsidR="20068160">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London: The Stationary Office.</w:t>
      </w:r>
    </w:p>
    <w:p w:rsidR="6D349DCC" w:rsidP="39F5A7F2" w:rsidRDefault="6D349DCC" w14:paraId="5479EBE4" w14:textId="0D3C6B86">
      <w:pPr>
        <w:pStyle w:val="Normal"/>
        <w:spacing w:line="480" w:lineRule="auto"/>
      </w:pPr>
      <w:r w:rsidRPr="39F5A7F2" w:rsidR="6D349DC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Real Stories (2018) </w:t>
      </w:r>
      <w:r w:rsidRPr="39F5A7F2" w:rsidR="6D349DCC">
        <w:rPr>
          <w:rFonts w:ascii="Times New Roman" w:hAnsi="Times New Roman" w:eastAsia="Times New Roman" w:cs="Times New Roman"/>
          <w:b w:val="0"/>
          <w:bCs w:val="0"/>
          <w:i w:val="1"/>
          <w:iCs w:val="1"/>
          <w:noProof w:val="0"/>
          <w:color w:val="000000" w:themeColor="text1" w:themeTint="FF" w:themeShade="FF"/>
          <w:sz w:val="24"/>
          <w:szCs w:val="24"/>
          <w:lang w:val="en-US"/>
        </w:rPr>
        <w:t>Unforgiven: The Boys W</w:t>
      </w:r>
      <w:r w:rsidRPr="39F5A7F2" w:rsidR="38227DA4">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ho Killed A Child </w:t>
      </w:r>
      <w:r w:rsidRPr="39F5A7F2" w:rsidR="38227DA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[online video] </w:t>
      </w:r>
      <w:r w:rsidRPr="39F5A7F2" w:rsidR="61DE9DF2">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Available at: </w:t>
      </w:r>
      <w:hyperlink r:id="R9ebe2159fcb44c37">
        <w:r w:rsidRPr="39F5A7F2" w:rsidR="61DE9DF2">
          <w:rPr>
            <w:rStyle w:val="Hyperlink"/>
            <w:rFonts w:ascii="Times New Roman" w:hAnsi="Times New Roman" w:eastAsia="Times New Roman" w:cs="Times New Roman"/>
            <w:noProof w:val="0"/>
            <w:sz w:val="24"/>
            <w:szCs w:val="24"/>
            <w:lang w:val="en-US"/>
          </w:rPr>
          <w:t>Unforgiven: The Boys Who Killed A Child (Jamie Bulger Documentary) | Real Stories - YouTube</w:t>
        </w:r>
      </w:hyperlink>
      <w:r w:rsidRPr="39F5A7F2" w:rsidR="61DE9DF2">
        <w:rPr>
          <w:rFonts w:ascii="Times New Roman" w:hAnsi="Times New Roman" w:eastAsia="Times New Roman" w:cs="Times New Roman"/>
          <w:noProof w:val="0"/>
          <w:sz w:val="24"/>
          <w:szCs w:val="24"/>
          <w:lang w:val="en-US"/>
        </w:rPr>
        <w:t xml:space="preserve"> Accessed</w:t>
      </w:r>
      <w:r w:rsidRPr="39F5A7F2" w:rsidR="3B4EAC49">
        <w:rPr>
          <w:rFonts w:ascii="Times New Roman" w:hAnsi="Times New Roman" w:eastAsia="Times New Roman" w:cs="Times New Roman"/>
          <w:noProof w:val="0"/>
          <w:sz w:val="24"/>
          <w:szCs w:val="24"/>
          <w:lang w:val="en-US"/>
        </w:rPr>
        <w:t>: 10/03/21</w:t>
      </w:r>
    </w:p>
    <w:p w:rsidR="175DF99F" w:rsidP="040530DB" w:rsidRDefault="175DF99F" w14:paraId="3F35578F" w14:textId="41AF4C75">
      <w:pPr>
        <w:spacing w:line="480" w:lineRule="auto"/>
        <w:ind w:left="450" w:hanging="450"/>
      </w:pPr>
      <w:r w:rsidRPr="39F5A7F2" w:rsidR="175DF99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Rice, G. and Thomas, T., 2013. James Bulger – a matter of public </w:t>
      </w:r>
      <w:r w:rsidRPr="39F5A7F2" w:rsidR="175DF99F">
        <w:rPr>
          <w:rFonts w:ascii="Times New Roman" w:hAnsi="Times New Roman" w:eastAsia="Times New Roman" w:cs="Times New Roman"/>
          <w:b w:val="0"/>
          <w:bCs w:val="0"/>
          <w:i w:val="0"/>
          <w:iCs w:val="0"/>
          <w:noProof w:val="0"/>
          <w:color w:val="000000" w:themeColor="text1" w:themeTint="FF" w:themeShade="FF"/>
          <w:sz w:val="24"/>
          <w:szCs w:val="24"/>
          <w:lang w:val="en-US"/>
        </w:rPr>
        <w:t>interest?.</w:t>
      </w:r>
      <w:r w:rsidRPr="39F5A7F2" w:rsidR="175DF99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39F5A7F2" w:rsidR="175DF99F">
        <w:rPr>
          <w:rFonts w:ascii="Times New Roman" w:hAnsi="Times New Roman" w:eastAsia="Times New Roman" w:cs="Times New Roman"/>
          <w:b w:val="0"/>
          <w:bCs w:val="0"/>
          <w:i w:val="1"/>
          <w:iCs w:val="1"/>
          <w:noProof w:val="0"/>
          <w:color w:val="000000" w:themeColor="text1" w:themeTint="FF" w:themeShade="FF"/>
          <w:sz w:val="24"/>
          <w:szCs w:val="24"/>
          <w:lang w:val="en-US"/>
        </w:rPr>
        <w:t>The International Journal of Children’s Rights</w:t>
      </w:r>
      <w:r w:rsidRPr="39F5A7F2" w:rsidR="175DF99F">
        <w:rPr>
          <w:rFonts w:ascii="Times New Roman" w:hAnsi="Times New Roman" w:eastAsia="Times New Roman" w:cs="Times New Roman"/>
          <w:b w:val="0"/>
          <w:bCs w:val="0"/>
          <w:i w:val="0"/>
          <w:iCs w:val="0"/>
          <w:noProof w:val="0"/>
          <w:color w:val="000000" w:themeColor="text1" w:themeTint="FF" w:themeShade="FF"/>
          <w:sz w:val="24"/>
          <w:szCs w:val="24"/>
          <w:lang w:val="en-US"/>
        </w:rPr>
        <w:t>, 21(1), pp.1-11.</w:t>
      </w:r>
    </w:p>
    <w:p w:rsidR="175DF99F" w:rsidP="040530DB" w:rsidRDefault="175DF99F" w14:paraId="694A95C0" w14:textId="20E9A830">
      <w:pPr>
        <w:spacing w:line="480" w:lineRule="auto"/>
        <w:ind w:left="450" w:hanging="450"/>
      </w:pPr>
      <w:r w:rsidRPr="39F5A7F2" w:rsidR="175DF99F">
        <w:rPr>
          <w:rFonts w:ascii="Times New Roman" w:hAnsi="Times New Roman" w:eastAsia="Times New Roman" w:cs="Times New Roman"/>
          <w:b w:val="0"/>
          <w:bCs w:val="0"/>
          <w:i w:val="0"/>
          <w:iCs w:val="0"/>
          <w:noProof w:val="0"/>
          <w:color w:val="000000" w:themeColor="text1" w:themeTint="FF" w:themeShade="FF"/>
          <w:sz w:val="24"/>
          <w:szCs w:val="24"/>
          <w:lang w:val="en-US"/>
        </w:rPr>
        <w:t>Storrs, E., 2006. ‘All You Need Is Love, Love… Love Is All You Need</w:t>
      </w:r>
      <w:r w:rsidRPr="39F5A7F2" w:rsidR="175DF99F">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39F5A7F2" w:rsidR="175DF99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39F5A7F2" w:rsidR="175DF99F">
        <w:rPr>
          <w:rFonts w:ascii="Times New Roman" w:hAnsi="Times New Roman" w:eastAsia="Times New Roman" w:cs="Times New Roman"/>
          <w:b w:val="0"/>
          <w:bCs w:val="0"/>
          <w:i w:val="1"/>
          <w:iCs w:val="1"/>
          <w:noProof w:val="0"/>
          <w:color w:val="000000" w:themeColor="text1" w:themeTint="FF" w:themeShade="FF"/>
          <w:sz w:val="24"/>
          <w:szCs w:val="24"/>
          <w:lang w:val="en-US"/>
        </w:rPr>
        <w:t>Culture and Religion</w:t>
      </w:r>
      <w:r w:rsidRPr="39F5A7F2" w:rsidR="175DF99F">
        <w:rPr>
          <w:rFonts w:ascii="Times New Roman" w:hAnsi="Times New Roman" w:eastAsia="Times New Roman" w:cs="Times New Roman"/>
          <w:b w:val="0"/>
          <w:bCs w:val="0"/>
          <w:i w:val="0"/>
          <w:iCs w:val="0"/>
          <w:noProof w:val="0"/>
          <w:color w:val="000000" w:themeColor="text1" w:themeTint="FF" w:themeShade="FF"/>
          <w:sz w:val="24"/>
          <w:szCs w:val="24"/>
          <w:lang w:val="en-US"/>
        </w:rPr>
        <w:t>, 7(3), pp.291-310.</w:t>
      </w:r>
    </w:p>
    <w:p w:rsidR="040530DB" w:rsidP="39F5A7F2" w:rsidRDefault="040530DB" w14:paraId="537095E9" w14:textId="16AFAFE7">
      <w:pPr>
        <w:pStyle w:val="Normal"/>
        <w:spacing w:line="480" w:lineRule="auto"/>
      </w:pPr>
      <w:r w:rsidRPr="39F5A7F2" w:rsidR="7F58F3F8">
        <w:rPr>
          <w:rFonts w:ascii="Times New Roman" w:hAnsi="Times New Roman" w:eastAsia="Times New Roman" w:cs="Times New Roman"/>
          <w:sz w:val="24"/>
          <w:szCs w:val="24"/>
        </w:rPr>
        <w:t xml:space="preserve">60 Minutes Australia (2018) </w:t>
      </w:r>
      <w:r w:rsidRPr="39F5A7F2" w:rsidR="7F58F3F8">
        <w:rPr>
          <w:rFonts w:ascii="Times New Roman" w:hAnsi="Times New Roman" w:eastAsia="Times New Roman" w:cs="Times New Roman"/>
          <w:i w:val="1"/>
          <w:iCs w:val="1"/>
          <w:sz w:val="24"/>
          <w:szCs w:val="24"/>
        </w:rPr>
        <w:t xml:space="preserve">Torture and </w:t>
      </w:r>
      <w:r w:rsidRPr="39F5A7F2" w:rsidR="06B28529">
        <w:rPr>
          <w:rFonts w:ascii="Times New Roman" w:hAnsi="Times New Roman" w:eastAsia="Times New Roman" w:cs="Times New Roman"/>
          <w:i w:val="1"/>
          <w:iCs w:val="1"/>
          <w:sz w:val="24"/>
          <w:szCs w:val="24"/>
        </w:rPr>
        <w:t>m</w:t>
      </w:r>
      <w:r w:rsidRPr="39F5A7F2" w:rsidR="7F58F3F8">
        <w:rPr>
          <w:rFonts w:ascii="Times New Roman" w:hAnsi="Times New Roman" w:eastAsia="Times New Roman" w:cs="Times New Roman"/>
          <w:i w:val="1"/>
          <w:iCs w:val="1"/>
          <w:sz w:val="24"/>
          <w:szCs w:val="24"/>
        </w:rPr>
        <w:t xml:space="preserve">urder of </w:t>
      </w:r>
      <w:r w:rsidRPr="39F5A7F2" w:rsidR="422B3BB5">
        <w:rPr>
          <w:rFonts w:ascii="Times New Roman" w:hAnsi="Times New Roman" w:eastAsia="Times New Roman" w:cs="Times New Roman"/>
          <w:i w:val="1"/>
          <w:iCs w:val="1"/>
          <w:sz w:val="24"/>
          <w:szCs w:val="24"/>
        </w:rPr>
        <w:t>t</w:t>
      </w:r>
      <w:r w:rsidRPr="39F5A7F2" w:rsidR="7F58F3F8">
        <w:rPr>
          <w:rFonts w:ascii="Times New Roman" w:hAnsi="Times New Roman" w:eastAsia="Times New Roman" w:cs="Times New Roman"/>
          <w:i w:val="1"/>
          <w:iCs w:val="1"/>
          <w:sz w:val="24"/>
          <w:szCs w:val="24"/>
        </w:rPr>
        <w:t>oddler James Bulger</w:t>
      </w:r>
      <w:r w:rsidRPr="39F5A7F2" w:rsidR="3654BE26">
        <w:rPr>
          <w:rFonts w:ascii="Times New Roman" w:hAnsi="Times New Roman" w:eastAsia="Times New Roman" w:cs="Times New Roman"/>
          <w:i w:val="1"/>
          <w:iCs w:val="1"/>
          <w:sz w:val="24"/>
          <w:szCs w:val="24"/>
        </w:rPr>
        <w:t>/ 60 Minutes Australia</w:t>
      </w:r>
      <w:r w:rsidRPr="39F5A7F2" w:rsidR="74533D95">
        <w:rPr>
          <w:rFonts w:ascii="Times New Roman" w:hAnsi="Times New Roman" w:eastAsia="Times New Roman" w:cs="Times New Roman"/>
          <w:i w:val="0"/>
          <w:iCs w:val="0"/>
          <w:sz w:val="24"/>
          <w:szCs w:val="24"/>
        </w:rPr>
        <w:t xml:space="preserve"> [online video] Available at: </w:t>
      </w:r>
      <w:hyperlink r:id="R5f99d2487105455a">
        <w:r w:rsidRPr="39F5A7F2" w:rsidR="4DF83909">
          <w:rPr>
            <w:rStyle w:val="Hyperlink"/>
            <w:rFonts w:ascii="Times New Roman" w:hAnsi="Times New Roman" w:eastAsia="Times New Roman" w:cs="Times New Roman"/>
            <w:noProof w:val="0"/>
            <w:sz w:val="24"/>
            <w:szCs w:val="24"/>
            <w:lang w:val="en-US"/>
          </w:rPr>
          <w:t>Torture and murder of toddler James Bulger | 60 Minutes Australia - YouTube</w:t>
        </w:r>
      </w:hyperlink>
      <w:r w:rsidRPr="39F5A7F2" w:rsidR="4DF83909">
        <w:rPr>
          <w:rFonts w:ascii="Times New Roman" w:hAnsi="Times New Roman" w:eastAsia="Times New Roman" w:cs="Times New Roman"/>
          <w:noProof w:val="0"/>
          <w:sz w:val="24"/>
          <w:szCs w:val="24"/>
          <w:lang w:val="en-US"/>
        </w:rPr>
        <w:t xml:space="preserve"> Accessed: 11/03/21</w:t>
      </w:r>
    </w:p>
    <w:p w:rsidR="040530DB" w:rsidP="39F5A7F2" w:rsidRDefault="040530DB" w14:paraId="098D819C" w14:textId="7993B035">
      <w:pPr>
        <w:pStyle w:val="Normal"/>
        <w:spacing w:line="480" w:lineRule="auto"/>
        <w:rPr>
          <w:rFonts w:ascii="Times New Roman" w:hAnsi="Times New Roman" w:eastAsia="Times New Roman" w:cs="Times New Roman"/>
          <w:sz w:val="24"/>
          <w:szCs w:val="24"/>
        </w:rPr>
      </w:pPr>
    </w:p>
    <w:sectPr>
      <w:headerReference w:type="default" r:id="rId7"/>
      <w:footerReference w:type="default" r:id="rId8"/>
      <w:pgSz w:w="11906" w:h="16838" w:orient="portrait"/>
      <w:pgMar w:top="1134" w:right="1134" w:bottom="1134" w:left="1134" w:header="709" w:footer="85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Helvetica Neue">
    <w:embedRegular w:fontKey="{00000000-0000-0000-0000-000000000000}" w:subsetted="0" r:id="rId1"/>
    <w:embedBold w:fontKey="{00000000-0000-0000-0000-000000000000}" w:subsetted="0" r:id="rId2"/>
    <w:embedItalic w:fontKey="{00000000-0000-0000-0000-000000000000}" w:subsetted="0" r:id="rId3"/>
    <w:embedBoldItalic w:fontKey="{00000000-0000-0000-0000-000000000000}" w:subsetted="0" r:id="rId4"/>
  </w:font>
</w:fonts>
</file>

<file path=word/footer1.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02D" wp14:textId="77777777">
    <w:pPr>
      <w:rPr/>
    </w:pPr>
    <w:r w:rsidRPr="00000000" w:rsidDel="00000000" w:rsidR="00000000">
      <w:rPr>
        <w:rtl w:val="0"/>
      </w:rPr>
    </w:r>
  </w:p>
</w:ftr>
</file>

<file path=word/header1.xml><?xml version="1.0" encoding="utf-8"?>
<w:hd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02C" wp14:textId="77777777">
    <w:pPr>
      <w:rPr/>
    </w:pPr>
    <w:r w:rsidRPr="00000000" w:rsidDel="00000000" w:rsidR="00000000">
      <w:rPr>
        <w:rtl w:val="0"/>
      </w:rPr>
    </w:r>
  </w:p>
</w:hdr>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1"/>
      </oel:ext>
    </int:extLst>
  </int:IntelligenceSettings>
  <int:Manifest/>
  <int:Observations/>
</int:Intelligence>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14 w15">
  <w:trackRevisions w:val="false"/>
  <w:defaultTabStop w:val="720"/>
  <w:compat>
    <w:compatSetting w:val="15" w:name="compatibilityMode" w:uri="http://schemas.microsoft.com/office/word"/>
  </w:compat>
  <w:rsids>
    <w:rsidRoot w:val="00000000"/>
    <w:rsid w:val="00000000"/>
    <w:rsid w:val="0058953D"/>
    <w:rsid w:val="01259167"/>
    <w:rsid w:val="01759D87"/>
    <w:rsid w:val="01986DB1"/>
    <w:rsid w:val="01A914C0"/>
    <w:rsid w:val="01AF8B55"/>
    <w:rsid w:val="02BE6350"/>
    <w:rsid w:val="035535E7"/>
    <w:rsid w:val="040530DB"/>
    <w:rsid w:val="0559AC6D"/>
    <w:rsid w:val="0572537D"/>
    <w:rsid w:val="05FC00E5"/>
    <w:rsid w:val="068A4949"/>
    <w:rsid w:val="06B0CA0C"/>
    <w:rsid w:val="06B28529"/>
    <w:rsid w:val="0773FCE4"/>
    <w:rsid w:val="080DD8E8"/>
    <w:rsid w:val="08C3E60E"/>
    <w:rsid w:val="0920F266"/>
    <w:rsid w:val="093FCAB7"/>
    <w:rsid w:val="0940499E"/>
    <w:rsid w:val="09A174DD"/>
    <w:rsid w:val="09A96263"/>
    <w:rsid w:val="0A5CDA72"/>
    <w:rsid w:val="0A642199"/>
    <w:rsid w:val="0A6CB9BA"/>
    <w:rsid w:val="0AAD1114"/>
    <w:rsid w:val="0AC40E85"/>
    <w:rsid w:val="0B3A1E10"/>
    <w:rsid w:val="0BD427B3"/>
    <w:rsid w:val="0CD1532D"/>
    <w:rsid w:val="0CF23DFC"/>
    <w:rsid w:val="0D20533C"/>
    <w:rsid w:val="0D97340F"/>
    <w:rsid w:val="0E3EEF42"/>
    <w:rsid w:val="0E74E600"/>
    <w:rsid w:val="0E7CD386"/>
    <w:rsid w:val="0E8E0E5D"/>
    <w:rsid w:val="0EC3AB76"/>
    <w:rsid w:val="0F4F8096"/>
    <w:rsid w:val="0F506CA7"/>
    <w:rsid w:val="0F68A8F3"/>
    <w:rsid w:val="0F7F0EC9"/>
    <w:rsid w:val="0F98DC30"/>
    <w:rsid w:val="111AB034"/>
    <w:rsid w:val="11FF9988"/>
    <w:rsid w:val="1210E25C"/>
    <w:rsid w:val="127F8444"/>
    <w:rsid w:val="12FCB7C9"/>
    <w:rsid w:val="1337644D"/>
    <w:rsid w:val="13617F80"/>
    <w:rsid w:val="14022C48"/>
    <w:rsid w:val="14B5CF25"/>
    <w:rsid w:val="14E42784"/>
    <w:rsid w:val="16992042"/>
    <w:rsid w:val="16E3E8DA"/>
    <w:rsid w:val="16E4537F"/>
    <w:rsid w:val="175DF99F"/>
    <w:rsid w:val="17F036E4"/>
    <w:rsid w:val="1909AD17"/>
    <w:rsid w:val="19C9605E"/>
    <w:rsid w:val="1AA66C81"/>
    <w:rsid w:val="1B5B568E"/>
    <w:rsid w:val="1B6E0856"/>
    <w:rsid w:val="1BD0ECFF"/>
    <w:rsid w:val="1D16BC7D"/>
    <w:rsid w:val="1D6CBD60"/>
    <w:rsid w:val="1DF86FCB"/>
    <w:rsid w:val="1EB7784D"/>
    <w:rsid w:val="1EF93BBF"/>
    <w:rsid w:val="20068160"/>
    <w:rsid w:val="20FC8826"/>
    <w:rsid w:val="21B9A53C"/>
    <w:rsid w:val="21B9A53C"/>
    <w:rsid w:val="21BB49E6"/>
    <w:rsid w:val="21CC84BD"/>
    <w:rsid w:val="2244DB36"/>
    <w:rsid w:val="229A1DF4"/>
    <w:rsid w:val="22B81940"/>
    <w:rsid w:val="23129E2A"/>
    <w:rsid w:val="23F34BE9"/>
    <w:rsid w:val="24FBC23F"/>
    <w:rsid w:val="24FCF392"/>
    <w:rsid w:val="24FEA2D7"/>
    <w:rsid w:val="25350DFD"/>
    <w:rsid w:val="2631345C"/>
    <w:rsid w:val="2669AB4A"/>
    <w:rsid w:val="269E0935"/>
    <w:rsid w:val="271B1538"/>
    <w:rsid w:val="2C199DF1"/>
    <w:rsid w:val="2C624ADB"/>
    <w:rsid w:val="2D01DED0"/>
    <w:rsid w:val="2D85412B"/>
    <w:rsid w:val="2DE7E54F"/>
    <w:rsid w:val="2E079959"/>
    <w:rsid w:val="2ED3BABC"/>
    <w:rsid w:val="30359D4F"/>
    <w:rsid w:val="311D9F3C"/>
    <w:rsid w:val="3127BB98"/>
    <w:rsid w:val="31951C82"/>
    <w:rsid w:val="31E71FDE"/>
    <w:rsid w:val="31F14846"/>
    <w:rsid w:val="3234FBE4"/>
    <w:rsid w:val="3267414E"/>
    <w:rsid w:val="3330ECE3"/>
    <w:rsid w:val="346861AA"/>
    <w:rsid w:val="350460F5"/>
    <w:rsid w:val="354E210B"/>
    <w:rsid w:val="35EB09AE"/>
    <w:rsid w:val="35FA2270"/>
    <w:rsid w:val="3654BE26"/>
    <w:rsid w:val="37A0026C"/>
    <w:rsid w:val="37EB35A9"/>
    <w:rsid w:val="38227DA4"/>
    <w:rsid w:val="38B2A64C"/>
    <w:rsid w:val="3989B65B"/>
    <w:rsid w:val="39F5A7F2"/>
    <w:rsid w:val="3A166D63"/>
    <w:rsid w:val="3A6ADB45"/>
    <w:rsid w:val="3AD091F6"/>
    <w:rsid w:val="3B0E1447"/>
    <w:rsid w:val="3B4EAC49"/>
    <w:rsid w:val="3C761B3E"/>
    <w:rsid w:val="3CA33E30"/>
    <w:rsid w:val="3D026ECB"/>
    <w:rsid w:val="3D1B59BF"/>
    <w:rsid w:val="3D3D1B4F"/>
    <w:rsid w:val="3DF61B93"/>
    <w:rsid w:val="3E7ADAEE"/>
    <w:rsid w:val="3E811123"/>
    <w:rsid w:val="3ECAD807"/>
    <w:rsid w:val="3F4E3A20"/>
    <w:rsid w:val="3FA3B3AB"/>
    <w:rsid w:val="40006FE9"/>
    <w:rsid w:val="4053AE9F"/>
    <w:rsid w:val="40C4A72B"/>
    <w:rsid w:val="41195A50"/>
    <w:rsid w:val="42217F48"/>
    <w:rsid w:val="422B3BB5"/>
    <w:rsid w:val="436D6000"/>
    <w:rsid w:val="438E445E"/>
    <w:rsid w:val="4486E5BF"/>
    <w:rsid w:val="4547E533"/>
    <w:rsid w:val="4625C7A0"/>
    <w:rsid w:val="46A2C964"/>
    <w:rsid w:val="46A975B4"/>
    <w:rsid w:val="47594C05"/>
    <w:rsid w:val="47AEC590"/>
    <w:rsid w:val="48192B33"/>
    <w:rsid w:val="482ACB20"/>
    <w:rsid w:val="48F51C66"/>
    <w:rsid w:val="490B2EA8"/>
    <w:rsid w:val="498C0494"/>
    <w:rsid w:val="49A5175A"/>
    <w:rsid w:val="4A1B5656"/>
    <w:rsid w:val="4B55F288"/>
    <w:rsid w:val="4BD04F14"/>
    <w:rsid w:val="4D5CDCDC"/>
    <w:rsid w:val="4D7F58D0"/>
    <w:rsid w:val="4D889D1D"/>
    <w:rsid w:val="4D9EF49E"/>
    <w:rsid w:val="4DAF6C37"/>
    <w:rsid w:val="4DF83909"/>
    <w:rsid w:val="4EFADAAA"/>
    <w:rsid w:val="4F2A2D1B"/>
    <w:rsid w:val="4FE28A6C"/>
    <w:rsid w:val="5069D269"/>
    <w:rsid w:val="50A47EB9"/>
    <w:rsid w:val="517E5ACD"/>
    <w:rsid w:val="5205A2CA"/>
    <w:rsid w:val="522BCED1"/>
    <w:rsid w:val="526791E8"/>
    <w:rsid w:val="5297A54F"/>
    <w:rsid w:val="52D6632F"/>
    <w:rsid w:val="53027293"/>
    <w:rsid w:val="53806F6D"/>
    <w:rsid w:val="540E3622"/>
    <w:rsid w:val="547C0DC1"/>
    <w:rsid w:val="54CC6165"/>
    <w:rsid w:val="551FAA44"/>
    <w:rsid w:val="55A3DC66"/>
    <w:rsid w:val="56E8E688"/>
    <w:rsid w:val="572B055A"/>
    <w:rsid w:val="572ED566"/>
    <w:rsid w:val="5791314F"/>
    <w:rsid w:val="5A95D5BA"/>
    <w:rsid w:val="5AF2AFEB"/>
    <w:rsid w:val="5B666562"/>
    <w:rsid w:val="5BB2B031"/>
    <w:rsid w:val="5C9C39E6"/>
    <w:rsid w:val="5CB497FA"/>
    <w:rsid w:val="5CE0FB62"/>
    <w:rsid w:val="5D739591"/>
    <w:rsid w:val="5E3C7645"/>
    <w:rsid w:val="5E5A1B4E"/>
    <w:rsid w:val="5F5DC95B"/>
    <w:rsid w:val="5FF0C0B0"/>
    <w:rsid w:val="6009E90D"/>
    <w:rsid w:val="60692049"/>
    <w:rsid w:val="619E05F0"/>
    <w:rsid w:val="61D5840F"/>
    <w:rsid w:val="61DE9DF2"/>
    <w:rsid w:val="61FAE902"/>
    <w:rsid w:val="62623F0C"/>
    <w:rsid w:val="62DD38CD"/>
    <w:rsid w:val="62E4AF9E"/>
    <w:rsid w:val="63A2CF4E"/>
    <w:rsid w:val="644A5B6F"/>
    <w:rsid w:val="649A212E"/>
    <w:rsid w:val="651EF075"/>
    <w:rsid w:val="65BD1FC5"/>
    <w:rsid w:val="65E62BD0"/>
    <w:rsid w:val="660360D7"/>
    <w:rsid w:val="66CE0768"/>
    <w:rsid w:val="66E0A656"/>
    <w:rsid w:val="67440070"/>
    <w:rsid w:val="687F49F6"/>
    <w:rsid w:val="6A479DEA"/>
    <w:rsid w:val="6A51781B"/>
    <w:rsid w:val="6A66BE29"/>
    <w:rsid w:val="6A7C8570"/>
    <w:rsid w:val="6B223880"/>
    <w:rsid w:val="6B87A094"/>
    <w:rsid w:val="6BECA9A2"/>
    <w:rsid w:val="6C9D4370"/>
    <w:rsid w:val="6CC5F667"/>
    <w:rsid w:val="6D349DCC"/>
    <w:rsid w:val="6D6ADCA7"/>
    <w:rsid w:val="6E3D7487"/>
    <w:rsid w:val="6F1B0F0D"/>
    <w:rsid w:val="6F8ED14F"/>
    <w:rsid w:val="70ADDA1E"/>
    <w:rsid w:val="715F79BC"/>
    <w:rsid w:val="72222483"/>
    <w:rsid w:val="7225B687"/>
    <w:rsid w:val="73731635"/>
    <w:rsid w:val="73DA1E2B"/>
    <w:rsid w:val="740F4A79"/>
    <w:rsid w:val="74533D95"/>
    <w:rsid w:val="75FC1DC4"/>
    <w:rsid w:val="7779C59F"/>
    <w:rsid w:val="77FC00C3"/>
    <w:rsid w:val="78920ACE"/>
    <w:rsid w:val="7974ACF7"/>
    <w:rsid w:val="7A6FA7B2"/>
    <w:rsid w:val="7AE4D129"/>
    <w:rsid w:val="7AF4F453"/>
    <w:rsid w:val="7BF2316F"/>
    <w:rsid w:val="7CAF14B6"/>
    <w:rsid w:val="7CC04BEE"/>
    <w:rsid w:val="7CEECBF9"/>
    <w:rsid w:val="7D64E5E1"/>
    <w:rsid w:val="7F29D231"/>
    <w:rsid w:val="7F58F3F8"/>
  </w:rsids>
  <w:clrSchemeMapping w:bg1="light1" w:t1="dark1" w:bg2="light2" w:t2="dark2" w:accent1="accent1" w:accent2="accent2" w:accent3="accent3" w:accent4="accent4" w:accent5="accent5" w:accent6="accent6" w:hyperlink="hyperlink" w:followedHyperlink="followedHyperlink"/>
  <w14:docId w14:val="0218F44D"/>
  <w15:docId w15:val="{7146a4d8-3c4a-4803-af97-e3801ca9f814}"/>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docDefaults>
    <w:rPrDefault>
      <w:rPr>
        <w:sz w:val="24"/>
        <w:szCs w:val="24"/>
        <w:lang w:val="en-US"/>
      </w:rPr>
    </w:rPrDefault>
    <w:pPrDefault>
      <w:pPr/>
    </w:pPrDefault>
  </w:docDefaults>
  <w:style w:type="paragraph" w:styleId="Normal" w:default="1">
    <w:name w:val="Normal"/>
  </w:style>
  <w:style w:type="table" w:styleId="TableNormal" w:default="1">
    <w:name w:val="Normal Table"/>
  </w:style>
  <w:style w:type="paragraph" w:styleId="Heading1">
    <w:name w:val="heading 1"/>
    <w:basedOn w:val="Normal"/>
    <w:next w:val="Normal"/>
    <w:pPr>
      <w:keepNext w:val="1"/>
      <w:keepLines w:val="1"/>
      <w:spacing w:before="480" w:after="120" w:lineRule="auto"/>
    </w:pPr>
    <w:rPr>
      <w:b w:val="1"/>
      <w:sz w:val="48"/>
      <w:szCs w:val="48"/>
    </w:rPr>
  </w:style>
  <w:style w:type="paragraph" w:styleId="Heading2">
    <w:name w:val="heading 2"/>
    <w:basedOn w:val="Normal"/>
    <w:next w:val="Normal"/>
    <w:pPr>
      <w:keepNext w:val="1"/>
      <w:keepLines w:val="1"/>
      <w:spacing w:before="360" w:after="80" w:lineRule="auto"/>
    </w:pPr>
    <w:rPr>
      <w:b w:val="1"/>
      <w:sz w:val="36"/>
      <w:szCs w:val="36"/>
    </w:rPr>
  </w:style>
  <w:style w:type="paragraph" w:styleId="Heading3">
    <w:name w:val="heading 3"/>
    <w:basedOn w:val="Normal"/>
    <w:next w:val="Normal"/>
    <w:pPr>
      <w:keepNext w:val="1"/>
      <w:keepLines w:val="1"/>
      <w:spacing w:before="280" w:after="80" w:lineRule="auto"/>
    </w:pPr>
    <w:rPr>
      <w:b w:val="1"/>
      <w:sz w:val="28"/>
      <w:szCs w:val="28"/>
    </w:rPr>
  </w:style>
  <w:style w:type="paragraph" w:styleId="Heading4">
    <w:name w:val="heading 4"/>
    <w:basedOn w:val="Normal"/>
    <w:next w:val="Normal"/>
    <w:pPr>
      <w:keepNext w:val="1"/>
      <w:keepLines w:val="1"/>
      <w:spacing w:before="240" w:after="40" w:lineRule="auto"/>
    </w:pPr>
    <w:rPr>
      <w:b w:val="1"/>
      <w:sz w:val="24"/>
      <w:szCs w:val="24"/>
    </w:rPr>
  </w:style>
  <w:style w:type="paragraph" w:styleId="Heading5">
    <w:name w:val="heading 5"/>
    <w:basedOn w:val="Normal"/>
    <w:next w:val="Normal"/>
    <w:pPr>
      <w:keepNext w:val="1"/>
      <w:keepLines w:val="1"/>
      <w:spacing w:before="220" w:after="40" w:lineRule="auto"/>
    </w:pPr>
    <w:rPr>
      <w:b w:val="1"/>
      <w:sz w:val="22"/>
      <w:szCs w:val="22"/>
    </w:rPr>
  </w:style>
  <w:style w:type="paragraph" w:styleId="Heading6">
    <w:name w:val="heading 6"/>
    <w:basedOn w:val="Normal"/>
    <w:next w:val="Normal"/>
    <w:pPr>
      <w:keepNext w:val="1"/>
      <w:keepLines w:val="1"/>
      <w:spacing w:before="200" w:after="40" w:lineRule="auto"/>
    </w:pPr>
    <w:rPr>
      <w:b w:val="1"/>
      <w:sz w:val="20"/>
      <w:szCs w:val="20"/>
    </w:rPr>
  </w:style>
  <w:style w:type="paragraph" w:styleId="Title">
    <w:name w:val="Title"/>
    <w:basedOn w:val="Normal"/>
    <w:next w:val="Normal"/>
    <w:pPr>
      <w:keepNext w:val="1"/>
      <w:keepLines w:val="1"/>
      <w:spacing w:before="480" w:after="120" w:lineRule="auto"/>
    </w:pPr>
    <w:rPr>
      <w:b w:val="1"/>
      <w:sz w:val="72"/>
      <w:szCs w:val="72"/>
    </w:rPr>
  </w:style>
  <w:style w:type="paragraph" w:styleId="Normal" w:default="1">
    <w:name w:val="Normal0"/>
    <w:next w:val="Normal"/>
    <w:pPr/>
    <w:rPr>
      <w:sz w:val="24"/>
      <w:szCs w:val="24"/>
      <w:lang w:val="en-US" w:eastAsia="en-US" w:bidi="ar-SA"/>
    </w:rPr>
  </w:style>
  <w:style w:type="character" w:styleId="Default Paragraph Font" w:default="1">
    <w:name w:val="Default Paragraph Font"/>
    <w:next w:val="Default Paragraph Font"/>
  </w:style>
  <w:style w:type="character" w:styleId="Hyperlink">
    <w:name w:val="Hyperlink"/>
    <w:rPr>
      <w:u w:val="single"/>
    </w:rPr>
  </w:style>
  <w:style w:type="table" w:styleId="Table Normal" w:default="1">
    <w:name w:val="Table Normal"/>
    <w:next w:val="Table Normal"/>
    <w:pPr/>
    <w:tblPr>
      <w:tblInd w:w="0.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styleId="No List" w:default="1">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hint="default" w:ascii="Helvetica Neue" w:hAnsi="Helvetica Neue" w:eastAsia="Arial Unicode MS" w:cs="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Fill>
        <w14:solidFill>
          <w14:srgbClr w14:val="000000"/>
        </w14:solidFill>
      </w14:textFill>
      <w14:textOutline>
        <w14:noFill/>
      </w14:textOutline>
    </w:rPr>
  </w:style>
  <w:style w:type="paragraph" w:styleId="Body.0">
    <w:name w:val="Body0"/>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hAnsi="Helvetica Neue" w:eastAsia="Arial Unicode MS" w:cs="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Fill>
        <w14:solidFill>
          <w14:srgbClr w14:val="000000"/>
        </w14:solidFill>
      </w14:textFill>
      <w14:textOutline>
        <w14:noFill/>
      </w14:textOutline>
    </w:rPr>
  </w:style>
  <w:style w:type="paragraph" w:styleId="Subtitle">
    <w:name w:val="Subtitle"/>
    <w:basedOn w:val="Normal"/>
    <w:next w:val="Normal"/>
    <w:pPr>
      <w:keepNext w:val="1"/>
      <w:keepLines w:val="1"/>
      <w:spacing w:before="360" w:after="80" w:lineRule="auto"/>
    </w:pPr>
    <w:rPr>
      <w:rFonts w:ascii="Georgia" w:hAnsi="Georgia" w:eastAsia="Georgia" w:cs="Georgia"/>
      <w:i w:val="1"/>
      <w:color w:val="666666"/>
      <w:sz w:val="48"/>
      <w:szCs w:val="48"/>
    </w:rPr>
  </w:style>
</w:styles>
</file>

<file path=word/_rels/document.xml.rels>&#65279;<?xml version="1.0" encoding="utf-8"?><Relationships xmlns="http://schemas.openxmlformats.org/package/2006/relationships"><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styles" Target="styles.xml" Id="rId5" /><Relationship Type="http://schemas.openxmlformats.org/officeDocument/2006/relationships/customXml" Target="../customXML/item1.xml" Id="rId6" /><Relationship Type="http://schemas.openxmlformats.org/officeDocument/2006/relationships/header" Target="header1.xml" Id="rId7" /><Relationship Type="http://schemas.openxmlformats.org/officeDocument/2006/relationships/footer" Target="footer1.xml" Id="rId8" /><Relationship Type="http://schemas.microsoft.com/office/2019/09/relationships/intelligence" Target="/word/intelligence.xml" Id="R21d0344921af4c57" /><Relationship Type="http://schemas.openxmlformats.org/officeDocument/2006/relationships/hyperlink" Target="https://www.youtube.com/watch?v=Ol9X36fyqQA" TargetMode="External" Id="Rfef69a8975604ab2" /><Relationship Type="http://schemas.openxmlformats.org/officeDocument/2006/relationships/hyperlink" Target="https://www.youtube.com/watch?v=TrkQe4tyJnQ&amp;t=288s" TargetMode="External" Id="R9ebe2159fcb44c37" /><Relationship Type="http://schemas.openxmlformats.org/officeDocument/2006/relationships/hyperlink" Target="https://www.youtube.com/watch?v=q1ONr4GahC8" TargetMode="External" Id="R5f99d2487105455a" /></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S2yL4JvcdNpHLp3gcvVHGBbmYHw==">AMUW2mUkM2JlHmj2hw8zskapWqE+Yw4dhwpBEaO6ULrR3hOSV2k/fFyEuyDpTXytuQgxz2lzPSnH2zPnwOmxm7qf4uXZmLbb8SwQXPTlPkeiuusZ1ptCQRE=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ap:Properties xmlns:ap="http://schemas.openxmlformats.org/officeDocument/2006/extended-properties">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Elyse Cathryn Hopkins (1550604)</lastModifiedBy>
  <dcterms:modified xsi:type="dcterms:W3CDTF">2021-03-12T21:17:13.6551126Z</dcterms:modified>
</coreProperties>
</file>