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0D415" w14:textId="77777777" w:rsidR="00AD2BD3" w:rsidRPr="001D4BC4" w:rsidRDefault="00AD2BD3" w:rsidP="001D4BC4">
      <w:pPr>
        <w:spacing w:line="360" w:lineRule="auto"/>
        <w:rPr>
          <w:rFonts w:ascii="Arial" w:hAnsi="Arial" w:cs="Arial"/>
          <w:sz w:val="22"/>
          <w:szCs w:val="22"/>
        </w:rPr>
      </w:pPr>
      <w:r w:rsidRPr="001D4BC4">
        <w:rPr>
          <w:rFonts w:ascii="Arial" w:hAnsi="Arial" w:cs="Arial"/>
          <w:noProof/>
          <w:sz w:val="22"/>
          <w:szCs w:val="22"/>
        </w:rPr>
        <w:drawing>
          <wp:anchor distT="0" distB="0" distL="114300" distR="114300" simplePos="0" relativeHeight="251659264" behindDoc="0" locked="0" layoutInCell="1" allowOverlap="1" wp14:anchorId="29FBE46A" wp14:editId="7C00139E">
            <wp:simplePos x="0" y="0"/>
            <wp:positionH relativeFrom="margin">
              <wp:align>left</wp:align>
            </wp:positionH>
            <wp:positionV relativeFrom="paragraph">
              <wp:posOffset>0</wp:posOffset>
            </wp:positionV>
            <wp:extent cx="3158490" cy="103314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171624" cy="103744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E4FD2C" w14:textId="77777777" w:rsidR="00AD2BD3" w:rsidRPr="001D4BC4" w:rsidRDefault="00AD2BD3" w:rsidP="001D4BC4">
      <w:pPr>
        <w:spacing w:line="360" w:lineRule="auto"/>
        <w:rPr>
          <w:rFonts w:ascii="Arial" w:hAnsi="Arial" w:cs="Arial"/>
          <w:sz w:val="22"/>
          <w:szCs w:val="22"/>
        </w:rPr>
      </w:pPr>
    </w:p>
    <w:p w14:paraId="06D16F22" w14:textId="77777777" w:rsidR="00AD2BD3" w:rsidRPr="001D4BC4" w:rsidRDefault="00AD2BD3" w:rsidP="001D4BC4">
      <w:pPr>
        <w:spacing w:line="360" w:lineRule="auto"/>
        <w:rPr>
          <w:rFonts w:ascii="Arial" w:hAnsi="Arial" w:cs="Arial"/>
          <w:sz w:val="22"/>
          <w:szCs w:val="22"/>
        </w:rPr>
      </w:pPr>
    </w:p>
    <w:p w14:paraId="2BA11F47" w14:textId="77777777" w:rsidR="00AD2BD3" w:rsidRPr="001D4BC4" w:rsidRDefault="00AD2BD3" w:rsidP="001D4BC4">
      <w:pPr>
        <w:spacing w:line="360" w:lineRule="auto"/>
        <w:rPr>
          <w:rFonts w:ascii="Arial" w:hAnsi="Arial" w:cs="Arial"/>
          <w:sz w:val="22"/>
          <w:szCs w:val="22"/>
        </w:rPr>
      </w:pPr>
    </w:p>
    <w:p w14:paraId="5F39BBE9" w14:textId="77777777" w:rsidR="00AD2BD3" w:rsidRPr="001D4BC4" w:rsidRDefault="00AD2BD3" w:rsidP="001D4BC4">
      <w:pPr>
        <w:spacing w:line="360" w:lineRule="auto"/>
        <w:rPr>
          <w:rFonts w:ascii="Arial" w:hAnsi="Arial" w:cs="Arial"/>
          <w:sz w:val="22"/>
          <w:szCs w:val="22"/>
        </w:rPr>
      </w:pPr>
    </w:p>
    <w:p w14:paraId="7CEE56F4" w14:textId="62214AE6" w:rsidR="00AD2BD3" w:rsidRPr="001D4BC4" w:rsidRDefault="00980D6F" w:rsidP="001D4BC4">
      <w:pPr>
        <w:spacing w:line="360" w:lineRule="auto"/>
        <w:jc w:val="center"/>
        <w:rPr>
          <w:rFonts w:ascii="Arial" w:hAnsi="Arial" w:cs="Arial"/>
          <w:b/>
          <w:sz w:val="32"/>
          <w:szCs w:val="32"/>
        </w:rPr>
      </w:pPr>
      <w:r w:rsidRPr="001D4BC4">
        <w:rPr>
          <w:rFonts w:ascii="Arial" w:hAnsi="Arial" w:cs="Arial"/>
          <w:b/>
          <w:bCs/>
          <w:sz w:val="32"/>
          <w:szCs w:val="32"/>
        </w:rPr>
        <w:t>Individual Report – Costco India Expansion Strategy</w:t>
      </w:r>
    </w:p>
    <w:p w14:paraId="5E8AD1FD" w14:textId="77777777" w:rsidR="00AD2BD3" w:rsidRPr="001D4BC4" w:rsidRDefault="00AD2BD3" w:rsidP="001D4BC4">
      <w:pPr>
        <w:spacing w:line="360" w:lineRule="auto"/>
        <w:rPr>
          <w:rFonts w:ascii="Arial" w:hAnsi="Arial" w:cs="Arial"/>
          <w:b/>
          <w:sz w:val="32"/>
          <w:szCs w:val="32"/>
        </w:rPr>
      </w:pPr>
    </w:p>
    <w:p w14:paraId="0EA6C0CA" w14:textId="77777777" w:rsidR="00AD2BD3" w:rsidRPr="001D4BC4" w:rsidRDefault="00AD2BD3" w:rsidP="001D4BC4">
      <w:pPr>
        <w:spacing w:line="360" w:lineRule="auto"/>
        <w:rPr>
          <w:rFonts w:ascii="Arial" w:hAnsi="Arial" w:cs="Arial"/>
          <w:b/>
          <w:sz w:val="32"/>
          <w:szCs w:val="32"/>
        </w:rPr>
      </w:pPr>
    </w:p>
    <w:p w14:paraId="2E8F8D2B" w14:textId="77777777" w:rsidR="00980D6F" w:rsidRPr="001D4BC4" w:rsidRDefault="00980D6F" w:rsidP="001D4BC4">
      <w:pPr>
        <w:spacing w:line="360" w:lineRule="auto"/>
        <w:rPr>
          <w:rFonts w:ascii="Arial" w:hAnsi="Arial" w:cs="Arial"/>
          <w:b/>
          <w:bCs/>
          <w:sz w:val="32"/>
          <w:szCs w:val="32"/>
        </w:rPr>
      </w:pPr>
    </w:p>
    <w:p w14:paraId="0AC0F82A" w14:textId="77777777" w:rsidR="00980D6F" w:rsidRPr="001D4BC4" w:rsidRDefault="00980D6F" w:rsidP="001D4BC4">
      <w:pPr>
        <w:spacing w:line="360" w:lineRule="auto"/>
        <w:rPr>
          <w:rFonts w:ascii="Arial" w:hAnsi="Arial" w:cs="Arial"/>
          <w:b/>
          <w:bCs/>
          <w:sz w:val="32"/>
          <w:szCs w:val="32"/>
        </w:rPr>
      </w:pPr>
    </w:p>
    <w:p w14:paraId="2E3EABBF" w14:textId="5427825C" w:rsidR="00AD2BD3" w:rsidRPr="001D4BC4" w:rsidRDefault="00980D6F" w:rsidP="001D4BC4">
      <w:pPr>
        <w:spacing w:line="360" w:lineRule="auto"/>
        <w:rPr>
          <w:rFonts w:ascii="Arial" w:hAnsi="Arial" w:cs="Arial"/>
          <w:b/>
          <w:sz w:val="32"/>
          <w:szCs w:val="32"/>
        </w:rPr>
      </w:pPr>
      <w:r w:rsidRPr="001D4BC4">
        <w:rPr>
          <w:rFonts w:ascii="Arial" w:hAnsi="Arial" w:cs="Arial"/>
          <w:b/>
          <w:bCs/>
          <w:sz w:val="32"/>
          <w:szCs w:val="32"/>
        </w:rPr>
        <w:t>University of Wales Trinity Saint David</w:t>
      </w:r>
    </w:p>
    <w:p w14:paraId="354F983A" w14:textId="77777777" w:rsidR="00AD2BD3" w:rsidRPr="001D4BC4" w:rsidRDefault="00AD2BD3" w:rsidP="001D4BC4">
      <w:pPr>
        <w:spacing w:line="360" w:lineRule="auto"/>
        <w:rPr>
          <w:rFonts w:ascii="Arial" w:hAnsi="Arial" w:cs="Arial"/>
          <w:b/>
          <w:sz w:val="32"/>
          <w:szCs w:val="32"/>
        </w:rPr>
      </w:pPr>
      <w:r w:rsidRPr="001D4BC4">
        <w:rPr>
          <w:rFonts w:ascii="Arial" w:hAnsi="Arial" w:cs="Arial"/>
          <w:b/>
          <w:sz w:val="32"/>
          <w:szCs w:val="32"/>
        </w:rPr>
        <w:t>Master of Business Administration (International Business)</w:t>
      </w:r>
      <w:r w:rsidRPr="001D4BC4">
        <w:rPr>
          <w:rFonts w:ascii="Arial" w:hAnsi="Arial" w:cs="Arial"/>
          <w:b/>
          <w:sz w:val="32"/>
          <w:szCs w:val="32"/>
        </w:rPr>
        <w:br/>
        <w:t>Module: LCMB7003 – Strategic Management</w:t>
      </w:r>
    </w:p>
    <w:p w14:paraId="498FBABE" w14:textId="33583C3A" w:rsidR="00AD2BD3" w:rsidRPr="001D4BC4" w:rsidRDefault="00AD2BD3" w:rsidP="001D4BC4">
      <w:pPr>
        <w:spacing w:line="360" w:lineRule="auto"/>
        <w:rPr>
          <w:rFonts w:ascii="Arial" w:hAnsi="Arial" w:cs="Arial"/>
          <w:b/>
          <w:sz w:val="32"/>
          <w:szCs w:val="32"/>
        </w:rPr>
      </w:pPr>
      <w:r w:rsidRPr="001D4BC4">
        <w:rPr>
          <w:rFonts w:ascii="Arial" w:hAnsi="Arial" w:cs="Arial"/>
          <w:b/>
          <w:sz w:val="32"/>
          <w:szCs w:val="32"/>
        </w:rPr>
        <w:t>Student Name: Alexandru Netoi</w:t>
      </w:r>
      <w:r w:rsidRPr="001D4BC4">
        <w:rPr>
          <w:rFonts w:ascii="Arial" w:hAnsi="Arial" w:cs="Arial"/>
          <w:b/>
          <w:sz w:val="32"/>
          <w:szCs w:val="32"/>
        </w:rPr>
        <w:br/>
        <w:t>Student ID: 2026780</w:t>
      </w:r>
      <w:r w:rsidRPr="001D4BC4">
        <w:rPr>
          <w:rFonts w:ascii="Arial" w:hAnsi="Arial" w:cs="Arial"/>
          <w:b/>
          <w:sz w:val="32"/>
          <w:szCs w:val="32"/>
        </w:rPr>
        <w:br/>
        <w:t>Lecturer: Simon Chatterton</w:t>
      </w:r>
      <w:r w:rsidRPr="001D4BC4">
        <w:rPr>
          <w:rFonts w:ascii="Arial" w:hAnsi="Arial" w:cs="Arial"/>
          <w:b/>
          <w:sz w:val="32"/>
          <w:szCs w:val="32"/>
        </w:rPr>
        <w:br/>
      </w:r>
      <w:r w:rsidR="00980D6F" w:rsidRPr="001D4BC4">
        <w:rPr>
          <w:rFonts w:ascii="Arial" w:hAnsi="Arial" w:cs="Arial"/>
          <w:b/>
          <w:bCs/>
          <w:sz w:val="32"/>
          <w:szCs w:val="32"/>
        </w:rPr>
        <w:t>Submission Date</w:t>
      </w:r>
      <w:r w:rsidRPr="001D4BC4">
        <w:rPr>
          <w:rFonts w:ascii="Arial" w:hAnsi="Arial" w:cs="Arial"/>
          <w:b/>
          <w:sz w:val="32"/>
          <w:szCs w:val="32"/>
        </w:rPr>
        <w:t>: 29 November 2025</w:t>
      </w:r>
    </w:p>
    <w:p w14:paraId="6EE85696" w14:textId="77777777" w:rsidR="00795616" w:rsidRPr="001D4BC4" w:rsidRDefault="00795616" w:rsidP="001D4BC4">
      <w:pPr>
        <w:spacing w:line="360" w:lineRule="auto"/>
        <w:rPr>
          <w:rFonts w:ascii="Arial" w:hAnsi="Arial" w:cs="Arial"/>
          <w:b/>
          <w:bCs/>
          <w:sz w:val="22"/>
          <w:szCs w:val="22"/>
        </w:rPr>
      </w:pPr>
    </w:p>
    <w:p w14:paraId="171881BC" w14:textId="77777777" w:rsidR="00AD2BD3" w:rsidRPr="001D4BC4" w:rsidRDefault="00AD2BD3" w:rsidP="001D4BC4">
      <w:pPr>
        <w:spacing w:line="360" w:lineRule="auto"/>
        <w:rPr>
          <w:rFonts w:ascii="Arial" w:hAnsi="Arial" w:cs="Arial"/>
          <w:b/>
          <w:bCs/>
          <w:sz w:val="22"/>
          <w:szCs w:val="22"/>
        </w:rPr>
      </w:pPr>
    </w:p>
    <w:p w14:paraId="2651F535" w14:textId="77777777" w:rsidR="00980D6F" w:rsidRPr="001D4BC4" w:rsidRDefault="00980D6F" w:rsidP="001D4BC4">
      <w:pPr>
        <w:spacing w:line="360" w:lineRule="auto"/>
        <w:rPr>
          <w:rFonts w:ascii="Arial" w:hAnsi="Arial" w:cs="Arial"/>
          <w:sz w:val="22"/>
          <w:szCs w:val="22"/>
        </w:rPr>
      </w:pPr>
    </w:p>
    <w:p w14:paraId="070A1664" w14:textId="77777777" w:rsidR="00AD2BD3" w:rsidRPr="001D4BC4" w:rsidRDefault="00AD2BD3" w:rsidP="001D4BC4">
      <w:pPr>
        <w:spacing w:line="360" w:lineRule="auto"/>
        <w:rPr>
          <w:rFonts w:ascii="Arial" w:hAnsi="Arial" w:cs="Arial"/>
          <w:sz w:val="22"/>
          <w:szCs w:val="22"/>
        </w:rPr>
      </w:pPr>
    </w:p>
    <w:p w14:paraId="75F2ABC3" w14:textId="77777777" w:rsidR="00AD2BD3" w:rsidRPr="001D4BC4" w:rsidRDefault="00AD2BD3" w:rsidP="001D4BC4">
      <w:pPr>
        <w:spacing w:line="360" w:lineRule="auto"/>
        <w:rPr>
          <w:rFonts w:ascii="Arial" w:hAnsi="Arial" w:cs="Arial"/>
          <w:sz w:val="22"/>
          <w:szCs w:val="22"/>
        </w:rPr>
      </w:pPr>
    </w:p>
    <w:p w14:paraId="12809F56" w14:textId="77777777" w:rsidR="00AD2BD3" w:rsidRPr="001D4BC4" w:rsidRDefault="00AD2BD3" w:rsidP="001D4BC4">
      <w:pPr>
        <w:spacing w:line="360" w:lineRule="auto"/>
        <w:rPr>
          <w:rFonts w:ascii="Arial" w:hAnsi="Arial" w:cs="Arial"/>
          <w:sz w:val="22"/>
          <w:szCs w:val="22"/>
        </w:rPr>
      </w:pPr>
    </w:p>
    <w:sdt>
      <w:sdtPr>
        <w:rPr>
          <w:rFonts w:ascii="Arial" w:eastAsiaTheme="minorHAnsi" w:hAnsi="Arial" w:cs="Arial"/>
          <w:color w:val="auto"/>
          <w:kern w:val="2"/>
          <w:sz w:val="24"/>
          <w:szCs w:val="24"/>
          <w:lang w:val="en-US" w:eastAsia="en-US"/>
          <w14:ligatures w14:val="standardContextual"/>
        </w:rPr>
        <w:id w:val="622357049"/>
        <w:docPartObj>
          <w:docPartGallery w:val="Table of Contents"/>
          <w:docPartUnique/>
        </w:docPartObj>
      </w:sdtPr>
      <w:sdtEndPr>
        <w:rPr>
          <w:b/>
          <w:bCs/>
        </w:rPr>
      </w:sdtEndPr>
      <w:sdtContent>
        <w:p w14:paraId="2E075623" w14:textId="600F2D7C" w:rsidR="00BA20A3" w:rsidRPr="001D4BC4" w:rsidRDefault="00BA20A3" w:rsidP="001D4BC4">
          <w:pPr>
            <w:pStyle w:val="TOCHeading"/>
            <w:spacing w:line="360" w:lineRule="auto"/>
            <w:rPr>
              <w:rFonts w:ascii="Arial" w:hAnsi="Arial" w:cs="Arial"/>
              <w:sz w:val="22"/>
              <w:szCs w:val="22"/>
            </w:rPr>
          </w:pPr>
          <w:r w:rsidRPr="001D4BC4">
            <w:rPr>
              <w:rFonts w:ascii="Arial" w:hAnsi="Arial" w:cs="Arial"/>
              <w:sz w:val="22"/>
              <w:szCs w:val="22"/>
            </w:rPr>
            <w:t xml:space="preserve">Table </w:t>
          </w:r>
          <w:r w:rsidR="00EC3D31" w:rsidRPr="001D4BC4">
            <w:rPr>
              <w:rFonts w:ascii="Arial" w:hAnsi="Arial" w:cs="Arial"/>
              <w:sz w:val="22"/>
              <w:szCs w:val="22"/>
            </w:rPr>
            <w:t>O</w:t>
          </w:r>
          <w:r w:rsidRPr="001D4BC4">
            <w:rPr>
              <w:rFonts w:ascii="Arial" w:hAnsi="Arial" w:cs="Arial"/>
              <w:sz w:val="22"/>
              <w:szCs w:val="22"/>
            </w:rPr>
            <w:t>f Contents</w:t>
          </w:r>
        </w:p>
        <w:p w14:paraId="53D58CBC" w14:textId="1CB50B10" w:rsidR="001D4BC4" w:rsidRDefault="00BA20A3">
          <w:pPr>
            <w:pStyle w:val="TOC1"/>
            <w:rPr>
              <w:rFonts w:asciiTheme="minorHAnsi" w:hAnsiTheme="minorHAnsi" w:cstheme="minorBidi"/>
              <w:kern w:val="2"/>
              <w:sz w:val="24"/>
              <w:szCs w:val="24"/>
              <w14:ligatures w14:val="standardContextual"/>
            </w:rPr>
          </w:pPr>
          <w:r w:rsidRPr="001D4BC4">
            <w:fldChar w:fldCharType="begin"/>
          </w:r>
          <w:r w:rsidRPr="001D4BC4">
            <w:instrText xml:space="preserve"> TOC \o "1-3" \h \z \u </w:instrText>
          </w:r>
          <w:r w:rsidRPr="001D4BC4">
            <w:fldChar w:fldCharType="separate"/>
          </w:r>
          <w:hyperlink w:anchor="_Toc215316685" w:history="1">
            <w:r w:rsidR="001D4BC4" w:rsidRPr="004A0854">
              <w:rPr>
                <w:rStyle w:val="Hyperlink"/>
              </w:rPr>
              <w:t>1. Introduction</w:t>
            </w:r>
            <w:r w:rsidR="001D4BC4">
              <w:rPr>
                <w:webHidden/>
              </w:rPr>
              <w:tab/>
            </w:r>
            <w:r w:rsidR="001D4BC4">
              <w:rPr>
                <w:webHidden/>
              </w:rPr>
              <w:fldChar w:fldCharType="begin"/>
            </w:r>
            <w:r w:rsidR="001D4BC4">
              <w:rPr>
                <w:webHidden/>
              </w:rPr>
              <w:instrText xml:space="preserve"> PAGEREF _Toc215316685 \h </w:instrText>
            </w:r>
            <w:r w:rsidR="001D4BC4">
              <w:rPr>
                <w:webHidden/>
              </w:rPr>
            </w:r>
            <w:r w:rsidR="001D4BC4">
              <w:rPr>
                <w:webHidden/>
              </w:rPr>
              <w:fldChar w:fldCharType="separate"/>
            </w:r>
            <w:r w:rsidR="001D4BC4">
              <w:rPr>
                <w:webHidden/>
              </w:rPr>
              <w:t>2</w:t>
            </w:r>
            <w:r w:rsidR="001D4BC4">
              <w:rPr>
                <w:webHidden/>
              </w:rPr>
              <w:fldChar w:fldCharType="end"/>
            </w:r>
          </w:hyperlink>
        </w:p>
        <w:p w14:paraId="4284E475" w14:textId="19BBF073" w:rsidR="001D4BC4" w:rsidRDefault="001D4BC4">
          <w:pPr>
            <w:pStyle w:val="TOC1"/>
            <w:rPr>
              <w:rFonts w:asciiTheme="minorHAnsi" w:hAnsiTheme="minorHAnsi" w:cstheme="minorBidi"/>
              <w:kern w:val="2"/>
              <w:sz w:val="24"/>
              <w:szCs w:val="24"/>
              <w14:ligatures w14:val="standardContextual"/>
            </w:rPr>
          </w:pPr>
          <w:hyperlink w:anchor="_Toc215316686" w:history="1">
            <w:r w:rsidRPr="004A0854">
              <w:rPr>
                <w:rStyle w:val="Hyperlink"/>
              </w:rPr>
              <w:t>2. Choice of Organisation and Target Market</w:t>
            </w:r>
            <w:r>
              <w:rPr>
                <w:webHidden/>
              </w:rPr>
              <w:tab/>
            </w:r>
            <w:r>
              <w:rPr>
                <w:webHidden/>
              </w:rPr>
              <w:fldChar w:fldCharType="begin"/>
            </w:r>
            <w:r>
              <w:rPr>
                <w:webHidden/>
              </w:rPr>
              <w:instrText xml:space="preserve"> PAGEREF _Toc215316686 \h </w:instrText>
            </w:r>
            <w:r>
              <w:rPr>
                <w:webHidden/>
              </w:rPr>
            </w:r>
            <w:r>
              <w:rPr>
                <w:webHidden/>
              </w:rPr>
              <w:fldChar w:fldCharType="separate"/>
            </w:r>
            <w:r>
              <w:rPr>
                <w:webHidden/>
              </w:rPr>
              <w:t>2</w:t>
            </w:r>
            <w:r>
              <w:rPr>
                <w:webHidden/>
              </w:rPr>
              <w:fldChar w:fldCharType="end"/>
            </w:r>
          </w:hyperlink>
        </w:p>
        <w:p w14:paraId="7F3D4660" w14:textId="6B581079" w:rsidR="001D4BC4" w:rsidRDefault="001D4BC4">
          <w:pPr>
            <w:pStyle w:val="TOC2"/>
            <w:rPr>
              <w:rFonts w:cstheme="minorBidi"/>
              <w:noProof/>
              <w:kern w:val="2"/>
              <w:sz w:val="24"/>
              <w:szCs w:val="24"/>
              <w14:ligatures w14:val="standardContextual"/>
            </w:rPr>
          </w:pPr>
          <w:hyperlink w:anchor="_Toc215316687" w:history="1">
            <w:r w:rsidRPr="004A0854">
              <w:rPr>
                <w:rStyle w:val="Hyperlink"/>
                <w:rFonts w:ascii="Arial" w:hAnsi="Arial" w:cs="Arial"/>
                <w:noProof/>
              </w:rPr>
              <w:t>2.1 Choice of Organisation: Costco Wholesale Corporation</w:t>
            </w:r>
            <w:r>
              <w:rPr>
                <w:noProof/>
                <w:webHidden/>
              </w:rPr>
              <w:tab/>
            </w:r>
            <w:r>
              <w:rPr>
                <w:noProof/>
                <w:webHidden/>
              </w:rPr>
              <w:fldChar w:fldCharType="begin"/>
            </w:r>
            <w:r>
              <w:rPr>
                <w:noProof/>
                <w:webHidden/>
              </w:rPr>
              <w:instrText xml:space="preserve"> PAGEREF _Toc215316687 \h </w:instrText>
            </w:r>
            <w:r>
              <w:rPr>
                <w:noProof/>
                <w:webHidden/>
              </w:rPr>
            </w:r>
            <w:r>
              <w:rPr>
                <w:noProof/>
                <w:webHidden/>
              </w:rPr>
              <w:fldChar w:fldCharType="separate"/>
            </w:r>
            <w:r>
              <w:rPr>
                <w:noProof/>
                <w:webHidden/>
              </w:rPr>
              <w:t>2</w:t>
            </w:r>
            <w:r>
              <w:rPr>
                <w:noProof/>
                <w:webHidden/>
              </w:rPr>
              <w:fldChar w:fldCharType="end"/>
            </w:r>
          </w:hyperlink>
        </w:p>
        <w:p w14:paraId="6CC1C3F6" w14:textId="4D6C02C8" w:rsidR="001D4BC4" w:rsidRDefault="001D4BC4">
          <w:pPr>
            <w:pStyle w:val="TOC2"/>
            <w:rPr>
              <w:rFonts w:cstheme="minorBidi"/>
              <w:noProof/>
              <w:kern w:val="2"/>
              <w:sz w:val="24"/>
              <w:szCs w:val="24"/>
              <w14:ligatures w14:val="standardContextual"/>
            </w:rPr>
          </w:pPr>
          <w:hyperlink w:anchor="_Toc215316688" w:history="1">
            <w:r w:rsidRPr="004A0854">
              <w:rPr>
                <w:rStyle w:val="Hyperlink"/>
                <w:rFonts w:ascii="Arial" w:hAnsi="Arial" w:cs="Arial"/>
                <w:noProof/>
              </w:rPr>
              <w:t>2.2 Choice of Target Market: India</w:t>
            </w:r>
            <w:r>
              <w:rPr>
                <w:noProof/>
                <w:webHidden/>
              </w:rPr>
              <w:tab/>
            </w:r>
            <w:r>
              <w:rPr>
                <w:noProof/>
                <w:webHidden/>
              </w:rPr>
              <w:fldChar w:fldCharType="begin"/>
            </w:r>
            <w:r>
              <w:rPr>
                <w:noProof/>
                <w:webHidden/>
              </w:rPr>
              <w:instrText xml:space="preserve"> PAGEREF _Toc215316688 \h </w:instrText>
            </w:r>
            <w:r>
              <w:rPr>
                <w:noProof/>
                <w:webHidden/>
              </w:rPr>
            </w:r>
            <w:r>
              <w:rPr>
                <w:noProof/>
                <w:webHidden/>
              </w:rPr>
              <w:fldChar w:fldCharType="separate"/>
            </w:r>
            <w:r>
              <w:rPr>
                <w:noProof/>
                <w:webHidden/>
              </w:rPr>
              <w:t>3</w:t>
            </w:r>
            <w:r>
              <w:rPr>
                <w:noProof/>
                <w:webHidden/>
              </w:rPr>
              <w:fldChar w:fldCharType="end"/>
            </w:r>
          </w:hyperlink>
        </w:p>
        <w:p w14:paraId="6087B491" w14:textId="5D2CB2C3" w:rsidR="001D4BC4" w:rsidRDefault="001D4BC4">
          <w:pPr>
            <w:pStyle w:val="TOC2"/>
            <w:rPr>
              <w:rFonts w:cstheme="minorBidi"/>
              <w:noProof/>
              <w:kern w:val="2"/>
              <w:sz w:val="24"/>
              <w:szCs w:val="24"/>
              <w14:ligatures w14:val="standardContextual"/>
            </w:rPr>
          </w:pPr>
          <w:hyperlink w:anchor="_Toc215316689" w:history="1">
            <w:r w:rsidRPr="004A0854">
              <w:rPr>
                <w:rStyle w:val="Hyperlink"/>
                <w:rFonts w:ascii="Arial" w:hAnsi="Arial" w:cs="Arial"/>
                <w:noProof/>
              </w:rPr>
              <w:t>2.2.1 Market Size and Growth Potential</w:t>
            </w:r>
            <w:r>
              <w:rPr>
                <w:noProof/>
                <w:webHidden/>
              </w:rPr>
              <w:tab/>
            </w:r>
            <w:r>
              <w:rPr>
                <w:noProof/>
                <w:webHidden/>
              </w:rPr>
              <w:fldChar w:fldCharType="begin"/>
            </w:r>
            <w:r>
              <w:rPr>
                <w:noProof/>
                <w:webHidden/>
              </w:rPr>
              <w:instrText xml:space="preserve"> PAGEREF _Toc215316689 \h </w:instrText>
            </w:r>
            <w:r>
              <w:rPr>
                <w:noProof/>
                <w:webHidden/>
              </w:rPr>
            </w:r>
            <w:r>
              <w:rPr>
                <w:noProof/>
                <w:webHidden/>
              </w:rPr>
              <w:fldChar w:fldCharType="separate"/>
            </w:r>
            <w:r>
              <w:rPr>
                <w:noProof/>
                <w:webHidden/>
              </w:rPr>
              <w:t>3</w:t>
            </w:r>
            <w:r>
              <w:rPr>
                <w:noProof/>
                <w:webHidden/>
              </w:rPr>
              <w:fldChar w:fldCharType="end"/>
            </w:r>
          </w:hyperlink>
        </w:p>
        <w:p w14:paraId="512716C9" w14:textId="2CE81908" w:rsidR="001D4BC4" w:rsidRDefault="001D4BC4">
          <w:pPr>
            <w:pStyle w:val="TOC2"/>
            <w:rPr>
              <w:rFonts w:cstheme="minorBidi"/>
              <w:noProof/>
              <w:kern w:val="2"/>
              <w:sz w:val="24"/>
              <w:szCs w:val="24"/>
              <w14:ligatures w14:val="standardContextual"/>
            </w:rPr>
          </w:pPr>
          <w:hyperlink w:anchor="_Toc215316690" w:history="1">
            <w:r w:rsidRPr="004A0854">
              <w:rPr>
                <w:rStyle w:val="Hyperlink"/>
                <w:rFonts w:ascii="Arial" w:hAnsi="Arial" w:cs="Arial"/>
                <w:noProof/>
              </w:rPr>
              <w:t>2.2.2 Cultural Fit and Consumer Demand</w:t>
            </w:r>
            <w:r>
              <w:rPr>
                <w:noProof/>
                <w:webHidden/>
              </w:rPr>
              <w:tab/>
            </w:r>
            <w:r>
              <w:rPr>
                <w:noProof/>
                <w:webHidden/>
              </w:rPr>
              <w:fldChar w:fldCharType="begin"/>
            </w:r>
            <w:r>
              <w:rPr>
                <w:noProof/>
                <w:webHidden/>
              </w:rPr>
              <w:instrText xml:space="preserve"> PAGEREF _Toc215316690 \h </w:instrText>
            </w:r>
            <w:r>
              <w:rPr>
                <w:noProof/>
                <w:webHidden/>
              </w:rPr>
            </w:r>
            <w:r>
              <w:rPr>
                <w:noProof/>
                <w:webHidden/>
              </w:rPr>
              <w:fldChar w:fldCharType="separate"/>
            </w:r>
            <w:r>
              <w:rPr>
                <w:noProof/>
                <w:webHidden/>
              </w:rPr>
              <w:t>3</w:t>
            </w:r>
            <w:r>
              <w:rPr>
                <w:noProof/>
                <w:webHidden/>
              </w:rPr>
              <w:fldChar w:fldCharType="end"/>
            </w:r>
          </w:hyperlink>
        </w:p>
        <w:p w14:paraId="63A1FD60" w14:textId="47551E39" w:rsidR="001D4BC4" w:rsidRDefault="001D4BC4">
          <w:pPr>
            <w:pStyle w:val="TOC2"/>
            <w:rPr>
              <w:rFonts w:cstheme="minorBidi"/>
              <w:noProof/>
              <w:kern w:val="2"/>
              <w:sz w:val="24"/>
              <w:szCs w:val="24"/>
              <w14:ligatures w14:val="standardContextual"/>
            </w:rPr>
          </w:pPr>
          <w:hyperlink w:anchor="_Toc215316691" w:history="1">
            <w:r w:rsidRPr="004A0854">
              <w:rPr>
                <w:rStyle w:val="Hyperlink"/>
                <w:rFonts w:ascii="Arial" w:hAnsi="Arial" w:cs="Arial"/>
                <w:noProof/>
              </w:rPr>
              <w:t>2.2.3 Strategic Alignment with Costco’s Objectives</w:t>
            </w:r>
            <w:r>
              <w:rPr>
                <w:noProof/>
                <w:webHidden/>
              </w:rPr>
              <w:tab/>
            </w:r>
            <w:r>
              <w:rPr>
                <w:noProof/>
                <w:webHidden/>
              </w:rPr>
              <w:fldChar w:fldCharType="begin"/>
            </w:r>
            <w:r>
              <w:rPr>
                <w:noProof/>
                <w:webHidden/>
              </w:rPr>
              <w:instrText xml:space="preserve"> PAGEREF _Toc215316691 \h </w:instrText>
            </w:r>
            <w:r>
              <w:rPr>
                <w:noProof/>
                <w:webHidden/>
              </w:rPr>
            </w:r>
            <w:r>
              <w:rPr>
                <w:noProof/>
                <w:webHidden/>
              </w:rPr>
              <w:fldChar w:fldCharType="separate"/>
            </w:r>
            <w:r>
              <w:rPr>
                <w:noProof/>
                <w:webHidden/>
              </w:rPr>
              <w:t>4</w:t>
            </w:r>
            <w:r>
              <w:rPr>
                <w:noProof/>
                <w:webHidden/>
              </w:rPr>
              <w:fldChar w:fldCharType="end"/>
            </w:r>
          </w:hyperlink>
        </w:p>
        <w:p w14:paraId="58823C57" w14:textId="5C1DF2FC" w:rsidR="001D4BC4" w:rsidRDefault="001D4BC4">
          <w:pPr>
            <w:pStyle w:val="TOC1"/>
            <w:rPr>
              <w:rFonts w:asciiTheme="minorHAnsi" w:hAnsiTheme="minorHAnsi" w:cstheme="minorBidi"/>
              <w:kern w:val="2"/>
              <w:sz w:val="24"/>
              <w:szCs w:val="24"/>
              <w14:ligatures w14:val="standardContextual"/>
            </w:rPr>
          </w:pPr>
          <w:hyperlink w:anchor="_Toc215316692" w:history="1">
            <w:r w:rsidRPr="004A0854">
              <w:rPr>
                <w:rStyle w:val="Hyperlink"/>
              </w:rPr>
              <w:t>3. Comprehensive Strategic Analysis</w:t>
            </w:r>
            <w:r>
              <w:rPr>
                <w:webHidden/>
              </w:rPr>
              <w:tab/>
            </w:r>
            <w:r>
              <w:rPr>
                <w:webHidden/>
              </w:rPr>
              <w:fldChar w:fldCharType="begin"/>
            </w:r>
            <w:r>
              <w:rPr>
                <w:webHidden/>
              </w:rPr>
              <w:instrText xml:space="preserve"> PAGEREF _Toc215316692 \h </w:instrText>
            </w:r>
            <w:r>
              <w:rPr>
                <w:webHidden/>
              </w:rPr>
            </w:r>
            <w:r>
              <w:rPr>
                <w:webHidden/>
              </w:rPr>
              <w:fldChar w:fldCharType="separate"/>
            </w:r>
            <w:r>
              <w:rPr>
                <w:webHidden/>
              </w:rPr>
              <w:t>4</w:t>
            </w:r>
            <w:r>
              <w:rPr>
                <w:webHidden/>
              </w:rPr>
              <w:fldChar w:fldCharType="end"/>
            </w:r>
          </w:hyperlink>
        </w:p>
        <w:p w14:paraId="1751C819" w14:textId="7D97CB85" w:rsidR="001D4BC4" w:rsidRDefault="001D4BC4">
          <w:pPr>
            <w:pStyle w:val="TOC2"/>
            <w:rPr>
              <w:rFonts w:cstheme="minorBidi"/>
              <w:noProof/>
              <w:kern w:val="2"/>
              <w:sz w:val="24"/>
              <w:szCs w:val="24"/>
              <w14:ligatures w14:val="standardContextual"/>
            </w:rPr>
          </w:pPr>
          <w:hyperlink w:anchor="_Toc215316693" w:history="1">
            <w:r w:rsidRPr="004A0854">
              <w:rPr>
                <w:rStyle w:val="Hyperlink"/>
                <w:rFonts w:ascii="Arial" w:hAnsi="Arial" w:cs="Arial"/>
                <w:noProof/>
              </w:rPr>
              <w:t>3.1 PESTLE Analysis</w:t>
            </w:r>
            <w:r>
              <w:rPr>
                <w:noProof/>
                <w:webHidden/>
              </w:rPr>
              <w:tab/>
            </w:r>
            <w:r>
              <w:rPr>
                <w:noProof/>
                <w:webHidden/>
              </w:rPr>
              <w:fldChar w:fldCharType="begin"/>
            </w:r>
            <w:r>
              <w:rPr>
                <w:noProof/>
                <w:webHidden/>
              </w:rPr>
              <w:instrText xml:space="preserve"> PAGEREF _Toc215316693 \h </w:instrText>
            </w:r>
            <w:r>
              <w:rPr>
                <w:noProof/>
                <w:webHidden/>
              </w:rPr>
            </w:r>
            <w:r>
              <w:rPr>
                <w:noProof/>
                <w:webHidden/>
              </w:rPr>
              <w:fldChar w:fldCharType="separate"/>
            </w:r>
            <w:r>
              <w:rPr>
                <w:noProof/>
                <w:webHidden/>
              </w:rPr>
              <w:t>4</w:t>
            </w:r>
            <w:r>
              <w:rPr>
                <w:noProof/>
                <w:webHidden/>
              </w:rPr>
              <w:fldChar w:fldCharType="end"/>
            </w:r>
          </w:hyperlink>
        </w:p>
        <w:p w14:paraId="37762F8A" w14:textId="7BEE73AF" w:rsidR="001D4BC4" w:rsidRDefault="001D4BC4">
          <w:pPr>
            <w:pStyle w:val="TOC2"/>
            <w:rPr>
              <w:rFonts w:cstheme="minorBidi"/>
              <w:noProof/>
              <w:kern w:val="2"/>
              <w:sz w:val="24"/>
              <w:szCs w:val="24"/>
              <w14:ligatures w14:val="standardContextual"/>
            </w:rPr>
          </w:pPr>
          <w:hyperlink w:anchor="_Toc215316694" w:history="1">
            <w:r w:rsidRPr="004A0854">
              <w:rPr>
                <w:rStyle w:val="Hyperlink"/>
                <w:rFonts w:ascii="Arial" w:hAnsi="Arial" w:cs="Arial"/>
                <w:noProof/>
              </w:rPr>
              <w:t>3.2 CAGE Distance Framework</w:t>
            </w:r>
            <w:r>
              <w:rPr>
                <w:noProof/>
                <w:webHidden/>
              </w:rPr>
              <w:tab/>
            </w:r>
            <w:r>
              <w:rPr>
                <w:noProof/>
                <w:webHidden/>
              </w:rPr>
              <w:fldChar w:fldCharType="begin"/>
            </w:r>
            <w:r>
              <w:rPr>
                <w:noProof/>
                <w:webHidden/>
              </w:rPr>
              <w:instrText xml:space="preserve"> PAGEREF _Toc215316694 \h </w:instrText>
            </w:r>
            <w:r>
              <w:rPr>
                <w:noProof/>
                <w:webHidden/>
              </w:rPr>
            </w:r>
            <w:r>
              <w:rPr>
                <w:noProof/>
                <w:webHidden/>
              </w:rPr>
              <w:fldChar w:fldCharType="separate"/>
            </w:r>
            <w:r>
              <w:rPr>
                <w:noProof/>
                <w:webHidden/>
              </w:rPr>
              <w:t>7</w:t>
            </w:r>
            <w:r>
              <w:rPr>
                <w:noProof/>
                <w:webHidden/>
              </w:rPr>
              <w:fldChar w:fldCharType="end"/>
            </w:r>
          </w:hyperlink>
        </w:p>
        <w:p w14:paraId="4C0A8D69" w14:textId="6E9B5FA9" w:rsidR="001D4BC4" w:rsidRDefault="001D4BC4">
          <w:pPr>
            <w:pStyle w:val="TOC2"/>
            <w:rPr>
              <w:rFonts w:cstheme="minorBidi"/>
              <w:noProof/>
              <w:kern w:val="2"/>
              <w:sz w:val="24"/>
              <w:szCs w:val="24"/>
              <w14:ligatures w14:val="standardContextual"/>
            </w:rPr>
          </w:pPr>
          <w:hyperlink w:anchor="_Toc215316695" w:history="1">
            <w:r w:rsidRPr="004A0854">
              <w:rPr>
                <w:rStyle w:val="Hyperlink"/>
                <w:rFonts w:ascii="Arial" w:hAnsi="Arial" w:cs="Arial"/>
                <w:noProof/>
              </w:rPr>
              <w:t>3.3 Porter’s Five Forces</w:t>
            </w:r>
            <w:r>
              <w:rPr>
                <w:noProof/>
                <w:webHidden/>
              </w:rPr>
              <w:tab/>
            </w:r>
            <w:r>
              <w:rPr>
                <w:noProof/>
                <w:webHidden/>
              </w:rPr>
              <w:fldChar w:fldCharType="begin"/>
            </w:r>
            <w:r>
              <w:rPr>
                <w:noProof/>
                <w:webHidden/>
              </w:rPr>
              <w:instrText xml:space="preserve"> PAGEREF _Toc215316695 \h </w:instrText>
            </w:r>
            <w:r>
              <w:rPr>
                <w:noProof/>
                <w:webHidden/>
              </w:rPr>
            </w:r>
            <w:r>
              <w:rPr>
                <w:noProof/>
                <w:webHidden/>
              </w:rPr>
              <w:fldChar w:fldCharType="separate"/>
            </w:r>
            <w:r>
              <w:rPr>
                <w:noProof/>
                <w:webHidden/>
              </w:rPr>
              <w:t>8</w:t>
            </w:r>
            <w:r>
              <w:rPr>
                <w:noProof/>
                <w:webHidden/>
              </w:rPr>
              <w:fldChar w:fldCharType="end"/>
            </w:r>
          </w:hyperlink>
        </w:p>
        <w:p w14:paraId="4BDFCB89" w14:textId="1218D03B" w:rsidR="001D4BC4" w:rsidRDefault="001D4BC4">
          <w:pPr>
            <w:pStyle w:val="TOC2"/>
            <w:rPr>
              <w:rFonts w:cstheme="minorBidi"/>
              <w:noProof/>
              <w:kern w:val="2"/>
              <w:sz w:val="24"/>
              <w:szCs w:val="24"/>
              <w14:ligatures w14:val="standardContextual"/>
            </w:rPr>
          </w:pPr>
          <w:hyperlink w:anchor="_Toc215316696" w:history="1">
            <w:r w:rsidRPr="004A0854">
              <w:rPr>
                <w:rStyle w:val="Hyperlink"/>
                <w:rFonts w:ascii="Arial" w:hAnsi="Arial" w:cs="Arial"/>
                <w:noProof/>
              </w:rPr>
              <w:t>3.4 Competitor Benchmarking and Positioning</w:t>
            </w:r>
            <w:r>
              <w:rPr>
                <w:noProof/>
                <w:webHidden/>
              </w:rPr>
              <w:tab/>
            </w:r>
            <w:r>
              <w:rPr>
                <w:noProof/>
                <w:webHidden/>
              </w:rPr>
              <w:fldChar w:fldCharType="begin"/>
            </w:r>
            <w:r>
              <w:rPr>
                <w:noProof/>
                <w:webHidden/>
              </w:rPr>
              <w:instrText xml:space="preserve"> PAGEREF _Toc215316696 \h </w:instrText>
            </w:r>
            <w:r>
              <w:rPr>
                <w:noProof/>
                <w:webHidden/>
              </w:rPr>
            </w:r>
            <w:r>
              <w:rPr>
                <w:noProof/>
                <w:webHidden/>
              </w:rPr>
              <w:fldChar w:fldCharType="separate"/>
            </w:r>
            <w:r>
              <w:rPr>
                <w:noProof/>
                <w:webHidden/>
              </w:rPr>
              <w:t>8</w:t>
            </w:r>
            <w:r>
              <w:rPr>
                <w:noProof/>
                <w:webHidden/>
              </w:rPr>
              <w:fldChar w:fldCharType="end"/>
            </w:r>
          </w:hyperlink>
        </w:p>
        <w:p w14:paraId="6390312A" w14:textId="5ECEA8AE" w:rsidR="001D4BC4" w:rsidRDefault="001D4BC4">
          <w:pPr>
            <w:pStyle w:val="TOC2"/>
            <w:rPr>
              <w:rFonts w:cstheme="minorBidi"/>
              <w:noProof/>
              <w:kern w:val="2"/>
              <w:sz w:val="24"/>
              <w:szCs w:val="24"/>
              <w14:ligatures w14:val="standardContextual"/>
            </w:rPr>
          </w:pPr>
          <w:hyperlink w:anchor="_Toc215316697" w:history="1">
            <w:r w:rsidRPr="004A0854">
              <w:rPr>
                <w:rStyle w:val="Hyperlink"/>
                <w:rFonts w:ascii="Arial" w:hAnsi="Arial" w:cs="Arial"/>
                <w:noProof/>
              </w:rPr>
              <w:t>3.5 SWOT Synthesis</w:t>
            </w:r>
            <w:r>
              <w:rPr>
                <w:noProof/>
                <w:webHidden/>
              </w:rPr>
              <w:tab/>
            </w:r>
            <w:r>
              <w:rPr>
                <w:noProof/>
                <w:webHidden/>
              </w:rPr>
              <w:fldChar w:fldCharType="begin"/>
            </w:r>
            <w:r>
              <w:rPr>
                <w:noProof/>
                <w:webHidden/>
              </w:rPr>
              <w:instrText xml:space="preserve"> PAGEREF _Toc215316697 \h </w:instrText>
            </w:r>
            <w:r>
              <w:rPr>
                <w:noProof/>
                <w:webHidden/>
              </w:rPr>
            </w:r>
            <w:r>
              <w:rPr>
                <w:noProof/>
                <w:webHidden/>
              </w:rPr>
              <w:fldChar w:fldCharType="separate"/>
            </w:r>
            <w:r>
              <w:rPr>
                <w:noProof/>
                <w:webHidden/>
              </w:rPr>
              <w:t>9</w:t>
            </w:r>
            <w:r>
              <w:rPr>
                <w:noProof/>
                <w:webHidden/>
              </w:rPr>
              <w:fldChar w:fldCharType="end"/>
            </w:r>
          </w:hyperlink>
        </w:p>
        <w:p w14:paraId="2DBB15C4" w14:textId="1DDAF529" w:rsidR="001D4BC4" w:rsidRDefault="001D4BC4">
          <w:pPr>
            <w:pStyle w:val="TOC2"/>
            <w:rPr>
              <w:rFonts w:cstheme="minorBidi"/>
              <w:noProof/>
              <w:kern w:val="2"/>
              <w:sz w:val="24"/>
              <w:szCs w:val="24"/>
              <w14:ligatures w14:val="standardContextual"/>
            </w:rPr>
          </w:pPr>
          <w:hyperlink w:anchor="_Toc215316698" w:history="1">
            <w:r w:rsidRPr="004A0854">
              <w:rPr>
                <w:rStyle w:val="Hyperlink"/>
                <w:rFonts w:ascii="Arial" w:hAnsi="Arial" w:cs="Arial"/>
                <w:noProof/>
              </w:rPr>
              <w:t>3.6 Critical Assessment of Frameworks</w:t>
            </w:r>
            <w:r>
              <w:rPr>
                <w:noProof/>
                <w:webHidden/>
              </w:rPr>
              <w:tab/>
            </w:r>
            <w:r>
              <w:rPr>
                <w:noProof/>
                <w:webHidden/>
              </w:rPr>
              <w:fldChar w:fldCharType="begin"/>
            </w:r>
            <w:r>
              <w:rPr>
                <w:noProof/>
                <w:webHidden/>
              </w:rPr>
              <w:instrText xml:space="preserve"> PAGEREF _Toc215316698 \h </w:instrText>
            </w:r>
            <w:r>
              <w:rPr>
                <w:noProof/>
                <w:webHidden/>
              </w:rPr>
            </w:r>
            <w:r>
              <w:rPr>
                <w:noProof/>
                <w:webHidden/>
              </w:rPr>
              <w:fldChar w:fldCharType="separate"/>
            </w:r>
            <w:r>
              <w:rPr>
                <w:noProof/>
                <w:webHidden/>
              </w:rPr>
              <w:t>10</w:t>
            </w:r>
            <w:r>
              <w:rPr>
                <w:noProof/>
                <w:webHidden/>
              </w:rPr>
              <w:fldChar w:fldCharType="end"/>
            </w:r>
          </w:hyperlink>
        </w:p>
        <w:p w14:paraId="7D3EBD31" w14:textId="1F59087D" w:rsidR="001D4BC4" w:rsidRDefault="001D4BC4">
          <w:pPr>
            <w:pStyle w:val="TOC1"/>
            <w:rPr>
              <w:rFonts w:asciiTheme="minorHAnsi" w:hAnsiTheme="minorHAnsi" w:cstheme="minorBidi"/>
              <w:kern w:val="2"/>
              <w:sz w:val="24"/>
              <w:szCs w:val="24"/>
              <w14:ligatures w14:val="standardContextual"/>
            </w:rPr>
          </w:pPr>
          <w:hyperlink w:anchor="_Toc215316699" w:history="1">
            <w:r w:rsidRPr="004A0854">
              <w:rPr>
                <w:rStyle w:val="Hyperlink"/>
              </w:rPr>
              <w:t>4. Strategy Development and Formulation</w:t>
            </w:r>
            <w:r>
              <w:rPr>
                <w:webHidden/>
              </w:rPr>
              <w:tab/>
            </w:r>
            <w:r>
              <w:rPr>
                <w:webHidden/>
              </w:rPr>
              <w:fldChar w:fldCharType="begin"/>
            </w:r>
            <w:r>
              <w:rPr>
                <w:webHidden/>
              </w:rPr>
              <w:instrText xml:space="preserve"> PAGEREF _Toc215316699 \h </w:instrText>
            </w:r>
            <w:r>
              <w:rPr>
                <w:webHidden/>
              </w:rPr>
            </w:r>
            <w:r>
              <w:rPr>
                <w:webHidden/>
              </w:rPr>
              <w:fldChar w:fldCharType="separate"/>
            </w:r>
            <w:r>
              <w:rPr>
                <w:webHidden/>
              </w:rPr>
              <w:t>11</w:t>
            </w:r>
            <w:r>
              <w:rPr>
                <w:webHidden/>
              </w:rPr>
              <w:fldChar w:fldCharType="end"/>
            </w:r>
          </w:hyperlink>
        </w:p>
        <w:p w14:paraId="6AECFB75" w14:textId="7201BA03" w:rsidR="001D4BC4" w:rsidRDefault="001D4BC4">
          <w:pPr>
            <w:pStyle w:val="TOC2"/>
            <w:rPr>
              <w:rFonts w:cstheme="minorBidi"/>
              <w:noProof/>
              <w:kern w:val="2"/>
              <w:sz w:val="24"/>
              <w:szCs w:val="24"/>
              <w14:ligatures w14:val="standardContextual"/>
            </w:rPr>
          </w:pPr>
          <w:hyperlink w:anchor="_Toc215316700" w:history="1">
            <w:r w:rsidRPr="004A0854">
              <w:rPr>
                <w:rStyle w:val="Hyperlink"/>
                <w:rFonts w:ascii="Arial" w:hAnsi="Arial" w:cs="Arial"/>
                <w:noProof/>
              </w:rPr>
              <w:t>4.1 Entry Mode Evaluation</w:t>
            </w:r>
            <w:r>
              <w:rPr>
                <w:noProof/>
                <w:webHidden/>
              </w:rPr>
              <w:tab/>
            </w:r>
            <w:r>
              <w:rPr>
                <w:noProof/>
                <w:webHidden/>
              </w:rPr>
              <w:fldChar w:fldCharType="begin"/>
            </w:r>
            <w:r>
              <w:rPr>
                <w:noProof/>
                <w:webHidden/>
              </w:rPr>
              <w:instrText xml:space="preserve"> PAGEREF _Toc215316700 \h </w:instrText>
            </w:r>
            <w:r>
              <w:rPr>
                <w:noProof/>
                <w:webHidden/>
              </w:rPr>
            </w:r>
            <w:r>
              <w:rPr>
                <w:noProof/>
                <w:webHidden/>
              </w:rPr>
              <w:fldChar w:fldCharType="separate"/>
            </w:r>
            <w:r>
              <w:rPr>
                <w:noProof/>
                <w:webHidden/>
              </w:rPr>
              <w:t>11</w:t>
            </w:r>
            <w:r>
              <w:rPr>
                <w:noProof/>
                <w:webHidden/>
              </w:rPr>
              <w:fldChar w:fldCharType="end"/>
            </w:r>
          </w:hyperlink>
        </w:p>
        <w:p w14:paraId="20779EAF" w14:textId="79A38F10" w:rsidR="001D4BC4" w:rsidRDefault="001D4BC4">
          <w:pPr>
            <w:pStyle w:val="TOC2"/>
            <w:rPr>
              <w:rFonts w:cstheme="minorBidi"/>
              <w:noProof/>
              <w:kern w:val="2"/>
              <w:sz w:val="24"/>
              <w:szCs w:val="24"/>
              <w14:ligatures w14:val="standardContextual"/>
            </w:rPr>
          </w:pPr>
          <w:hyperlink w:anchor="_Toc215316701" w:history="1">
            <w:r w:rsidRPr="004A0854">
              <w:rPr>
                <w:rStyle w:val="Hyperlink"/>
                <w:rFonts w:ascii="Arial" w:hAnsi="Arial" w:cs="Arial"/>
                <w:noProof/>
              </w:rPr>
              <w:t>4.2 Ansoff Matrix Application</w:t>
            </w:r>
            <w:r>
              <w:rPr>
                <w:noProof/>
                <w:webHidden/>
              </w:rPr>
              <w:tab/>
            </w:r>
            <w:r>
              <w:rPr>
                <w:noProof/>
                <w:webHidden/>
              </w:rPr>
              <w:fldChar w:fldCharType="begin"/>
            </w:r>
            <w:r>
              <w:rPr>
                <w:noProof/>
                <w:webHidden/>
              </w:rPr>
              <w:instrText xml:space="preserve"> PAGEREF _Toc215316701 \h </w:instrText>
            </w:r>
            <w:r>
              <w:rPr>
                <w:noProof/>
                <w:webHidden/>
              </w:rPr>
            </w:r>
            <w:r>
              <w:rPr>
                <w:noProof/>
                <w:webHidden/>
              </w:rPr>
              <w:fldChar w:fldCharType="separate"/>
            </w:r>
            <w:r>
              <w:rPr>
                <w:noProof/>
                <w:webHidden/>
              </w:rPr>
              <w:t>13</w:t>
            </w:r>
            <w:r>
              <w:rPr>
                <w:noProof/>
                <w:webHidden/>
              </w:rPr>
              <w:fldChar w:fldCharType="end"/>
            </w:r>
          </w:hyperlink>
        </w:p>
        <w:p w14:paraId="280F57B3" w14:textId="2D574E4D" w:rsidR="001D4BC4" w:rsidRDefault="001D4BC4">
          <w:pPr>
            <w:pStyle w:val="TOC2"/>
            <w:rPr>
              <w:rFonts w:cstheme="minorBidi"/>
              <w:noProof/>
              <w:kern w:val="2"/>
              <w:sz w:val="24"/>
              <w:szCs w:val="24"/>
              <w14:ligatures w14:val="standardContextual"/>
            </w:rPr>
          </w:pPr>
          <w:hyperlink w:anchor="_Toc215316702" w:history="1">
            <w:r w:rsidRPr="004A0854">
              <w:rPr>
                <w:rStyle w:val="Hyperlink"/>
                <w:rFonts w:ascii="Arial" w:hAnsi="Arial" w:cs="Arial"/>
                <w:noProof/>
              </w:rPr>
              <w:t>4.3 Porter’s Generic Strategies: Cost Leadership with Selective Differentiation</w:t>
            </w:r>
            <w:r>
              <w:rPr>
                <w:noProof/>
                <w:webHidden/>
              </w:rPr>
              <w:tab/>
            </w:r>
            <w:r>
              <w:rPr>
                <w:noProof/>
                <w:webHidden/>
              </w:rPr>
              <w:fldChar w:fldCharType="begin"/>
            </w:r>
            <w:r>
              <w:rPr>
                <w:noProof/>
                <w:webHidden/>
              </w:rPr>
              <w:instrText xml:space="preserve"> PAGEREF _Toc215316702 \h </w:instrText>
            </w:r>
            <w:r>
              <w:rPr>
                <w:noProof/>
                <w:webHidden/>
              </w:rPr>
            </w:r>
            <w:r>
              <w:rPr>
                <w:noProof/>
                <w:webHidden/>
              </w:rPr>
              <w:fldChar w:fldCharType="separate"/>
            </w:r>
            <w:r>
              <w:rPr>
                <w:noProof/>
                <w:webHidden/>
              </w:rPr>
              <w:t>13</w:t>
            </w:r>
            <w:r>
              <w:rPr>
                <w:noProof/>
                <w:webHidden/>
              </w:rPr>
              <w:fldChar w:fldCharType="end"/>
            </w:r>
          </w:hyperlink>
        </w:p>
        <w:p w14:paraId="6FA42360" w14:textId="4E8678A5" w:rsidR="001D4BC4" w:rsidRDefault="001D4BC4">
          <w:pPr>
            <w:pStyle w:val="TOC2"/>
            <w:rPr>
              <w:rFonts w:cstheme="minorBidi"/>
              <w:noProof/>
              <w:kern w:val="2"/>
              <w:sz w:val="24"/>
              <w:szCs w:val="24"/>
              <w14:ligatures w14:val="standardContextual"/>
            </w:rPr>
          </w:pPr>
          <w:hyperlink w:anchor="_Toc215316703" w:history="1">
            <w:r w:rsidRPr="004A0854">
              <w:rPr>
                <w:rStyle w:val="Hyperlink"/>
                <w:rFonts w:ascii="Arial" w:hAnsi="Arial" w:cs="Arial"/>
                <w:noProof/>
              </w:rPr>
              <w:t>4.4 VRIO Framework: Resources and Capabilities</w:t>
            </w:r>
            <w:r>
              <w:rPr>
                <w:noProof/>
                <w:webHidden/>
              </w:rPr>
              <w:tab/>
            </w:r>
            <w:r>
              <w:rPr>
                <w:noProof/>
                <w:webHidden/>
              </w:rPr>
              <w:fldChar w:fldCharType="begin"/>
            </w:r>
            <w:r>
              <w:rPr>
                <w:noProof/>
                <w:webHidden/>
              </w:rPr>
              <w:instrText xml:space="preserve"> PAGEREF _Toc215316703 \h </w:instrText>
            </w:r>
            <w:r>
              <w:rPr>
                <w:noProof/>
                <w:webHidden/>
              </w:rPr>
            </w:r>
            <w:r>
              <w:rPr>
                <w:noProof/>
                <w:webHidden/>
              </w:rPr>
              <w:fldChar w:fldCharType="separate"/>
            </w:r>
            <w:r>
              <w:rPr>
                <w:noProof/>
                <w:webHidden/>
              </w:rPr>
              <w:t>14</w:t>
            </w:r>
            <w:r>
              <w:rPr>
                <w:noProof/>
                <w:webHidden/>
              </w:rPr>
              <w:fldChar w:fldCharType="end"/>
            </w:r>
          </w:hyperlink>
        </w:p>
        <w:p w14:paraId="06EE004E" w14:textId="01315072" w:rsidR="001D4BC4" w:rsidRDefault="001D4BC4">
          <w:pPr>
            <w:pStyle w:val="TOC2"/>
            <w:rPr>
              <w:rFonts w:cstheme="minorBidi"/>
              <w:noProof/>
              <w:kern w:val="2"/>
              <w:sz w:val="24"/>
              <w:szCs w:val="24"/>
              <w14:ligatures w14:val="standardContextual"/>
            </w:rPr>
          </w:pPr>
          <w:hyperlink w:anchor="_Toc215316704" w:history="1">
            <w:r w:rsidRPr="004A0854">
              <w:rPr>
                <w:rStyle w:val="Hyperlink"/>
                <w:rFonts w:ascii="Arial" w:hAnsi="Arial" w:cs="Arial"/>
                <w:noProof/>
              </w:rPr>
              <w:t>4.5 Risk Assessment and Mitigation</w:t>
            </w:r>
            <w:r>
              <w:rPr>
                <w:noProof/>
                <w:webHidden/>
              </w:rPr>
              <w:tab/>
            </w:r>
            <w:r>
              <w:rPr>
                <w:noProof/>
                <w:webHidden/>
              </w:rPr>
              <w:fldChar w:fldCharType="begin"/>
            </w:r>
            <w:r>
              <w:rPr>
                <w:noProof/>
                <w:webHidden/>
              </w:rPr>
              <w:instrText xml:space="preserve"> PAGEREF _Toc215316704 \h </w:instrText>
            </w:r>
            <w:r>
              <w:rPr>
                <w:noProof/>
                <w:webHidden/>
              </w:rPr>
            </w:r>
            <w:r>
              <w:rPr>
                <w:noProof/>
                <w:webHidden/>
              </w:rPr>
              <w:fldChar w:fldCharType="separate"/>
            </w:r>
            <w:r>
              <w:rPr>
                <w:noProof/>
                <w:webHidden/>
              </w:rPr>
              <w:t>15</w:t>
            </w:r>
            <w:r>
              <w:rPr>
                <w:noProof/>
                <w:webHidden/>
              </w:rPr>
              <w:fldChar w:fldCharType="end"/>
            </w:r>
          </w:hyperlink>
        </w:p>
        <w:p w14:paraId="738E6F7F" w14:textId="67E01B5A" w:rsidR="001D4BC4" w:rsidRDefault="001D4BC4">
          <w:pPr>
            <w:pStyle w:val="TOC1"/>
            <w:rPr>
              <w:rFonts w:asciiTheme="minorHAnsi" w:hAnsiTheme="minorHAnsi" w:cstheme="minorBidi"/>
              <w:kern w:val="2"/>
              <w:sz w:val="24"/>
              <w:szCs w:val="24"/>
              <w14:ligatures w14:val="standardContextual"/>
            </w:rPr>
          </w:pPr>
          <w:hyperlink w:anchor="_Toc215316705" w:history="1">
            <w:r w:rsidRPr="004A0854">
              <w:rPr>
                <w:rStyle w:val="Hyperlink"/>
              </w:rPr>
              <w:t>5. Performance Evaluation Framework</w:t>
            </w:r>
            <w:r>
              <w:rPr>
                <w:webHidden/>
              </w:rPr>
              <w:tab/>
            </w:r>
            <w:r>
              <w:rPr>
                <w:webHidden/>
              </w:rPr>
              <w:fldChar w:fldCharType="begin"/>
            </w:r>
            <w:r>
              <w:rPr>
                <w:webHidden/>
              </w:rPr>
              <w:instrText xml:space="preserve"> PAGEREF _Toc215316705 \h </w:instrText>
            </w:r>
            <w:r>
              <w:rPr>
                <w:webHidden/>
              </w:rPr>
            </w:r>
            <w:r>
              <w:rPr>
                <w:webHidden/>
              </w:rPr>
              <w:fldChar w:fldCharType="separate"/>
            </w:r>
            <w:r>
              <w:rPr>
                <w:webHidden/>
              </w:rPr>
              <w:t>16</w:t>
            </w:r>
            <w:r>
              <w:rPr>
                <w:webHidden/>
              </w:rPr>
              <w:fldChar w:fldCharType="end"/>
            </w:r>
          </w:hyperlink>
        </w:p>
        <w:p w14:paraId="3A58600F" w14:textId="09FDC986" w:rsidR="001D4BC4" w:rsidRDefault="001D4BC4">
          <w:pPr>
            <w:pStyle w:val="TOC2"/>
            <w:rPr>
              <w:rFonts w:cstheme="minorBidi"/>
              <w:noProof/>
              <w:kern w:val="2"/>
              <w:sz w:val="24"/>
              <w:szCs w:val="24"/>
              <w14:ligatures w14:val="standardContextual"/>
            </w:rPr>
          </w:pPr>
          <w:hyperlink w:anchor="_Toc215316706" w:history="1">
            <w:r w:rsidRPr="004A0854">
              <w:rPr>
                <w:rStyle w:val="Hyperlink"/>
                <w:rFonts w:ascii="Arial" w:hAnsi="Arial" w:cs="Arial"/>
                <w:noProof/>
              </w:rPr>
              <w:t>5.1 Rationale for Using a Balanced Scorecard</w:t>
            </w:r>
            <w:r>
              <w:rPr>
                <w:noProof/>
                <w:webHidden/>
              </w:rPr>
              <w:tab/>
            </w:r>
            <w:r>
              <w:rPr>
                <w:noProof/>
                <w:webHidden/>
              </w:rPr>
              <w:fldChar w:fldCharType="begin"/>
            </w:r>
            <w:r>
              <w:rPr>
                <w:noProof/>
                <w:webHidden/>
              </w:rPr>
              <w:instrText xml:space="preserve"> PAGEREF _Toc215316706 \h </w:instrText>
            </w:r>
            <w:r>
              <w:rPr>
                <w:noProof/>
                <w:webHidden/>
              </w:rPr>
            </w:r>
            <w:r>
              <w:rPr>
                <w:noProof/>
                <w:webHidden/>
              </w:rPr>
              <w:fldChar w:fldCharType="separate"/>
            </w:r>
            <w:r>
              <w:rPr>
                <w:noProof/>
                <w:webHidden/>
              </w:rPr>
              <w:t>16</w:t>
            </w:r>
            <w:r>
              <w:rPr>
                <w:noProof/>
                <w:webHidden/>
              </w:rPr>
              <w:fldChar w:fldCharType="end"/>
            </w:r>
          </w:hyperlink>
        </w:p>
        <w:p w14:paraId="6B6A0247" w14:textId="00AF4512" w:rsidR="001D4BC4" w:rsidRDefault="001D4BC4">
          <w:pPr>
            <w:pStyle w:val="TOC2"/>
            <w:rPr>
              <w:rFonts w:cstheme="minorBidi"/>
              <w:noProof/>
              <w:kern w:val="2"/>
              <w:sz w:val="24"/>
              <w:szCs w:val="24"/>
              <w14:ligatures w14:val="standardContextual"/>
            </w:rPr>
          </w:pPr>
          <w:hyperlink w:anchor="_Toc215316707" w:history="1">
            <w:r w:rsidRPr="004A0854">
              <w:rPr>
                <w:rStyle w:val="Hyperlink"/>
                <w:rFonts w:ascii="Arial" w:hAnsi="Arial" w:cs="Arial"/>
                <w:noProof/>
              </w:rPr>
              <w:t>5.2 Balanced Scorecard Design for Costco India</w:t>
            </w:r>
            <w:r>
              <w:rPr>
                <w:noProof/>
                <w:webHidden/>
              </w:rPr>
              <w:tab/>
            </w:r>
            <w:r>
              <w:rPr>
                <w:noProof/>
                <w:webHidden/>
              </w:rPr>
              <w:fldChar w:fldCharType="begin"/>
            </w:r>
            <w:r>
              <w:rPr>
                <w:noProof/>
                <w:webHidden/>
              </w:rPr>
              <w:instrText xml:space="preserve"> PAGEREF _Toc215316707 \h </w:instrText>
            </w:r>
            <w:r>
              <w:rPr>
                <w:noProof/>
                <w:webHidden/>
              </w:rPr>
            </w:r>
            <w:r>
              <w:rPr>
                <w:noProof/>
                <w:webHidden/>
              </w:rPr>
              <w:fldChar w:fldCharType="separate"/>
            </w:r>
            <w:r>
              <w:rPr>
                <w:noProof/>
                <w:webHidden/>
              </w:rPr>
              <w:t>17</w:t>
            </w:r>
            <w:r>
              <w:rPr>
                <w:noProof/>
                <w:webHidden/>
              </w:rPr>
              <w:fldChar w:fldCharType="end"/>
            </w:r>
          </w:hyperlink>
        </w:p>
        <w:p w14:paraId="5CE64E09" w14:textId="20C283E0" w:rsidR="001D4BC4" w:rsidRDefault="001D4BC4">
          <w:pPr>
            <w:pStyle w:val="TOC1"/>
            <w:rPr>
              <w:rFonts w:asciiTheme="minorHAnsi" w:hAnsiTheme="minorHAnsi" w:cstheme="minorBidi"/>
              <w:kern w:val="2"/>
              <w:sz w:val="24"/>
              <w:szCs w:val="24"/>
              <w14:ligatures w14:val="standardContextual"/>
            </w:rPr>
          </w:pPr>
          <w:hyperlink w:anchor="_Toc215316708" w:history="1">
            <w:r w:rsidRPr="004A0854">
              <w:rPr>
                <w:rStyle w:val="Hyperlink"/>
              </w:rPr>
              <w:t>6. Conclusion</w:t>
            </w:r>
            <w:r>
              <w:rPr>
                <w:webHidden/>
              </w:rPr>
              <w:tab/>
            </w:r>
            <w:r>
              <w:rPr>
                <w:webHidden/>
              </w:rPr>
              <w:fldChar w:fldCharType="begin"/>
            </w:r>
            <w:r>
              <w:rPr>
                <w:webHidden/>
              </w:rPr>
              <w:instrText xml:space="preserve"> PAGEREF _Toc215316708 \h </w:instrText>
            </w:r>
            <w:r>
              <w:rPr>
                <w:webHidden/>
              </w:rPr>
            </w:r>
            <w:r>
              <w:rPr>
                <w:webHidden/>
              </w:rPr>
              <w:fldChar w:fldCharType="separate"/>
            </w:r>
            <w:r>
              <w:rPr>
                <w:webHidden/>
              </w:rPr>
              <w:t>22</w:t>
            </w:r>
            <w:r>
              <w:rPr>
                <w:webHidden/>
              </w:rPr>
              <w:fldChar w:fldCharType="end"/>
            </w:r>
          </w:hyperlink>
        </w:p>
        <w:p w14:paraId="0A4C8D02" w14:textId="697B6C41" w:rsidR="001D4BC4" w:rsidRDefault="001D4BC4">
          <w:pPr>
            <w:pStyle w:val="TOC1"/>
            <w:rPr>
              <w:rFonts w:asciiTheme="minorHAnsi" w:hAnsiTheme="minorHAnsi" w:cstheme="minorBidi"/>
              <w:kern w:val="2"/>
              <w:sz w:val="24"/>
              <w:szCs w:val="24"/>
              <w14:ligatures w14:val="standardContextual"/>
            </w:rPr>
          </w:pPr>
          <w:hyperlink w:anchor="_Toc215316709" w:history="1">
            <w:r w:rsidRPr="004A0854">
              <w:rPr>
                <w:rStyle w:val="Hyperlink"/>
              </w:rPr>
              <w:t>7. Reference List</w:t>
            </w:r>
            <w:r>
              <w:rPr>
                <w:webHidden/>
              </w:rPr>
              <w:tab/>
            </w:r>
            <w:r>
              <w:rPr>
                <w:webHidden/>
              </w:rPr>
              <w:fldChar w:fldCharType="begin"/>
            </w:r>
            <w:r>
              <w:rPr>
                <w:webHidden/>
              </w:rPr>
              <w:instrText xml:space="preserve"> PAGEREF _Toc215316709 \h </w:instrText>
            </w:r>
            <w:r>
              <w:rPr>
                <w:webHidden/>
              </w:rPr>
            </w:r>
            <w:r>
              <w:rPr>
                <w:webHidden/>
              </w:rPr>
              <w:fldChar w:fldCharType="separate"/>
            </w:r>
            <w:r>
              <w:rPr>
                <w:webHidden/>
              </w:rPr>
              <w:t>22</w:t>
            </w:r>
            <w:r>
              <w:rPr>
                <w:webHidden/>
              </w:rPr>
              <w:fldChar w:fldCharType="end"/>
            </w:r>
          </w:hyperlink>
        </w:p>
        <w:p w14:paraId="42BF077A" w14:textId="35CA421F" w:rsidR="00902249" w:rsidRPr="001D4BC4" w:rsidRDefault="00BA20A3" w:rsidP="001D4BC4">
          <w:pPr>
            <w:spacing w:line="360" w:lineRule="auto"/>
            <w:rPr>
              <w:rFonts w:ascii="Arial" w:hAnsi="Arial" w:cs="Arial"/>
              <w:b/>
              <w:bCs/>
              <w:sz w:val="22"/>
              <w:szCs w:val="22"/>
            </w:rPr>
          </w:pPr>
          <w:r w:rsidRPr="001D4BC4">
            <w:rPr>
              <w:rFonts w:ascii="Arial" w:hAnsi="Arial" w:cs="Arial"/>
              <w:b/>
              <w:bCs/>
              <w:sz w:val="22"/>
              <w:szCs w:val="22"/>
            </w:rPr>
            <w:fldChar w:fldCharType="end"/>
          </w:r>
        </w:p>
        <w:p w14:paraId="14768765" w14:textId="43FFADE5" w:rsidR="00902249" w:rsidRPr="001D4BC4" w:rsidRDefault="00000000" w:rsidP="001D4BC4">
          <w:pPr>
            <w:spacing w:line="360" w:lineRule="auto"/>
            <w:rPr>
              <w:rFonts w:ascii="Arial" w:hAnsi="Arial" w:cs="Arial"/>
              <w:b/>
              <w:bCs/>
              <w:sz w:val="22"/>
              <w:szCs w:val="22"/>
            </w:rPr>
          </w:pPr>
        </w:p>
      </w:sdtContent>
    </w:sdt>
    <w:p w14:paraId="77DDEF77" w14:textId="77777777" w:rsidR="004F566C" w:rsidRPr="001D4BC4" w:rsidRDefault="004F566C" w:rsidP="001D4BC4">
      <w:pPr>
        <w:pStyle w:val="Heading1"/>
        <w:spacing w:line="360" w:lineRule="auto"/>
        <w:rPr>
          <w:rFonts w:ascii="Arial" w:hAnsi="Arial" w:cs="Arial"/>
          <w:sz w:val="22"/>
          <w:szCs w:val="22"/>
          <w:lang w:val="en-GB"/>
        </w:rPr>
      </w:pPr>
    </w:p>
    <w:p w14:paraId="501B6213" w14:textId="77777777" w:rsidR="004F566C" w:rsidRPr="001D4BC4" w:rsidRDefault="004F566C" w:rsidP="001D4BC4">
      <w:pPr>
        <w:pStyle w:val="Heading1"/>
        <w:spacing w:line="360" w:lineRule="auto"/>
        <w:rPr>
          <w:rFonts w:ascii="Arial" w:hAnsi="Arial" w:cs="Arial"/>
          <w:sz w:val="22"/>
          <w:szCs w:val="22"/>
          <w:lang w:val="en-GB"/>
        </w:rPr>
      </w:pPr>
    </w:p>
    <w:p w14:paraId="78DC0879" w14:textId="1838A4EA" w:rsidR="00980D6F" w:rsidRPr="009026F3" w:rsidRDefault="00980D6F" w:rsidP="001D4BC4">
      <w:pPr>
        <w:pStyle w:val="Heading1"/>
        <w:spacing w:line="360" w:lineRule="auto"/>
        <w:rPr>
          <w:rFonts w:ascii="Arial" w:hAnsi="Arial" w:cs="Arial"/>
        </w:rPr>
      </w:pPr>
      <w:bookmarkStart w:id="0" w:name="_Toc215316685"/>
      <w:r w:rsidRPr="009026F3">
        <w:rPr>
          <w:rFonts w:ascii="Arial" w:hAnsi="Arial" w:cs="Arial"/>
        </w:rPr>
        <w:t>1. Introduction</w:t>
      </w:r>
      <w:bookmarkEnd w:id="0"/>
    </w:p>
    <w:p w14:paraId="23D3C03A"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This report evaluates Costco Wholesale Corporation’s potential international expansion into India using advanced strategic management frameworks. It assesses India’s macro-environment, institutional distance, industry dynamics, and competitive landscape through PESTLE, CAGE, Porter’s Five Forces, SWOT, VRIO, and the Ansoff Matrix. The analysis concludes that India offers high long-term potential but presents significant regulatory, cultural, and operational challenges. A Joint Venture (JV) with a major Indian conglomerate is recommended to mitigate risks and accelerate market entry. A Balanced Scorecard is provided to support performance evaluation during Costco’s first five years in India.</w:t>
      </w:r>
    </w:p>
    <w:p w14:paraId="0DFD440C" w14:textId="77777777" w:rsidR="00980D6F" w:rsidRPr="001D4BC4" w:rsidRDefault="00980D6F" w:rsidP="001D4BC4">
      <w:pPr>
        <w:pStyle w:val="Heading1"/>
        <w:spacing w:line="360" w:lineRule="auto"/>
        <w:rPr>
          <w:rFonts w:ascii="Arial" w:hAnsi="Arial" w:cs="Arial"/>
          <w:sz w:val="22"/>
          <w:szCs w:val="22"/>
        </w:rPr>
      </w:pPr>
    </w:p>
    <w:p w14:paraId="476DE087" w14:textId="77777777" w:rsidR="00980D6F" w:rsidRPr="001D4BC4" w:rsidRDefault="00980D6F" w:rsidP="001D4BC4">
      <w:pPr>
        <w:pStyle w:val="Heading1"/>
        <w:spacing w:line="360" w:lineRule="auto"/>
        <w:rPr>
          <w:rFonts w:ascii="Arial" w:hAnsi="Arial" w:cs="Arial"/>
          <w:sz w:val="22"/>
          <w:szCs w:val="22"/>
        </w:rPr>
      </w:pPr>
    </w:p>
    <w:p w14:paraId="50BB1809" w14:textId="1A9A0257" w:rsidR="00DD49E2" w:rsidRPr="001D4BC4" w:rsidRDefault="00980D6F" w:rsidP="001D4BC4">
      <w:pPr>
        <w:pStyle w:val="Heading1"/>
        <w:spacing w:line="360" w:lineRule="auto"/>
        <w:rPr>
          <w:rFonts w:ascii="Arial" w:hAnsi="Arial" w:cs="Arial"/>
        </w:rPr>
      </w:pPr>
      <w:bookmarkStart w:id="1" w:name="_Toc215316686"/>
      <w:r w:rsidRPr="001D4BC4">
        <w:rPr>
          <w:rFonts w:ascii="Arial" w:hAnsi="Arial" w:cs="Arial"/>
        </w:rPr>
        <w:t>2.</w:t>
      </w:r>
      <w:r w:rsidR="00902249" w:rsidRPr="001D4BC4">
        <w:rPr>
          <w:rFonts w:ascii="Arial" w:hAnsi="Arial" w:cs="Arial"/>
        </w:rPr>
        <w:t xml:space="preserve"> </w:t>
      </w:r>
      <w:r w:rsidR="00DD49E2" w:rsidRPr="001D4BC4">
        <w:rPr>
          <w:rFonts w:ascii="Arial" w:hAnsi="Arial" w:cs="Arial"/>
        </w:rPr>
        <w:t xml:space="preserve">Choice of </w:t>
      </w:r>
      <w:r w:rsidR="00EC3D31" w:rsidRPr="001D4BC4">
        <w:rPr>
          <w:rFonts w:ascii="Arial" w:hAnsi="Arial" w:cs="Arial"/>
        </w:rPr>
        <w:t>Organisation</w:t>
      </w:r>
      <w:r w:rsidRPr="001D4BC4">
        <w:rPr>
          <w:rFonts w:ascii="Arial" w:hAnsi="Arial" w:cs="Arial"/>
        </w:rPr>
        <w:t xml:space="preserve"> and Target Market</w:t>
      </w:r>
      <w:bookmarkEnd w:id="1"/>
    </w:p>
    <w:p w14:paraId="5AA61BCB" w14:textId="140C6890" w:rsidR="008638B0" w:rsidRPr="001D4BC4" w:rsidRDefault="008638B0" w:rsidP="001D4BC4">
      <w:pPr>
        <w:pStyle w:val="Heading2"/>
        <w:spacing w:line="360" w:lineRule="auto"/>
        <w:rPr>
          <w:rFonts w:ascii="Arial" w:hAnsi="Arial" w:cs="Arial"/>
        </w:rPr>
      </w:pPr>
      <w:bookmarkStart w:id="2" w:name="_Toc215316687"/>
      <w:r w:rsidRPr="001D4BC4">
        <w:rPr>
          <w:rFonts w:ascii="Arial" w:hAnsi="Arial" w:cs="Arial"/>
        </w:rPr>
        <w:t>2.1 Choice of Organisation: Costco Wholesale Corporation</w:t>
      </w:r>
      <w:bookmarkEnd w:id="2"/>
    </w:p>
    <w:p w14:paraId="1E4E8ACD"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Costco is one of the world’s largest retailers, operating more than 900 warehouse clubs globally. Its business model is built on limited SKU assortments, high inventory turnover, and extremely low operating costs. Central to Costco’s strategy is the membership model, which generates stable recurring income and enables the company to maintain low merchandise margins while offering perceived value to customers. The Kirkland Signature private-label brand strengthens differentiation and supports cost leadership.</w:t>
      </w:r>
    </w:p>
    <w:p w14:paraId="462F9E0F"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 xml:space="preserve">Costco’s international expansion strategy prioritises disciplined growth and replication of its warehouse format in markets with strong demand for value-oriented retail. However, its global footprint remains concentrated in high-income economies, and growth in its core North American and European markets is slowing. Emerging markets such as India therefore offer a strategic opportunity for diversification and long-term expansion. Costco’s scale, procurement </w:t>
      </w:r>
      <w:r w:rsidRPr="009065FD">
        <w:rPr>
          <w:rFonts w:ascii="Arial" w:hAnsi="Arial" w:cs="Arial"/>
          <w:sz w:val="22"/>
          <w:szCs w:val="22"/>
        </w:rPr>
        <w:lastRenderedPageBreak/>
        <w:t>capabilities, private-label portfolio, and operational expertise provide a strong foundation for successful market entry.</w:t>
      </w:r>
    </w:p>
    <w:p w14:paraId="4B0BC9EE" w14:textId="77777777" w:rsidR="001B4EF8" w:rsidRPr="001D4BC4" w:rsidRDefault="001B4EF8" w:rsidP="001D4BC4">
      <w:pPr>
        <w:spacing w:line="360" w:lineRule="auto"/>
        <w:rPr>
          <w:rFonts w:ascii="Arial" w:hAnsi="Arial" w:cs="Arial"/>
          <w:sz w:val="22"/>
          <w:szCs w:val="22"/>
        </w:rPr>
      </w:pPr>
    </w:p>
    <w:p w14:paraId="40C6F711" w14:textId="5CC337A1" w:rsidR="00DD49E2" w:rsidRPr="001D4BC4" w:rsidRDefault="00980D6F" w:rsidP="001D4BC4">
      <w:pPr>
        <w:pStyle w:val="Heading2"/>
        <w:spacing w:line="360" w:lineRule="auto"/>
        <w:rPr>
          <w:rFonts w:ascii="Arial" w:hAnsi="Arial" w:cs="Arial"/>
        </w:rPr>
      </w:pPr>
      <w:bookmarkStart w:id="3" w:name="_Toc215316688"/>
      <w:r w:rsidRPr="001D4BC4">
        <w:rPr>
          <w:rFonts w:ascii="Arial" w:hAnsi="Arial" w:cs="Arial"/>
        </w:rPr>
        <w:t>2.</w:t>
      </w:r>
      <w:r w:rsidR="008638B0" w:rsidRPr="001D4BC4">
        <w:rPr>
          <w:rFonts w:ascii="Arial" w:hAnsi="Arial" w:cs="Arial"/>
        </w:rPr>
        <w:t>2</w:t>
      </w:r>
      <w:r w:rsidR="00DD49E2" w:rsidRPr="001D4BC4">
        <w:rPr>
          <w:rFonts w:ascii="Arial" w:hAnsi="Arial" w:cs="Arial"/>
        </w:rPr>
        <w:t xml:space="preserve"> Choice of Target Market: India</w:t>
      </w:r>
      <w:bookmarkEnd w:id="3"/>
    </w:p>
    <w:p w14:paraId="20481A10"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India is one of the fastest-growing retail markets globally, projected to exceed US$1.6 trillion in value by 2030 (IBEF, 2025). Organised retail penetration remains relatively low but is rising due to urbanisation, rising disposable incomes, and the formalisation of commerce. The middle class is expanding rapidly, with more households seeking quality, branded products at competitive prices. These structural conditions create significant opportunities for Costco’s value proposition of bulk purchasing, quality assurance, and low prices.</w:t>
      </w:r>
    </w:p>
    <w:p w14:paraId="091C8C6A" w14:textId="77777777" w:rsidR="001B4EF8" w:rsidRPr="001D4BC4" w:rsidRDefault="001B4EF8" w:rsidP="001D4BC4">
      <w:pPr>
        <w:spacing w:line="360" w:lineRule="auto"/>
        <w:rPr>
          <w:rFonts w:ascii="Arial" w:hAnsi="Arial" w:cs="Arial"/>
          <w:sz w:val="22"/>
          <w:szCs w:val="22"/>
        </w:rPr>
      </w:pPr>
      <w:r w:rsidRPr="009065FD">
        <w:rPr>
          <w:rFonts w:ascii="Arial" w:hAnsi="Arial" w:cs="Arial"/>
          <w:sz w:val="22"/>
          <w:szCs w:val="22"/>
        </w:rPr>
        <w:t>India’s digital transformation—particularly UPI and e-commerce infrastructure—further supports Costco’s model by enabling efficient membership management, digital payments, and potential B2B ordering platforms. Although quick commerce is expanding, it complements rather than substitutes the warehouse-club format, which serves large-basket household and business shoppers.</w:t>
      </w:r>
    </w:p>
    <w:p w14:paraId="44483BAD" w14:textId="77777777" w:rsidR="001B4EF8" w:rsidRPr="001D4BC4" w:rsidRDefault="001B4EF8" w:rsidP="001D4BC4">
      <w:pPr>
        <w:pStyle w:val="Heading2"/>
        <w:spacing w:line="360" w:lineRule="auto"/>
        <w:rPr>
          <w:rFonts w:ascii="Arial" w:hAnsi="Arial" w:cs="Arial"/>
        </w:rPr>
      </w:pPr>
      <w:bookmarkStart w:id="4" w:name="_Toc215316689"/>
      <w:r w:rsidRPr="001D4BC4">
        <w:rPr>
          <w:rFonts w:ascii="Arial" w:hAnsi="Arial" w:cs="Arial"/>
        </w:rPr>
        <w:t>2.2.1 Market Size and Growth Potential</w:t>
      </w:r>
      <w:bookmarkEnd w:id="4"/>
    </w:p>
    <w:p w14:paraId="22262D4C"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India’s macroeconomic outlook is strong, with GDP growth projected at 6–7% annually. Urban consumption hubs such as Delhi NCR, Mumbai, Bengaluru, and Hyderabad offer high purchasing power and population density, supporting large-format retail. Organised retail is expected to reach 35% penetration by 2030, creating room for value-driven formats like Costco.</w:t>
      </w:r>
    </w:p>
    <w:p w14:paraId="2DA48118" w14:textId="77777777" w:rsidR="001B4EF8" w:rsidRPr="001D4BC4" w:rsidRDefault="001B4EF8" w:rsidP="001D4BC4">
      <w:pPr>
        <w:pStyle w:val="Heading2"/>
        <w:spacing w:line="360" w:lineRule="auto"/>
        <w:rPr>
          <w:rFonts w:ascii="Arial" w:hAnsi="Arial" w:cs="Arial"/>
        </w:rPr>
      </w:pPr>
      <w:bookmarkStart w:id="5" w:name="_Toc215316690"/>
      <w:r w:rsidRPr="001D4BC4">
        <w:rPr>
          <w:rFonts w:ascii="Arial" w:hAnsi="Arial" w:cs="Arial"/>
        </w:rPr>
        <w:t>2.2.2 Cultural Fit and Consumer Demand</w:t>
      </w:r>
      <w:bookmarkEnd w:id="5"/>
    </w:p>
    <w:p w14:paraId="1AF9504F"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Indian consumers are highly value-conscious and frequently shop in bulk for household and extended family needs. SMEs, restaurants, and kirana stores also source inventory from wholesale channels, providing a built-in B2B customer base. Costco’s model aligns with these behaviours through bulk packs, low prices, and a curated assortment. Cultural diversity requires localisation of food categories, pack sizes, and seasonal items, but demand for aspirational and imported products is growing, supporting Costco’s hybrid global–local assortment strategy.</w:t>
      </w:r>
    </w:p>
    <w:p w14:paraId="698AB153" w14:textId="77777777" w:rsidR="001B4EF8" w:rsidRPr="001D4BC4" w:rsidRDefault="001B4EF8" w:rsidP="001D4BC4">
      <w:pPr>
        <w:pStyle w:val="Heading2"/>
        <w:spacing w:line="360" w:lineRule="auto"/>
        <w:rPr>
          <w:rFonts w:ascii="Arial" w:hAnsi="Arial" w:cs="Arial"/>
        </w:rPr>
      </w:pPr>
      <w:bookmarkStart w:id="6" w:name="_Toc215316691"/>
      <w:r w:rsidRPr="001D4BC4">
        <w:rPr>
          <w:rFonts w:ascii="Arial" w:hAnsi="Arial" w:cs="Arial"/>
        </w:rPr>
        <w:lastRenderedPageBreak/>
        <w:t>2.2.3 Strategic Alignment with Costco’s Objectives</w:t>
      </w:r>
      <w:bookmarkEnd w:id="6"/>
    </w:p>
    <w:p w14:paraId="08C1BA10" w14:textId="77777777" w:rsidR="001B4EF8" w:rsidRPr="009065FD" w:rsidRDefault="001B4EF8" w:rsidP="001D4BC4">
      <w:pPr>
        <w:spacing w:line="360" w:lineRule="auto"/>
        <w:rPr>
          <w:rFonts w:ascii="Arial" w:hAnsi="Arial" w:cs="Arial"/>
          <w:sz w:val="22"/>
          <w:szCs w:val="22"/>
        </w:rPr>
      </w:pPr>
      <w:r w:rsidRPr="009065FD">
        <w:rPr>
          <w:rFonts w:ascii="Arial" w:hAnsi="Arial" w:cs="Arial"/>
          <w:sz w:val="22"/>
          <w:szCs w:val="22"/>
        </w:rPr>
        <w:t>India aligns with Costco’s expansion criteria: large population centres, rising incomes, and favourable FDI rules for wholesale operations (DPIIT, 2024). Entry into India diversifies Costco’s portfolio and positions it in a high-growth market distinct from its mature Western markets. This match between market potential and Costco’s cost-leadership model provides a compelling strategic rationale for entry.</w:t>
      </w:r>
    </w:p>
    <w:p w14:paraId="7A14D69A" w14:textId="77777777" w:rsidR="001B4EF8" w:rsidRPr="009065FD" w:rsidRDefault="001B4EF8" w:rsidP="001D4BC4">
      <w:pPr>
        <w:spacing w:line="360" w:lineRule="auto"/>
        <w:rPr>
          <w:rFonts w:ascii="Arial" w:hAnsi="Arial" w:cs="Arial"/>
        </w:rPr>
      </w:pPr>
    </w:p>
    <w:p w14:paraId="2C01279C" w14:textId="22E66CF2" w:rsidR="00DD49E2" w:rsidRPr="001D4BC4" w:rsidRDefault="00DD49E2" w:rsidP="001D4BC4">
      <w:pPr>
        <w:pStyle w:val="Heading2"/>
        <w:spacing w:line="360" w:lineRule="auto"/>
        <w:rPr>
          <w:rFonts w:ascii="Arial" w:hAnsi="Arial" w:cs="Arial"/>
          <w:sz w:val="22"/>
          <w:szCs w:val="22"/>
        </w:rPr>
      </w:pPr>
    </w:p>
    <w:p w14:paraId="23C4D690" w14:textId="21F75B8D" w:rsidR="00DD49E2" w:rsidRPr="001D4BC4" w:rsidRDefault="004F566C" w:rsidP="001D4BC4">
      <w:pPr>
        <w:pStyle w:val="Heading1"/>
        <w:spacing w:line="360" w:lineRule="auto"/>
        <w:rPr>
          <w:rFonts w:ascii="Arial" w:hAnsi="Arial" w:cs="Arial"/>
        </w:rPr>
      </w:pPr>
      <w:bookmarkStart w:id="7" w:name="_Toc215316692"/>
      <w:r w:rsidRPr="001D4BC4">
        <w:rPr>
          <w:rFonts w:ascii="Arial" w:hAnsi="Arial" w:cs="Arial"/>
        </w:rPr>
        <w:t>3</w:t>
      </w:r>
      <w:r w:rsidR="00DD49E2" w:rsidRPr="001D4BC4">
        <w:rPr>
          <w:rFonts w:ascii="Arial" w:hAnsi="Arial" w:cs="Arial"/>
        </w:rPr>
        <w:t>. Comprehensive Strategic Analysis</w:t>
      </w:r>
      <w:bookmarkEnd w:id="7"/>
    </w:p>
    <w:p w14:paraId="51681419" w14:textId="4F39D2F6" w:rsidR="00DD49E2" w:rsidRPr="001D4BC4" w:rsidRDefault="0039031B" w:rsidP="001D4BC4">
      <w:pPr>
        <w:pStyle w:val="Heading2"/>
        <w:spacing w:line="360" w:lineRule="auto"/>
        <w:rPr>
          <w:rFonts w:ascii="Arial" w:hAnsi="Arial" w:cs="Arial"/>
        </w:rPr>
      </w:pPr>
      <w:bookmarkStart w:id="8" w:name="_Toc215316693"/>
      <w:r w:rsidRPr="001D4BC4">
        <w:rPr>
          <w:rFonts w:ascii="Arial" w:hAnsi="Arial" w:cs="Arial"/>
        </w:rPr>
        <w:t>3.1 PESTLE</w:t>
      </w:r>
      <w:r w:rsidR="004F566C" w:rsidRPr="001D4BC4">
        <w:rPr>
          <w:rFonts w:ascii="Arial" w:hAnsi="Arial" w:cs="Arial"/>
        </w:rPr>
        <w:t xml:space="preserve"> </w:t>
      </w:r>
      <w:r w:rsidR="00DD49E2" w:rsidRPr="001D4BC4">
        <w:rPr>
          <w:rFonts w:ascii="Arial" w:hAnsi="Arial" w:cs="Arial"/>
        </w:rPr>
        <w:t>Analysis</w:t>
      </w:r>
      <w:bookmarkEnd w:id="8"/>
    </w:p>
    <w:p w14:paraId="20D7EF5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PESTLE Table</w:t>
      </w:r>
    </w:p>
    <w:p w14:paraId="17063B98" w14:textId="04A48911"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As shown in Table 1 (Author’s own analysis, 2025), India’s political factor</w:t>
      </w:r>
      <w:r w:rsidR="001D70C7" w:rsidRPr="001D4BC4">
        <w:rPr>
          <w:rFonts w:ascii="Arial" w:hAnsi="Arial" w:cs="Arial"/>
          <w:sz w:val="22"/>
          <w:szCs w:val="22"/>
        </w:rPr>
        <w:t>s</w:t>
      </w:r>
    </w:p>
    <w:tbl>
      <w:tblPr>
        <w:tblW w:w="9346" w:type="dxa"/>
        <w:tblLook w:val="04A0" w:firstRow="1" w:lastRow="0" w:firstColumn="1" w:lastColumn="0" w:noHBand="0" w:noVBand="1"/>
      </w:tblPr>
      <w:tblGrid>
        <w:gridCol w:w="1780"/>
        <w:gridCol w:w="2500"/>
        <w:gridCol w:w="5066"/>
      </w:tblGrid>
      <w:tr w:rsidR="001D70C7" w:rsidRPr="001D4BC4" w14:paraId="3034DC74" w14:textId="77777777" w:rsidTr="00484523">
        <w:trPr>
          <w:trHeight w:val="315"/>
        </w:trPr>
        <w:tc>
          <w:tcPr>
            <w:tcW w:w="1780" w:type="dxa"/>
            <w:tcBorders>
              <w:top w:val="single" w:sz="8" w:space="0" w:color="auto"/>
              <w:left w:val="single" w:sz="8" w:space="0" w:color="auto"/>
              <w:bottom w:val="single" w:sz="8" w:space="0" w:color="auto"/>
              <w:right w:val="single" w:sz="8" w:space="0" w:color="auto"/>
            </w:tcBorders>
            <w:vAlign w:val="center"/>
            <w:hideMark/>
          </w:tcPr>
          <w:p w14:paraId="1B210AAE"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Factor</w:t>
            </w:r>
          </w:p>
        </w:tc>
        <w:tc>
          <w:tcPr>
            <w:tcW w:w="2500" w:type="dxa"/>
            <w:tcBorders>
              <w:top w:val="single" w:sz="8" w:space="0" w:color="auto"/>
              <w:left w:val="nil"/>
              <w:bottom w:val="single" w:sz="8" w:space="0" w:color="auto"/>
              <w:right w:val="single" w:sz="8" w:space="0" w:color="auto"/>
            </w:tcBorders>
            <w:vAlign w:val="center"/>
            <w:hideMark/>
          </w:tcPr>
          <w:p w14:paraId="5DA3665D"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Key Issue (India)</w:t>
            </w:r>
          </w:p>
        </w:tc>
        <w:tc>
          <w:tcPr>
            <w:tcW w:w="5066" w:type="dxa"/>
            <w:tcBorders>
              <w:top w:val="single" w:sz="8" w:space="0" w:color="auto"/>
              <w:left w:val="nil"/>
              <w:bottom w:val="single" w:sz="8" w:space="0" w:color="auto"/>
              <w:right w:val="single" w:sz="8" w:space="0" w:color="auto"/>
            </w:tcBorders>
            <w:vAlign w:val="center"/>
            <w:hideMark/>
          </w:tcPr>
          <w:p w14:paraId="609ADD9E"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Implication for Costco India</w:t>
            </w:r>
          </w:p>
        </w:tc>
      </w:tr>
      <w:tr w:rsidR="001D70C7" w:rsidRPr="001D4BC4" w14:paraId="51C3FCB8" w14:textId="77777777" w:rsidTr="00484523">
        <w:trPr>
          <w:trHeight w:val="615"/>
        </w:trPr>
        <w:tc>
          <w:tcPr>
            <w:tcW w:w="1780" w:type="dxa"/>
            <w:tcBorders>
              <w:top w:val="nil"/>
              <w:left w:val="single" w:sz="8" w:space="0" w:color="auto"/>
              <w:bottom w:val="single" w:sz="8" w:space="0" w:color="auto"/>
              <w:right w:val="single" w:sz="8" w:space="0" w:color="auto"/>
            </w:tcBorders>
            <w:vAlign w:val="center"/>
            <w:hideMark/>
          </w:tcPr>
          <w:p w14:paraId="76FA10C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Political</w:t>
            </w:r>
          </w:p>
        </w:tc>
        <w:tc>
          <w:tcPr>
            <w:tcW w:w="2500" w:type="dxa"/>
            <w:tcBorders>
              <w:top w:val="nil"/>
              <w:left w:val="nil"/>
              <w:bottom w:val="single" w:sz="8" w:space="0" w:color="auto"/>
              <w:right w:val="single" w:sz="8" w:space="0" w:color="auto"/>
            </w:tcBorders>
            <w:vAlign w:val="center"/>
            <w:hideMark/>
          </w:tcPr>
          <w:p w14:paraId="726181F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Liberal FDI in wholesale; state-level bureaucracy</w:t>
            </w:r>
          </w:p>
        </w:tc>
        <w:tc>
          <w:tcPr>
            <w:tcW w:w="5066" w:type="dxa"/>
            <w:tcBorders>
              <w:top w:val="nil"/>
              <w:left w:val="nil"/>
              <w:bottom w:val="single" w:sz="8" w:space="0" w:color="auto"/>
              <w:right w:val="single" w:sz="8" w:space="0" w:color="auto"/>
            </w:tcBorders>
            <w:vAlign w:val="center"/>
            <w:hideMark/>
          </w:tcPr>
          <w:p w14:paraId="21C305D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JV helps navigate politics and accelerate approvals</w:t>
            </w:r>
          </w:p>
        </w:tc>
      </w:tr>
      <w:tr w:rsidR="001D70C7" w:rsidRPr="001D4BC4" w14:paraId="20F15B34" w14:textId="77777777" w:rsidTr="00484523">
        <w:trPr>
          <w:trHeight w:val="915"/>
        </w:trPr>
        <w:tc>
          <w:tcPr>
            <w:tcW w:w="1780" w:type="dxa"/>
            <w:tcBorders>
              <w:top w:val="nil"/>
              <w:left w:val="single" w:sz="8" w:space="0" w:color="auto"/>
              <w:bottom w:val="single" w:sz="8" w:space="0" w:color="auto"/>
              <w:right w:val="single" w:sz="8" w:space="0" w:color="auto"/>
            </w:tcBorders>
            <w:vAlign w:val="center"/>
            <w:hideMark/>
          </w:tcPr>
          <w:p w14:paraId="66C30319"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Economic</w:t>
            </w:r>
          </w:p>
        </w:tc>
        <w:tc>
          <w:tcPr>
            <w:tcW w:w="2500" w:type="dxa"/>
            <w:tcBorders>
              <w:top w:val="nil"/>
              <w:left w:val="nil"/>
              <w:bottom w:val="single" w:sz="8" w:space="0" w:color="auto"/>
              <w:right w:val="single" w:sz="8" w:space="0" w:color="auto"/>
            </w:tcBorders>
            <w:vAlign w:val="center"/>
            <w:hideMark/>
          </w:tcPr>
          <w:p w14:paraId="625AB145"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6–7% GDP growth; rising middle class</w:t>
            </w:r>
          </w:p>
        </w:tc>
        <w:tc>
          <w:tcPr>
            <w:tcW w:w="5066" w:type="dxa"/>
            <w:tcBorders>
              <w:top w:val="nil"/>
              <w:left w:val="nil"/>
              <w:bottom w:val="single" w:sz="8" w:space="0" w:color="auto"/>
              <w:right w:val="single" w:sz="8" w:space="0" w:color="auto"/>
            </w:tcBorders>
            <w:vAlign w:val="center"/>
            <w:hideMark/>
          </w:tcPr>
          <w:p w14:paraId="4C4F801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Strong long-term demand, but income variance across regions</w:t>
            </w:r>
          </w:p>
        </w:tc>
      </w:tr>
      <w:tr w:rsidR="001D70C7" w:rsidRPr="001D4BC4" w14:paraId="12AF7913" w14:textId="77777777" w:rsidTr="00484523">
        <w:trPr>
          <w:trHeight w:val="915"/>
        </w:trPr>
        <w:tc>
          <w:tcPr>
            <w:tcW w:w="1780" w:type="dxa"/>
            <w:tcBorders>
              <w:top w:val="nil"/>
              <w:left w:val="single" w:sz="8" w:space="0" w:color="auto"/>
              <w:bottom w:val="single" w:sz="8" w:space="0" w:color="auto"/>
              <w:right w:val="single" w:sz="8" w:space="0" w:color="auto"/>
            </w:tcBorders>
            <w:vAlign w:val="center"/>
            <w:hideMark/>
          </w:tcPr>
          <w:p w14:paraId="6644AED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Social</w:t>
            </w:r>
          </w:p>
        </w:tc>
        <w:tc>
          <w:tcPr>
            <w:tcW w:w="2500" w:type="dxa"/>
            <w:tcBorders>
              <w:top w:val="nil"/>
              <w:left w:val="nil"/>
              <w:bottom w:val="single" w:sz="8" w:space="0" w:color="auto"/>
              <w:right w:val="single" w:sz="8" w:space="0" w:color="auto"/>
            </w:tcBorders>
            <w:vAlign w:val="center"/>
            <w:hideMark/>
          </w:tcPr>
          <w:p w14:paraId="73F5070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Young population; value-conscious consumers</w:t>
            </w:r>
          </w:p>
        </w:tc>
        <w:tc>
          <w:tcPr>
            <w:tcW w:w="5066" w:type="dxa"/>
            <w:tcBorders>
              <w:top w:val="nil"/>
              <w:left w:val="nil"/>
              <w:bottom w:val="single" w:sz="8" w:space="0" w:color="auto"/>
              <w:right w:val="single" w:sz="8" w:space="0" w:color="auto"/>
            </w:tcBorders>
            <w:vAlign w:val="center"/>
            <w:hideMark/>
          </w:tcPr>
          <w:p w14:paraId="1A1AD6CF"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Opportunity for bulk, low-price formats and B2B customers</w:t>
            </w:r>
          </w:p>
        </w:tc>
      </w:tr>
      <w:tr w:rsidR="001D70C7" w:rsidRPr="001D4BC4" w14:paraId="3291989E" w14:textId="77777777" w:rsidTr="00484523">
        <w:trPr>
          <w:trHeight w:val="915"/>
        </w:trPr>
        <w:tc>
          <w:tcPr>
            <w:tcW w:w="1780" w:type="dxa"/>
            <w:tcBorders>
              <w:top w:val="nil"/>
              <w:left w:val="single" w:sz="8" w:space="0" w:color="auto"/>
              <w:bottom w:val="single" w:sz="8" w:space="0" w:color="auto"/>
              <w:right w:val="single" w:sz="8" w:space="0" w:color="auto"/>
            </w:tcBorders>
            <w:vAlign w:val="center"/>
            <w:hideMark/>
          </w:tcPr>
          <w:p w14:paraId="70C4986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Technological</w:t>
            </w:r>
          </w:p>
        </w:tc>
        <w:tc>
          <w:tcPr>
            <w:tcW w:w="2500" w:type="dxa"/>
            <w:tcBorders>
              <w:top w:val="nil"/>
              <w:left w:val="nil"/>
              <w:bottom w:val="single" w:sz="8" w:space="0" w:color="auto"/>
              <w:right w:val="single" w:sz="8" w:space="0" w:color="auto"/>
            </w:tcBorders>
            <w:vAlign w:val="center"/>
            <w:hideMark/>
          </w:tcPr>
          <w:p w14:paraId="4116B035"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UPI, mobile internet, e-commerce boom</w:t>
            </w:r>
          </w:p>
        </w:tc>
        <w:tc>
          <w:tcPr>
            <w:tcW w:w="5066" w:type="dxa"/>
            <w:tcBorders>
              <w:top w:val="nil"/>
              <w:left w:val="nil"/>
              <w:bottom w:val="single" w:sz="8" w:space="0" w:color="auto"/>
              <w:right w:val="single" w:sz="8" w:space="0" w:color="auto"/>
            </w:tcBorders>
            <w:vAlign w:val="center"/>
            <w:hideMark/>
          </w:tcPr>
          <w:p w14:paraId="1E72BB8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Supports digital membership, app-based services</w:t>
            </w:r>
          </w:p>
        </w:tc>
      </w:tr>
      <w:tr w:rsidR="001D70C7" w:rsidRPr="001D4BC4" w14:paraId="43AE5BBD" w14:textId="77777777" w:rsidTr="00484523">
        <w:trPr>
          <w:trHeight w:val="615"/>
        </w:trPr>
        <w:tc>
          <w:tcPr>
            <w:tcW w:w="1780" w:type="dxa"/>
            <w:tcBorders>
              <w:top w:val="nil"/>
              <w:left w:val="single" w:sz="8" w:space="0" w:color="auto"/>
              <w:bottom w:val="single" w:sz="8" w:space="0" w:color="auto"/>
              <w:right w:val="single" w:sz="8" w:space="0" w:color="auto"/>
            </w:tcBorders>
            <w:vAlign w:val="center"/>
            <w:hideMark/>
          </w:tcPr>
          <w:p w14:paraId="1698A61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Legal</w:t>
            </w:r>
          </w:p>
        </w:tc>
        <w:tc>
          <w:tcPr>
            <w:tcW w:w="2500" w:type="dxa"/>
            <w:tcBorders>
              <w:top w:val="nil"/>
              <w:left w:val="nil"/>
              <w:bottom w:val="single" w:sz="8" w:space="0" w:color="auto"/>
              <w:right w:val="single" w:sz="8" w:space="0" w:color="auto"/>
            </w:tcBorders>
            <w:vAlign w:val="center"/>
            <w:hideMark/>
          </w:tcPr>
          <w:p w14:paraId="7927844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Food safety, labour, land and tax regulations</w:t>
            </w:r>
          </w:p>
        </w:tc>
        <w:tc>
          <w:tcPr>
            <w:tcW w:w="5066" w:type="dxa"/>
            <w:tcBorders>
              <w:top w:val="nil"/>
              <w:left w:val="nil"/>
              <w:bottom w:val="single" w:sz="8" w:space="0" w:color="auto"/>
              <w:right w:val="single" w:sz="8" w:space="0" w:color="auto"/>
            </w:tcBorders>
            <w:vAlign w:val="center"/>
            <w:hideMark/>
          </w:tcPr>
          <w:p w14:paraId="7C0AC18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Requires strong compliance capabilities</w:t>
            </w:r>
          </w:p>
        </w:tc>
      </w:tr>
      <w:tr w:rsidR="001D70C7" w:rsidRPr="001D4BC4" w14:paraId="4055E1D2" w14:textId="77777777" w:rsidTr="00484523">
        <w:trPr>
          <w:trHeight w:val="615"/>
        </w:trPr>
        <w:tc>
          <w:tcPr>
            <w:tcW w:w="1780" w:type="dxa"/>
            <w:tcBorders>
              <w:top w:val="nil"/>
              <w:left w:val="single" w:sz="8" w:space="0" w:color="auto"/>
              <w:bottom w:val="single" w:sz="8" w:space="0" w:color="auto"/>
              <w:right w:val="single" w:sz="8" w:space="0" w:color="auto"/>
            </w:tcBorders>
            <w:vAlign w:val="center"/>
            <w:hideMark/>
          </w:tcPr>
          <w:p w14:paraId="13022E77"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lastRenderedPageBreak/>
              <w:t>Environmental</w:t>
            </w:r>
          </w:p>
        </w:tc>
        <w:tc>
          <w:tcPr>
            <w:tcW w:w="2500" w:type="dxa"/>
            <w:tcBorders>
              <w:top w:val="nil"/>
              <w:left w:val="nil"/>
              <w:bottom w:val="single" w:sz="8" w:space="0" w:color="auto"/>
              <w:right w:val="single" w:sz="8" w:space="0" w:color="auto"/>
            </w:tcBorders>
            <w:vAlign w:val="center"/>
            <w:hideMark/>
          </w:tcPr>
          <w:p w14:paraId="55BD45AC"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Plastic bans, energy and waste regulations</w:t>
            </w:r>
          </w:p>
        </w:tc>
        <w:tc>
          <w:tcPr>
            <w:tcW w:w="5066" w:type="dxa"/>
            <w:tcBorders>
              <w:top w:val="nil"/>
              <w:left w:val="nil"/>
              <w:bottom w:val="single" w:sz="8" w:space="0" w:color="auto"/>
              <w:right w:val="single" w:sz="8" w:space="0" w:color="auto"/>
            </w:tcBorders>
            <w:vAlign w:val="center"/>
            <w:hideMark/>
          </w:tcPr>
          <w:p w14:paraId="5926CB66"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Incentive to deploy Costco’s global sustainability practices</w:t>
            </w:r>
          </w:p>
        </w:tc>
      </w:tr>
    </w:tbl>
    <w:p w14:paraId="0658E39F" w14:textId="77777777" w:rsidR="001D70C7" w:rsidRPr="001D4BC4" w:rsidRDefault="001D70C7" w:rsidP="001D4BC4">
      <w:pPr>
        <w:spacing w:line="360" w:lineRule="auto"/>
        <w:rPr>
          <w:rFonts w:ascii="Arial" w:hAnsi="Arial" w:cs="Arial"/>
          <w:sz w:val="22"/>
          <w:szCs w:val="22"/>
        </w:rPr>
      </w:pPr>
    </w:p>
    <w:p w14:paraId="6D04B5F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Source: Author’s own analysis (2025).</w:t>
      </w:r>
    </w:p>
    <w:p w14:paraId="68C5D23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Political</w:t>
      </w:r>
    </w:p>
    <w:p w14:paraId="081D9F9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India is a federal parliamentary democracy with relatively stable central governments and an explicit agenda of improving the ease of doing business. Major reforms, including the Goods and Services Tax (GST), have simplified indirect taxation and reduced barriers to interstate logistics—critical for national retailers and wholesalers (India Brand Equity Foundation, 2024). FDI policies have gradually been liberalised, especially in wholesale trading and single-brand retail, although multi-brand B2C retail remains more politically sensitive and subject to stricter conditions (DPIIT, 2024). </w:t>
      </w:r>
    </w:p>
    <w:p w14:paraId="7380D62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However, political risk at the state level remains non-trivial. Land acquisition, zoning approvals, and local compliance processes can be slow or unpredictable. Periodic political debates about the impact of foreign retailers on small traders can also influence sentiment and policy. For Costco, the result implies that central-level FDI rules are favourable, but execution will require sophisticated management of state and municipal stakeholders.</w:t>
      </w:r>
    </w:p>
    <w:p w14:paraId="30A5402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Economics</w:t>
      </w:r>
    </w:p>
    <w:p w14:paraId="4E9B273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India has been among the fastest-growing major economies, with GDP growth rates projected at roughly 6–7 per cent per annum over the medium term (McKinsey &amp; Company, 2023; World Economic Forum, 2019). The retail sector mirrors this dynamism: Deloitte–FICCI (2025) estimates that the sector will almost double in size to around US$1.9 trillion by 2030, with organised retail gaining share (IBEF, 2025). </w:t>
      </w:r>
    </w:p>
    <w:p w14:paraId="313BEC9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Yet the economic environment is not without risk. Currency volatility affects the cost of imported goods, while inflation episodes can erode consumer purchasing power. Regional disparities in income mean that Costco’s warehouse model may be commercially viable only in certain states and urban clusters. Thus, while macro-growth is strong, Costco will need careful micro-level site selection and price architecture to adjust to local purchasing power.</w:t>
      </w:r>
    </w:p>
    <w:p w14:paraId="62EFB8D0"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Social</w:t>
      </w:r>
    </w:p>
    <w:p w14:paraId="2191F59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Social trends are highly supportive of modern retail adoption:</w:t>
      </w:r>
    </w:p>
    <w:p w14:paraId="7788005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Urbanisation towards ~600 million city dwellers by 2030.</w:t>
      </w:r>
    </w:p>
    <w:p w14:paraId="3781086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Increasing female labour-force participation and dual-income households.</w:t>
      </w:r>
    </w:p>
    <w:p w14:paraId="6C2D381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 Time-poor, convenience-seeking consumers in metropolitan areas (World Economic Forum, 2019). </w:t>
      </w:r>
    </w:p>
    <w:p w14:paraId="1DCE3CF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These developments favour planned bulk shopping trips and one-stop formats, such as warehouse clubs. At the same time, deep cultural and regional diversity, religious practices, and local cuisines require significant product localisation. Costco cannot simply copy its US merchandise mix; it must integrate local staples, vegetarian and religiously compliant options, and festival-driven seasonal assortments.</w:t>
      </w:r>
    </w:p>
    <w:p w14:paraId="0C05FC4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Technological</w:t>
      </w:r>
    </w:p>
    <w:p w14:paraId="5CAC88EF" w14:textId="0258372F"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India has leapfrogged in digital infrastructure, with low-cost mobile data, widespread smartphone usage and the Unified Payments Interface (UPI) enabling </w:t>
      </w:r>
      <w:r w:rsidR="00280417" w:rsidRPr="001D4BC4">
        <w:rPr>
          <w:rFonts w:ascii="Arial" w:hAnsi="Arial" w:cs="Arial"/>
          <w:sz w:val="22"/>
          <w:szCs w:val="22"/>
        </w:rPr>
        <w:t xml:space="preserve">nearly ubiquitous </w:t>
      </w:r>
      <w:r w:rsidRPr="001D4BC4">
        <w:rPr>
          <w:rFonts w:ascii="Arial" w:hAnsi="Arial" w:cs="Arial"/>
          <w:sz w:val="22"/>
          <w:szCs w:val="22"/>
        </w:rPr>
        <w:t>digital payments (Invest India, 2024). E-commerce and quick commerce are growing rapidly, and the government promotes digital identity and e-governance initiatives that can streamline KYC and compliance.</w:t>
      </w:r>
    </w:p>
    <w:p w14:paraId="620E21C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This technological environment is favourable for Costco's omnichannel and membership model. Digital platforms can support app-based membership management, personalised promotions, click-and-collect services and integration with B2B ordering systems. The main challenges relate to cybersecurity, data protection compliance and uneven digital literacy across regions.</w:t>
      </w:r>
    </w:p>
    <w:p w14:paraId="53337B4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Legal</w:t>
      </w:r>
    </w:p>
    <w:p w14:paraId="790E444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Legally, Costco must navigate:</w:t>
      </w:r>
    </w:p>
    <w:p w14:paraId="335DB1E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National FDI rules (favourable for wholesale);</w:t>
      </w:r>
    </w:p>
    <w:p w14:paraId="2C7DE22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State-level labour, land and shop &amp; establishment laws.</w:t>
      </w:r>
    </w:p>
    <w:p w14:paraId="745A9F3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Sectoral regulations such as the Food Safety and Standards Authority of India (FSSAI) rules on food handling and labelling.</w:t>
      </w:r>
    </w:p>
    <w:p w14:paraId="539B6DD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Compliance costs may be significant, but Costco already operates in highly regulated markets such as the EU, which suggests it possesses relevant capabilities in legal and regulatory risk management.</w:t>
      </w:r>
    </w:p>
    <w:p w14:paraId="0CD13E4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Environmental</w:t>
      </w:r>
    </w:p>
    <w:p w14:paraId="524FD31C" w14:textId="250476C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xml:space="preserve">India faces serious environmental challenges: air pollution, water scarcity and solid-waste management are prominent policy concerns. The regulations around plastic use, packaging, energy consumption, and emissions are tightening. Retailers </w:t>
      </w:r>
      <w:r w:rsidR="00DE4E64" w:rsidRPr="001D4BC4">
        <w:rPr>
          <w:rFonts w:ascii="Arial" w:hAnsi="Arial" w:cs="Arial"/>
          <w:sz w:val="22"/>
          <w:szCs w:val="22"/>
        </w:rPr>
        <w:t>are</w:t>
      </w:r>
      <w:r w:rsidRPr="001D4BC4">
        <w:rPr>
          <w:rFonts w:ascii="Arial" w:hAnsi="Arial" w:cs="Arial"/>
          <w:sz w:val="22"/>
          <w:szCs w:val="22"/>
        </w:rPr>
        <w:t xml:space="preserve"> expected to reduce waste, improve energy efficiency and promote sustainable sourcing. Costco can use its global sustainability efforts, like putting solar panels on warehouse roofs and using bulk packaging that cuts down on per-unit packaging waste, to build its reputation and brand value in India.</w:t>
      </w:r>
    </w:p>
    <w:p w14:paraId="5B62A96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From a critical perspective, PESTLE offers a structured but static snapshot of macro conditions. It does not address how Costco might influence these factors (for instance, through lobbying or community engagement) or how they might evolve dynamically.</w:t>
      </w:r>
    </w:p>
    <w:p w14:paraId="18A46775" w14:textId="77777777" w:rsidR="001D70C7" w:rsidRPr="001D4BC4" w:rsidRDefault="001D70C7" w:rsidP="001D4BC4">
      <w:pPr>
        <w:pStyle w:val="Heading2"/>
        <w:spacing w:line="360" w:lineRule="auto"/>
        <w:rPr>
          <w:rFonts w:ascii="Arial" w:hAnsi="Arial" w:cs="Arial"/>
          <w:sz w:val="22"/>
          <w:szCs w:val="22"/>
        </w:rPr>
      </w:pPr>
    </w:p>
    <w:p w14:paraId="05E727A6" w14:textId="77777777" w:rsidR="001D70C7" w:rsidRPr="001D4BC4" w:rsidRDefault="001D70C7" w:rsidP="001D4BC4">
      <w:pPr>
        <w:pStyle w:val="Heading2"/>
        <w:spacing w:line="360" w:lineRule="auto"/>
        <w:rPr>
          <w:rFonts w:ascii="Arial" w:hAnsi="Arial" w:cs="Arial"/>
          <w:sz w:val="22"/>
          <w:szCs w:val="22"/>
        </w:rPr>
      </w:pPr>
    </w:p>
    <w:p w14:paraId="730A5C50" w14:textId="56012925" w:rsidR="00DD49E2" w:rsidRPr="001D4BC4" w:rsidRDefault="004F566C" w:rsidP="001D4BC4">
      <w:pPr>
        <w:pStyle w:val="Heading2"/>
        <w:spacing w:line="360" w:lineRule="auto"/>
        <w:rPr>
          <w:rFonts w:ascii="Arial" w:hAnsi="Arial" w:cs="Arial"/>
        </w:rPr>
      </w:pPr>
      <w:bookmarkStart w:id="9" w:name="_Toc215316694"/>
      <w:r w:rsidRPr="001D4BC4">
        <w:rPr>
          <w:rFonts w:ascii="Arial" w:hAnsi="Arial" w:cs="Arial"/>
        </w:rPr>
        <w:t>3</w:t>
      </w:r>
      <w:r w:rsidR="00DD49E2" w:rsidRPr="001D4BC4">
        <w:rPr>
          <w:rFonts w:ascii="Arial" w:hAnsi="Arial" w:cs="Arial"/>
        </w:rPr>
        <w:t>.2 CAGE Distance Framework</w:t>
      </w:r>
      <w:bookmarkEnd w:id="9"/>
    </w:p>
    <w:p w14:paraId="6F845F39" w14:textId="77777777" w:rsidR="00DD49E2" w:rsidRPr="001D4BC4" w:rsidRDefault="00DD49E2" w:rsidP="001D4BC4">
      <w:pPr>
        <w:spacing w:line="360" w:lineRule="auto"/>
        <w:rPr>
          <w:rFonts w:ascii="Arial" w:hAnsi="Arial" w:cs="Arial"/>
          <w:b/>
          <w:bCs/>
          <w:sz w:val="22"/>
          <w:szCs w:val="22"/>
        </w:rPr>
      </w:pPr>
      <w:r w:rsidRPr="001D4BC4">
        <w:rPr>
          <w:rFonts w:ascii="Arial" w:hAnsi="Arial" w:cs="Arial"/>
          <w:b/>
          <w:bCs/>
          <w:sz w:val="22"/>
          <w:szCs w:val="22"/>
        </w:rPr>
        <w:t>CAGE Table (US–India)</w:t>
      </w:r>
    </w:p>
    <w:tbl>
      <w:tblPr>
        <w:tblW w:w="7380" w:type="dxa"/>
        <w:tblLook w:val="04A0" w:firstRow="1" w:lastRow="0" w:firstColumn="1" w:lastColumn="0" w:noHBand="0" w:noVBand="1"/>
      </w:tblPr>
      <w:tblGrid>
        <w:gridCol w:w="1780"/>
        <w:gridCol w:w="2700"/>
        <w:gridCol w:w="2900"/>
      </w:tblGrid>
      <w:tr w:rsidR="001D70C7" w:rsidRPr="001D4BC4" w14:paraId="1FADDBB2" w14:textId="77777777" w:rsidTr="00484523">
        <w:trPr>
          <w:trHeight w:val="300"/>
        </w:trPr>
        <w:tc>
          <w:tcPr>
            <w:tcW w:w="1780" w:type="dxa"/>
            <w:tcBorders>
              <w:top w:val="single" w:sz="4" w:space="0" w:color="auto"/>
              <w:left w:val="single" w:sz="4" w:space="0" w:color="auto"/>
              <w:bottom w:val="single" w:sz="4" w:space="0" w:color="auto"/>
              <w:right w:val="single" w:sz="4" w:space="0" w:color="auto"/>
            </w:tcBorders>
            <w:vAlign w:val="center"/>
            <w:hideMark/>
          </w:tcPr>
          <w:p w14:paraId="134D5326"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Dimension</w:t>
            </w:r>
          </w:p>
        </w:tc>
        <w:tc>
          <w:tcPr>
            <w:tcW w:w="2700" w:type="dxa"/>
            <w:tcBorders>
              <w:top w:val="single" w:sz="4" w:space="0" w:color="auto"/>
              <w:left w:val="nil"/>
              <w:bottom w:val="single" w:sz="4" w:space="0" w:color="auto"/>
              <w:right w:val="single" w:sz="4" w:space="0" w:color="auto"/>
            </w:tcBorders>
            <w:vAlign w:val="center"/>
            <w:hideMark/>
          </w:tcPr>
          <w:p w14:paraId="187B986C"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Key Distance Driver</w:t>
            </w:r>
          </w:p>
        </w:tc>
        <w:tc>
          <w:tcPr>
            <w:tcW w:w="2900" w:type="dxa"/>
            <w:tcBorders>
              <w:top w:val="single" w:sz="4" w:space="0" w:color="auto"/>
              <w:left w:val="nil"/>
              <w:bottom w:val="single" w:sz="4" w:space="0" w:color="auto"/>
              <w:right w:val="single" w:sz="4" w:space="0" w:color="auto"/>
            </w:tcBorders>
            <w:vAlign w:val="center"/>
            <w:hideMark/>
          </w:tcPr>
          <w:p w14:paraId="589322E0"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Strategic Implication</w:t>
            </w:r>
          </w:p>
        </w:tc>
      </w:tr>
      <w:tr w:rsidR="001D70C7" w:rsidRPr="001D4BC4" w14:paraId="166AB43F" w14:textId="77777777" w:rsidTr="00484523">
        <w:trPr>
          <w:trHeight w:val="600"/>
        </w:trPr>
        <w:tc>
          <w:tcPr>
            <w:tcW w:w="1780" w:type="dxa"/>
            <w:tcBorders>
              <w:top w:val="nil"/>
              <w:left w:val="single" w:sz="4" w:space="0" w:color="auto"/>
              <w:bottom w:val="single" w:sz="4" w:space="0" w:color="auto"/>
              <w:right w:val="single" w:sz="4" w:space="0" w:color="auto"/>
            </w:tcBorders>
            <w:vAlign w:val="center"/>
            <w:hideMark/>
          </w:tcPr>
          <w:p w14:paraId="6BD1F9DA"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Cultural</w:t>
            </w:r>
          </w:p>
        </w:tc>
        <w:tc>
          <w:tcPr>
            <w:tcW w:w="2700" w:type="dxa"/>
            <w:tcBorders>
              <w:top w:val="nil"/>
              <w:left w:val="nil"/>
              <w:bottom w:val="single" w:sz="4" w:space="0" w:color="auto"/>
              <w:right w:val="single" w:sz="4" w:space="0" w:color="auto"/>
            </w:tcBorders>
            <w:vAlign w:val="center"/>
            <w:hideMark/>
          </w:tcPr>
          <w:p w14:paraId="716B174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Food habits, languages, religion</w:t>
            </w:r>
          </w:p>
        </w:tc>
        <w:tc>
          <w:tcPr>
            <w:tcW w:w="2900" w:type="dxa"/>
            <w:tcBorders>
              <w:top w:val="nil"/>
              <w:left w:val="nil"/>
              <w:bottom w:val="single" w:sz="4" w:space="0" w:color="auto"/>
              <w:right w:val="single" w:sz="4" w:space="0" w:color="auto"/>
            </w:tcBorders>
            <w:vAlign w:val="center"/>
            <w:hideMark/>
          </w:tcPr>
          <w:p w14:paraId="34680A95"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Need for localised assortment and marketing</w:t>
            </w:r>
          </w:p>
        </w:tc>
      </w:tr>
      <w:tr w:rsidR="001D70C7" w:rsidRPr="001D4BC4" w14:paraId="0DBD99CB" w14:textId="77777777" w:rsidTr="00484523">
        <w:trPr>
          <w:trHeight w:val="900"/>
        </w:trPr>
        <w:tc>
          <w:tcPr>
            <w:tcW w:w="1780" w:type="dxa"/>
            <w:tcBorders>
              <w:top w:val="nil"/>
              <w:left w:val="single" w:sz="4" w:space="0" w:color="auto"/>
              <w:bottom w:val="single" w:sz="4" w:space="0" w:color="auto"/>
              <w:right w:val="single" w:sz="4" w:space="0" w:color="auto"/>
            </w:tcBorders>
            <w:vAlign w:val="center"/>
            <w:hideMark/>
          </w:tcPr>
          <w:p w14:paraId="16919E9E"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Administrative</w:t>
            </w:r>
          </w:p>
        </w:tc>
        <w:tc>
          <w:tcPr>
            <w:tcW w:w="2700" w:type="dxa"/>
            <w:tcBorders>
              <w:top w:val="nil"/>
              <w:left w:val="nil"/>
              <w:bottom w:val="single" w:sz="4" w:space="0" w:color="auto"/>
              <w:right w:val="single" w:sz="4" w:space="0" w:color="auto"/>
            </w:tcBorders>
            <w:vAlign w:val="center"/>
            <w:hideMark/>
          </w:tcPr>
          <w:p w14:paraId="6B7EE30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Different legal and regulatory systems</w:t>
            </w:r>
          </w:p>
        </w:tc>
        <w:tc>
          <w:tcPr>
            <w:tcW w:w="2900" w:type="dxa"/>
            <w:tcBorders>
              <w:top w:val="nil"/>
              <w:left w:val="nil"/>
              <w:bottom w:val="single" w:sz="4" w:space="0" w:color="auto"/>
              <w:right w:val="single" w:sz="4" w:space="0" w:color="auto"/>
            </w:tcBorders>
            <w:vAlign w:val="center"/>
            <w:hideMark/>
          </w:tcPr>
          <w:p w14:paraId="7DD9206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JV with local conglomerate reduces liability of foreignness</w:t>
            </w:r>
          </w:p>
        </w:tc>
      </w:tr>
      <w:tr w:rsidR="001D70C7" w:rsidRPr="001D4BC4" w14:paraId="5632AD23" w14:textId="77777777" w:rsidTr="00484523">
        <w:trPr>
          <w:trHeight w:val="900"/>
        </w:trPr>
        <w:tc>
          <w:tcPr>
            <w:tcW w:w="1780" w:type="dxa"/>
            <w:tcBorders>
              <w:top w:val="nil"/>
              <w:left w:val="single" w:sz="4" w:space="0" w:color="auto"/>
              <w:bottom w:val="single" w:sz="4" w:space="0" w:color="auto"/>
              <w:right w:val="single" w:sz="4" w:space="0" w:color="auto"/>
            </w:tcBorders>
            <w:vAlign w:val="center"/>
            <w:hideMark/>
          </w:tcPr>
          <w:p w14:paraId="3DC1AA0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Geographic</w:t>
            </w:r>
          </w:p>
        </w:tc>
        <w:tc>
          <w:tcPr>
            <w:tcW w:w="2700" w:type="dxa"/>
            <w:tcBorders>
              <w:top w:val="nil"/>
              <w:left w:val="nil"/>
              <w:bottom w:val="single" w:sz="4" w:space="0" w:color="auto"/>
              <w:right w:val="single" w:sz="4" w:space="0" w:color="auto"/>
            </w:tcBorders>
            <w:vAlign w:val="center"/>
            <w:hideMark/>
          </w:tcPr>
          <w:p w14:paraId="49A4D1F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Long distance from US</w:t>
            </w:r>
          </w:p>
        </w:tc>
        <w:tc>
          <w:tcPr>
            <w:tcW w:w="2900" w:type="dxa"/>
            <w:tcBorders>
              <w:top w:val="nil"/>
              <w:left w:val="nil"/>
              <w:bottom w:val="single" w:sz="4" w:space="0" w:color="auto"/>
              <w:right w:val="single" w:sz="4" w:space="0" w:color="auto"/>
            </w:tcBorders>
            <w:vAlign w:val="center"/>
            <w:hideMark/>
          </w:tcPr>
          <w:p w14:paraId="5317E17F"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Greater role for local sourcing and regional distribution</w:t>
            </w:r>
          </w:p>
        </w:tc>
      </w:tr>
      <w:tr w:rsidR="001D70C7" w:rsidRPr="001D4BC4" w14:paraId="0EA36F49" w14:textId="77777777" w:rsidTr="00484523">
        <w:trPr>
          <w:trHeight w:val="900"/>
        </w:trPr>
        <w:tc>
          <w:tcPr>
            <w:tcW w:w="1780" w:type="dxa"/>
            <w:tcBorders>
              <w:top w:val="nil"/>
              <w:left w:val="single" w:sz="4" w:space="0" w:color="auto"/>
              <w:bottom w:val="single" w:sz="4" w:space="0" w:color="auto"/>
              <w:right w:val="single" w:sz="4" w:space="0" w:color="auto"/>
            </w:tcBorders>
            <w:vAlign w:val="center"/>
            <w:hideMark/>
          </w:tcPr>
          <w:p w14:paraId="7128F60C"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Economic</w:t>
            </w:r>
          </w:p>
        </w:tc>
        <w:tc>
          <w:tcPr>
            <w:tcW w:w="2700" w:type="dxa"/>
            <w:tcBorders>
              <w:top w:val="nil"/>
              <w:left w:val="nil"/>
              <w:bottom w:val="single" w:sz="4" w:space="0" w:color="auto"/>
              <w:right w:val="single" w:sz="4" w:space="0" w:color="auto"/>
            </w:tcBorders>
            <w:vAlign w:val="center"/>
            <w:hideMark/>
          </w:tcPr>
          <w:p w14:paraId="4B741E7F"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Lower per-capita income; cost advantage in labour</w:t>
            </w:r>
          </w:p>
        </w:tc>
        <w:tc>
          <w:tcPr>
            <w:tcW w:w="2900" w:type="dxa"/>
            <w:tcBorders>
              <w:top w:val="nil"/>
              <w:left w:val="nil"/>
              <w:bottom w:val="single" w:sz="4" w:space="0" w:color="auto"/>
              <w:right w:val="single" w:sz="4" w:space="0" w:color="auto"/>
            </w:tcBorders>
            <w:vAlign w:val="center"/>
            <w:hideMark/>
          </w:tcPr>
          <w:p w14:paraId="40C2DCF5"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Target urban middle class and B2B; leverage low operating costs</w:t>
            </w:r>
          </w:p>
        </w:tc>
      </w:tr>
    </w:tbl>
    <w:p w14:paraId="5F607AA1" w14:textId="77777777" w:rsidR="001D70C7" w:rsidRPr="001D4BC4" w:rsidRDefault="001D70C7" w:rsidP="001D4BC4">
      <w:pPr>
        <w:spacing w:line="360" w:lineRule="auto"/>
        <w:rPr>
          <w:rFonts w:ascii="Arial" w:hAnsi="Arial" w:cs="Arial"/>
          <w:sz w:val="22"/>
          <w:szCs w:val="22"/>
        </w:rPr>
      </w:pPr>
    </w:p>
    <w:p w14:paraId="70380E6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Source: Adapted from Porter (1980).</w:t>
      </w:r>
    </w:p>
    <w:p w14:paraId="318E10F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Ghemawat’s (2001) CAGE framework examines Cultural, Administrative, Geographic and Economic distance between countries. Applied to the US–India dyad:</w:t>
      </w:r>
    </w:p>
    <w:p w14:paraId="322E85F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Cultural distance is high linguistic, religious, and culinary diversity, but English is widely used in business and higher education, reducing communication barriers (World Economic Forum, 2019). Food habits differ significantly, yet urban, aspirational consumers increasingly consume Western-style packaged goods, easing brand acceptance.</w:t>
      </w:r>
    </w:p>
    <w:p w14:paraId="3DD6163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Administrative distance —different legal systems and bureaucratic processes create complexity. However, both countries are democracies that share membership in various international organisations. India’s established English-language legal and financial ecosystem mitigates some administrative distance for US firms.</w:t>
      </w:r>
    </w:p>
    <w:p w14:paraId="591F32B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Geographic distance —physical distance is considerable, increasing shipping time and cost compared with intra-North American trade. This suggests the value of regional sourcing and possibly using India as a regional sourcing hub for certain product categories.</w:t>
      </w:r>
    </w:p>
    <w:p w14:paraId="1CEA790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Economic distance – Per capita income in India is far lower, and income distribution is skewed. Only particular segments—urban middle and upper-middle classes, plus business customers—have sufficient purchasing power to support Costco’s model. Nevertheless, significantly lower labour and property costs can offset lower basket sizes.</w:t>
      </w:r>
    </w:p>
    <w:p w14:paraId="6A32628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CAGE thus highlights that, although India is institutionally and economically distant from the US, the distance is not prohibitive, particularly if Costco enters with a local partner and carefully segments its target customers. The limitation of CAGE is that it treats countries as homogeneous entities and does not reflect within-country regional variation, which is substantial in India.</w:t>
      </w:r>
    </w:p>
    <w:p w14:paraId="36415994" w14:textId="4CC4B87D" w:rsidR="00DD49E2" w:rsidRPr="001D4BC4" w:rsidRDefault="00DD49E2" w:rsidP="001D4BC4">
      <w:pPr>
        <w:pStyle w:val="Heading2"/>
        <w:spacing w:line="360" w:lineRule="auto"/>
        <w:rPr>
          <w:rFonts w:ascii="Arial" w:hAnsi="Arial" w:cs="Arial"/>
        </w:rPr>
      </w:pPr>
      <w:bookmarkStart w:id="10" w:name="_Toc215316695"/>
      <w:r w:rsidRPr="001D4BC4">
        <w:rPr>
          <w:rFonts w:ascii="Arial" w:hAnsi="Arial" w:cs="Arial"/>
        </w:rPr>
        <w:t>3.</w:t>
      </w:r>
      <w:r w:rsidR="004F566C" w:rsidRPr="001D4BC4">
        <w:rPr>
          <w:rFonts w:ascii="Arial" w:hAnsi="Arial" w:cs="Arial"/>
        </w:rPr>
        <w:t>3</w:t>
      </w:r>
      <w:r w:rsidRPr="001D4BC4">
        <w:rPr>
          <w:rFonts w:ascii="Arial" w:hAnsi="Arial" w:cs="Arial"/>
        </w:rPr>
        <w:t xml:space="preserve"> Porter’s Five Forces</w:t>
      </w:r>
      <w:bookmarkEnd w:id="10"/>
    </w:p>
    <w:p w14:paraId="6F2D5D82" w14:textId="612E17BC" w:rsidR="00F60BE8" w:rsidRPr="001D4BC4" w:rsidRDefault="00F60BE8" w:rsidP="001D4BC4">
      <w:pPr>
        <w:spacing w:line="360" w:lineRule="auto"/>
        <w:rPr>
          <w:rFonts w:ascii="Arial" w:hAnsi="Arial" w:cs="Arial"/>
          <w:sz w:val="22"/>
          <w:szCs w:val="22"/>
        </w:rPr>
      </w:pPr>
      <w:r w:rsidRPr="001D4BC4">
        <w:rPr>
          <w:rFonts w:ascii="Arial" w:hAnsi="Arial" w:cs="Arial"/>
          <w:sz w:val="22"/>
          <w:szCs w:val="22"/>
        </w:rPr>
        <w:t>Rivalry is high due to strong incumbents (Reliance, D-Mart) and online platforms (Amazon, Flipkart). Threat of new entrants is moderate, but few operate in the warehouse-club niche. Supplier power is generally low due to a fragmented supply base, while buyer power is high given India’s price sensitivity. Substitution threats from kiranas and e-commerce remain moderate. Overall, the warehouse-club niche remains underdeveloped, offering Costco a favourable competitive position.</w:t>
      </w:r>
    </w:p>
    <w:p w14:paraId="13F84EAF" w14:textId="6EB7A7B4" w:rsidR="00DD49E2" w:rsidRPr="001D4BC4" w:rsidRDefault="00DD49E2" w:rsidP="001D4BC4">
      <w:pPr>
        <w:pStyle w:val="Heading2"/>
        <w:spacing w:line="360" w:lineRule="auto"/>
        <w:rPr>
          <w:rFonts w:ascii="Arial" w:hAnsi="Arial" w:cs="Arial"/>
        </w:rPr>
      </w:pPr>
      <w:bookmarkStart w:id="11" w:name="_Toc215316696"/>
      <w:r w:rsidRPr="001D4BC4">
        <w:rPr>
          <w:rFonts w:ascii="Arial" w:hAnsi="Arial" w:cs="Arial"/>
        </w:rPr>
        <w:t>3.</w:t>
      </w:r>
      <w:r w:rsidR="004F566C" w:rsidRPr="001D4BC4">
        <w:rPr>
          <w:rFonts w:ascii="Arial" w:hAnsi="Arial" w:cs="Arial"/>
        </w:rPr>
        <w:t>4</w:t>
      </w:r>
      <w:r w:rsidRPr="001D4BC4">
        <w:rPr>
          <w:rFonts w:ascii="Arial" w:hAnsi="Arial" w:cs="Arial"/>
        </w:rPr>
        <w:t xml:space="preserve"> Competitor Benchmarking and Positioning</w:t>
      </w:r>
      <w:bookmarkEnd w:id="11"/>
    </w:p>
    <w:p w14:paraId="37EF3B0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 simplified competitor benchmark shows:</w:t>
      </w:r>
    </w:p>
    <w:p w14:paraId="6FB8893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Reliance Retail – massive scale, strong political connections, a broad assortment from groceries to electronics, rapidly expanding digital and omni-channel capabilities. Positioned as a mass-to-premium retailer with aggressive pricing.</w:t>
      </w:r>
    </w:p>
    <w:p w14:paraId="157588C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D-Mart has a focused, low-cost chain, highly efficient operations, a limited assortment, and a strong emphasis on everyday low prices.</w:t>
      </w:r>
    </w:p>
    <w:p w14:paraId="590D2D4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Walmart (B2B) – orientation towards business customers through cash-and-carry; present in wholesale but without a consumer membership club.</w:t>
      </w:r>
    </w:p>
    <w:p w14:paraId="6990029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Amazon/Flipkart – broad online assortments with home delivery; increasingly active in grocery and FMCG and experimenting with dark stores and quick commerce.</w:t>
      </w:r>
    </w:p>
    <w:p w14:paraId="54BF70D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On a positioning map with “price level” (low–high) and “assortment/service breadth” (narrow–broad):</w:t>
      </w:r>
    </w:p>
    <w:p w14:paraId="4F58746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D-Mart and kiranas are clustered in the low-price/limited-service quadrant.</w:t>
      </w:r>
    </w:p>
    <w:p w14:paraId="0F76187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Reliance and other modern supermarkets in moderate-price / broad-service space.</w:t>
      </w:r>
    </w:p>
    <w:p w14:paraId="4094610C" w14:textId="62756DDF"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 Amazon/Flipkart </w:t>
      </w:r>
      <w:r w:rsidR="00DE4E64" w:rsidRPr="001D4BC4">
        <w:rPr>
          <w:rFonts w:ascii="Arial" w:hAnsi="Arial" w:cs="Arial"/>
          <w:sz w:val="22"/>
          <w:szCs w:val="22"/>
        </w:rPr>
        <w:t>occupies</w:t>
      </w:r>
      <w:r w:rsidRPr="001D4BC4">
        <w:rPr>
          <w:rFonts w:ascii="Arial" w:hAnsi="Arial" w:cs="Arial"/>
          <w:sz w:val="22"/>
          <w:szCs w:val="22"/>
        </w:rPr>
        <w:t xml:space="preserve"> moderate price/very broad assortment and high convenience.</w:t>
      </w:r>
    </w:p>
    <w:p w14:paraId="175BD37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Costco can target low price / moderate assortment with high perceived quality and membership benefits, occupying a relatively underserved quadrant.</w:t>
      </w:r>
    </w:p>
    <w:p w14:paraId="38CC485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This positioning underscores Costco’s potential to differentiate not purely on price, but on a curated high-value basket, membership economics and trust.</w:t>
      </w:r>
    </w:p>
    <w:p w14:paraId="45C9A141" w14:textId="77777777" w:rsidR="001D70C7" w:rsidRPr="001D4BC4" w:rsidRDefault="001D70C7" w:rsidP="001D4BC4">
      <w:pPr>
        <w:pStyle w:val="Heading2"/>
        <w:spacing w:line="360" w:lineRule="auto"/>
        <w:rPr>
          <w:rFonts w:ascii="Arial" w:hAnsi="Arial" w:cs="Arial"/>
          <w:sz w:val="22"/>
          <w:szCs w:val="22"/>
        </w:rPr>
      </w:pPr>
    </w:p>
    <w:p w14:paraId="1000B9E1" w14:textId="501E9452" w:rsidR="00DD49E2" w:rsidRPr="001D4BC4" w:rsidRDefault="00DD49E2" w:rsidP="001D4BC4">
      <w:pPr>
        <w:pStyle w:val="Heading2"/>
        <w:spacing w:line="360" w:lineRule="auto"/>
        <w:rPr>
          <w:rFonts w:ascii="Arial" w:hAnsi="Arial" w:cs="Arial"/>
        </w:rPr>
      </w:pPr>
      <w:bookmarkStart w:id="12" w:name="_Toc215316697"/>
      <w:r w:rsidRPr="001D4BC4">
        <w:rPr>
          <w:rFonts w:ascii="Arial" w:hAnsi="Arial" w:cs="Arial"/>
        </w:rPr>
        <w:t>3.</w:t>
      </w:r>
      <w:r w:rsidR="004F566C" w:rsidRPr="001D4BC4">
        <w:rPr>
          <w:rFonts w:ascii="Arial" w:hAnsi="Arial" w:cs="Arial"/>
        </w:rPr>
        <w:t>5</w:t>
      </w:r>
      <w:r w:rsidRPr="001D4BC4">
        <w:rPr>
          <w:rFonts w:ascii="Arial" w:hAnsi="Arial" w:cs="Arial"/>
        </w:rPr>
        <w:t xml:space="preserve"> SWOT Synthesis</w:t>
      </w:r>
      <w:bookmarkEnd w:id="12"/>
    </w:p>
    <w:tbl>
      <w:tblPr>
        <w:tblW w:w="8840" w:type="dxa"/>
        <w:tblLook w:val="04A0" w:firstRow="1" w:lastRow="0" w:firstColumn="1" w:lastColumn="0" w:noHBand="0" w:noVBand="1"/>
      </w:tblPr>
      <w:tblGrid>
        <w:gridCol w:w="4180"/>
        <w:gridCol w:w="4660"/>
      </w:tblGrid>
      <w:tr w:rsidR="001D70C7" w:rsidRPr="001D4BC4" w14:paraId="43109518" w14:textId="77777777" w:rsidTr="00484523">
        <w:trPr>
          <w:trHeight w:val="300"/>
        </w:trPr>
        <w:tc>
          <w:tcPr>
            <w:tcW w:w="4180" w:type="dxa"/>
            <w:tcBorders>
              <w:top w:val="single" w:sz="4" w:space="0" w:color="auto"/>
              <w:left w:val="single" w:sz="4" w:space="0" w:color="auto"/>
              <w:bottom w:val="single" w:sz="4" w:space="0" w:color="auto"/>
              <w:right w:val="single" w:sz="4" w:space="0" w:color="auto"/>
            </w:tcBorders>
            <w:vAlign w:val="center"/>
            <w:hideMark/>
          </w:tcPr>
          <w:p w14:paraId="12DCABFB"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Strengths</w:t>
            </w:r>
          </w:p>
        </w:tc>
        <w:tc>
          <w:tcPr>
            <w:tcW w:w="4660" w:type="dxa"/>
            <w:tcBorders>
              <w:top w:val="single" w:sz="4" w:space="0" w:color="auto"/>
              <w:left w:val="nil"/>
              <w:bottom w:val="single" w:sz="4" w:space="0" w:color="auto"/>
              <w:right w:val="single" w:sz="4" w:space="0" w:color="auto"/>
            </w:tcBorders>
            <w:vAlign w:val="center"/>
            <w:hideMark/>
          </w:tcPr>
          <w:p w14:paraId="36BE7162"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Weaknesses</w:t>
            </w:r>
          </w:p>
        </w:tc>
      </w:tr>
      <w:tr w:rsidR="001D70C7" w:rsidRPr="001D4BC4" w14:paraId="2ACDD03C"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6E34810C"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Global procurement scale</w:t>
            </w:r>
          </w:p>
        </w:tc>
        <w:tc>
          <w:tcPr>
            <w:tcW w:w="4660" w:type="dxa"/>
            <w:tcBorders>
              <w:top w:val="nil"/>
              <w:left w:val="nil"/>
              <w:bottom w:val="single" w:sz="4" w:space="0" w:color="auto"/>
              <w:right w:val="single" w:sz="4" w:space="0" w:color="auto"/>
            </w:tcBorders>
            <w:vAlign w:val="center"/>
            <w:hideMark/>
          </w:tcPr>
          <w:p w14:paraId="6F47A69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Low brand awareness in India</w:t>
            </w:r>
          </w:p>
        </w:tc>
      </w:tr>
      <w:tr w:rsidR="001D70C7" w:rsidRPr="001D4BC4" w14:paraId="317FC098"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34BA534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Efficient warehouse operations</w:t>
            </w:r>
          </w:p>
        </w:tc>
        <w:tc>
          <w:tcPr>
            <w:tcW w:w="4660" w:type="dxa"/>
            <w:tcBorders>
              <w:top w:val="nil"/>
              <w:left w:val="nil"/>
              <w:bottom w:val="single" w:sz="4" w:space="0" w:color="auto"/>
              <w:right w:val="single" w:sz="4" w:space="0" w:color="auto"/>
            </w:tcBorders>
            <w:vAlign w:val="center"/>
            <w:hideMark/>
          </w:tcPr>
          <w:p w14:paraId="6B18CD1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Limited local market experience</w:t>
            </w:r>
          </w:p>
        </w:tc>
      </w:tr>
      <w:tr w:rsidR="001D70C7" w:rsidRPr="001D4BC4" w14:paraId="6772EE3E"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0D0C62B6"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Strong membership and Kirkland brand</w:t>
            </w:r>
          </w:p>
        </w:tc>
        <w:tc>
          <w:tcPr>
            <w:tcW w:w="4660" w:type="dxa"/>
            <w:tcBorders>
              <w:top w:val="nil"/>
              <w:left w:val="nil"/>
              <w:bottom w:val="single" w:sz="4" w:space="0" w:color="auto"/>
              <w:right w:val="single" w:sz="4" w:space="0" w:color="auto"/>
            </w:tcBorders>
            <w:vAlign w:val="center"/>
            <w:hideMark/>
          </w:tcPr>
          <w:p w14:paraId="2F338B47"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High upfront capex in warehouses</w:t>
            </w:r>
          </w:p>
        </w:tc>
      </w:tr>
      <w:tr w:rsidR="001D70C7" w:rsidRPr="001D4BC4" w14:paraId="091493D6"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3F2ABD5B"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Opportunities</w:t>
            </w:r>
          </w:p>
        </w:tc>
        <w:tc>
          <w:tcPr>
            <w:tcW w:w="4660" w:type="dxa"/>
            <w:tcBorders>
              <w:top w:val="nil"/>
              <w:left w:val="nil"/>
              <w:bottom w:val="single" w:sz="4" w:space="0" w:color="auto"/>
              <w:right w:val="single" w:sz="4" w:space="0" w:color="auto"/>
            </w:tcBorders>
            <w:vAlign w:val="center"/>
            <w:hideMark/>
          </w:tcPr>
          <w:p w14:paraId="65AF170F"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Threats</w:t>
            </w:r>
          </w:p>
        </w:tc>
      </w:tr>
      <w:tr w:rsidR="001D70C7" w:rsidRPr="001D4BC4" w14:paraId="3BEB368F"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7578361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Rapidly growing organised retail sector</w:t>
            </w:r>
          </w:p>
        </w:tc>
        <w:tc>
          <w:tcPr>
            <w:tcW w:w="4660" w:type="dxa"/>
            <w:tcBorders>
              <w:top w:val="nil"/>
              <w:left w:val="nil"/>
              <w:bottom w:val="single" w:sz="4" w:space="0" w:color="auto"/>
              <w:right w:val="single" w:sz="4" w:space="0" w:color="auto"/>
            </w:tcBorders>
            <w:vAlign w:val="center"/>
            <w:hideMark/>
          </w:tcPr>
          <w:p w14:paraId="1FC0A0F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Intense competition from local and online rivals</w:t>
            </w:r>
          </w:p>
        </w:tc>
      </w:tr>
      <w:tr w:rsidR="001D70C7" w:rsidRPr="001D4BC4" w14:paraId="7F7924E7"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4998F333"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Young, urbanising population</w:t>
            </w:r>
          </w:p>
        </w:tc>
        <w:tc>
          <w:tcPr>
            <w:tcW w:w="4660" w:type="dxa"/>
            <w:tcBorders>
              <w:top w:val="nil"/>
              <w:left w:val="nil"/>
              <w:bottom w:val="single" w:sz="4" w:space="0" w:color="auto"/>
              <w:right w:val="single" w:sz="4" w:space="0" w:color="auto"/>
            </w:tcBorders>
            <w:vAlign w:val="center"/>
            <w:hideMark/>
          </w:tcPr>
          <w:p w14:paraId="0BB6D0E9"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Regulatory and political uncertainty</w:t>
            </w:r>
          </w:p>
        </w:tc>
      </w:tr>
      <w:tr w:rsidR="001D70C7" w:rsidRPr="001D4BC4" w14:paraId="6178B122" w14:textId="77777777" w:rsidTr="00484523">
        <w:trPr>
          <w:trHeight w:val="300"/>
        </w:trPr>
        <w:tc>
          <w:tcPr>
            <w:tcW w:w="4180" w:type="dxa"/>
            <w:tcBorders>
              <w:top w:val="nil"/>
              <w:left w:val="single" w:sz="4" w:space="0" w:color="auto"/>
              <w:bottom w:val="single" w:sz="4" w:space="0" w:color="auto"/>
              <w:right w:val="single" w:sz="4" w:space="0" w:color="auto"/>
            </w:tcBorders>
            <w:vAlign w:val="center"/>
            <w:hideMark/>
          </w:tcPr>
          <w:p w14:paraId="65899CD7"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lastRenderedPageBreak/>
              <w:t>Underdeveloped warehouse-club segment</w:t>
            </w:r>
          </w:p>
        </w:tc>
        <w:tc>
          <w:tcPr>
            <w:tcW w:w="4660" w:type="dxa"/>
            <w:tcBorders>
              <w:top w:val="nil"/>
              <w:left w:val="nil"/>
              <w:bottom w:val="single" w:sz="4" w:space="0" w:color="auto"/>
              <w:right w:val="single" w:sz="4" w:space="0" w:color="auto"/>
            </w:tcBorders>
            <w:vAlign w:val="center"/>
            <w:hideMark/>
          </w:tcPr>
          <w:p w14:paraId="6B52C5BC"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Currency volatility and inflation</w:t>
            </w:r>
          </w:p>
        </w:tc>
      </w:tr>
    </w:tbl>
    <w:p w14:paraId="3DAF8DB8" w14:textId="77777777" w:rsidR="001D70C7" w:rsidRPr="001D4BC4" w:rsidRDefault="001D70C7" w:rsidP="001D4BC4">
      <w:pPr>
        <w:spacing w:line="360" w:lineRule="auto"/>
        <w:rPr>
          <w:rFonts w:ascii="Arial" w:hAnsi="Arial" w:cs="Arial"/>
          <w:sz w:val="22"/>
          <w:szCs w:val="22"/>
        </w:rPr>
      </w:pPr>
    </w:p>
    <w:p w14:paraId="475E7CC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Source: India Brand Equity Foundation (2024).</w:t>
      </w:r>
    </w:p>
    <w:p w14:paraId="0EE6A7A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Synthesising the analysis:</w:t>
      </w:r>
    </w:p>
    <w:p w14:paraId="41BB8492"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Strengths: global brand and procurement scale; a proven membership model; efficient warehouse operations; a strong private label; and a robust financial position.</w:t>
      </w:r>
    </w:p>
    <w:p w14:paraId="51D99E0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Weaknesses – low brand awareness in India; limited local market knowledge; high upfront capital requirements; dependence on imported goods in the early stages.</w:t>
      </w:r>
    </w:p>
    <w:p w14:paraId="248FFC8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Opportunities include rapid retail growth; expanding middle class; underdeveloped membership warehouse segment; strong B2B customer potential; digital ecosystem to support omnichannel models.</w:t>
      </w:r>
    </w:p>
    <w:p w14:paraId="42D6E72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Threats – intense competition; regulatory uncertainties; currency volatility; and potential political or social resistance to foreign retailers.</w:t>
      </w:r>
    </w:p>
    <w:p w14:paraId="496DF05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key insight is that strengths align closely with opportunities (for example, cost leadership with value-orientated consumers), while weaknesses and threats can be mitigated through joint venture entries, localisation, and financial prudence.</w:t>
      </w:r>
    </w:p>
    <w:p w14:paraId="19AB515E" w14:textId="65623CDC" w:rsidR="00DD49E2" w:rsidRPr="001D4BC4" w:rsidRDefault="004F566C" w:rsidP="001D4BC4">
      <w:pPr>
        <w:pStyle w:val="Heading2"/>
        <w:spacing w:line="360" w:lineRule="auto"/>
        <w:rPr>
          <w:rFonts w:ascii="Arial" w:hAnsi="Arial" w:cs="Arial"/>
        </w:rPr>
      </w:pPr>
      <w:bookmarkStart w:id="13" w:name="_Toc215316698"/>
      <w:r w:rsidRPr="001D4BC4">
        <w:rPr>
          <w:rFonts w:ascii="Arial" w:hAnsi="Arial" w:cs="Arial"/>
        </w:rPr>
        <w:t>3</w:t>
      </w:r>
      <w:r w:rsidR="00DD49E2" w:rsidRPr="001D4BC4">
        <w:rPr>
          <w:rFonts w:ascii="Arial" w:hAnsi="Arial" w:cs="Arial"/>
        </w:rPr>
        <w:t>.</w:t>
      </w:r>
      <w:r w:rsidRPr="001D4BC4">
        <w:rPr>
          <w:rFonts w:ascii="Arial" w:hAnsi="Arial" w:cs="Arial"/>
        </w:rPr>
        <w:t>6</w:t>
      </w:r>
      <w:r w:rsidR="00DD49E2" w:rsidRPr="001D4BC4">
        <w:rPr>
          <w:rFonts w:ascii="Arial" w:hAnsi="Arial" w:cs="Arial"/>
        </w:rPr>
        <w:t xml:space="preserve"> Critical Assessment of Frameworks</w:t>
      </w:r>
      <w:bookmarkEnd w:id="13"/>
    </w:p>
    <w:p w14:paraId="5C5D495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Although the above frameworks are widely used in strategic analysis, they are not without limitations.</w:t>
      </w:r>
    </w:p>
    <w:p w14:paraId="01D4097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PESTLE is effective in identifying macro-environmental factors but tends to be descriptive and static. It does not specify the relative importance of different factors, nor their interactions, and may encourage checklist thinking.</w:t>
      </w:r>
    </w:p>
    <w:p w14:paraId="3E7BF92A" w14:textId="7295DE23"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 CAGE provides a useful lens on the types of distance between </w:t>
      </w:r>
      <w:r w:rsidR="00DE4E64" w:rsidRPr="001D4BC4">
        <w:rPr>
          <w:rFonts w:ascii="Arial" w:hAnsi="Arial" w:cs="Arial"/>
          <w:sz w:val="22"/>
          <w:szCs w:val="22"/>
        </w:rPr>
        <w:t>countries yet</w:t>
      </w:r>
      <w:r w:rsidRPr="001D4BC4">
        <w:rPr>
          <w:rFonts w:ascii="Arial" w:hAnsi="Arial" w:cs="Arial"/>
          <w:sz w:val="22"/>
          <w:szCs w:val="22"/>
        </w:rPr>
        <w:t xml:space="preserve"> treats each country as homogenous. In a highly diverse country like India, regional differences in culture, language, and income are substantial, so CAGE can obscure important </w:t>
      </w:r>
      <w:r w:rsidR="00DE4E64" w:rsidRPr="001D4BC4">
        <w:rPr>
          <w:rFonts w:ascii="Arial" w:hAnsi="Arial" w:cs="Arial"/>
          <w:sz w:val="22"/>
          <w:szCs w:val="22"/>
        </w:rPr>
        <w:t>variations within subnational regions</w:t>
      </w:r>
      <w:r w:rsidRPr="001D4BC4">
        <w:rPr>
          <w:rFonts w:ascii="Arial" w:hAnsi="Arial" w:cs="Arial"/>
          <w:sz w:val="22"/>
          <w:szCs w:val="22"/>
        </w:rPr>
        <w:t>.</w:t>
      </w:r>
    </w:p>
    <w:p w14:paraId="35129F6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 Porter’s Five Forces focuses on industry structure, assuming relatively stable industry boundaries. However, in contemporary retail, digital platforms and business-model innovation </w:t>
      </w:r>
      <w:r w:rsidRPr="001D4BC4">
        <w:rPr>
          <w:rFonts w:ascii="Arial" w:hAnsi="Arial" w:cs="Arial"/>
          <w:sz w:val="22"/>
          <w:szCs w:val="22"/>
        </w:rPr>
        <w:lastRenderedPageBreak/>
        <w:t>blur the distinctions between the retail, wholesale, and technology sectors. The model therefore risks underestimating the impact of platform competition and ecosystem dynamics.</w:t>
      </w:r>
    </w:p>
    <w:p w14:paraId="267AB09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SWOT analysis helps synthesise internal and external considerations but is vulnerable to oversimplification and subjectivity. Items may be placed in boxes without clear evidence, and SWOT does not necessarily prioritise which strengths or threats matter most.</w:t>
      </w:r>
    </w:p>
    <w:p w14:paraId="4BD4D60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Competitor positioning maps visually clarify relative positioning, yet reduce complex strategies to one or two dimensions, potentially oversimplifying competitor behaviour.</w:t>
      </w:r>
    </w:p>
    <w:p w14:paraId="3F2400E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By triangulating across these tools—using PESTLE and CAGE to understand the macro and institutional context, Five Forces and benchmarking to examine industry structure, and SWOT to integrate internal and external factors—the analysis gains robustness. This integrated usage aligns with the module’s requirement for critical, not mechanical, application of frameworks.</w:t>
      </w:r>
    </w:p>
    <w:p w14:paraId="6344158E" w14:textId="2DB202F6" w:rsidR="00DD49E2" w:rsidRPr="001D4BC4" w:rsidRDefault="004F566C" w:rsidP="001D4BC4">
      <w:pPr>
        <w:pStyle w:val="Heading1"/>
        <w:spacing w:line="360" w:lineRule="auto"/>
        <w:rPr>
          <w:rFonts w:ascii="Arial" w:hAnsi="Arial" w:cs="Arial"/>
        </w:rPr>
      </w:pPr>
      <w:bookmarkStart w:id="14" w:name="_Toc215316699"/>
      <w:r w:rsidRPr="001D4BC4">
        <w:rPr>
          <w:rFonts w:ascii="Arial" w:hAnsi="Arial" w:cs="Arial"/>
        </w:rPr>
        <w:t>4</w:t>
      </w:r>
      <w:r w:rsidR="00DD49E2" w:rsidRPr="001D4BC4">
        <w:rPr>
          <w:rFonts w:ascii="Arial" w:hAnsi="Arial" w:cs="Arial"/>
        </w:rPr>
        <w:t>. Strategy Development and Formulation</w:t>
      </w:r>
      <w:bookmarkEnd w:id="14"/>
    </w:p>
    <w:p w14:paraId="45FBCECA" w14:textId="067EE9B0" w:rsidR="00DD49E2" w:rsidRPr="001D4BC4" w:rsidRDefault="004F566C" w:rsidP="001D4BC4">
      <w:pPr>
        <w:pStyle w:val="Heading2"/>
        <w:spacing w:line="360" w:lineRule="auto"/>
        <w:rPr>
          <w:rFonts w:ascii="Arial" w:hAnsi="Arial" w:cs="Arial"/>
        </w:rPr>
      </w:pPr>
      <w:bookmarkStart w:id="15" w:name="_Toc215316700"/>
      <w:r w:rsidRPr="001D4BC4">
        <w:rPr>
          <w:rFonts w:ascii="Arial" w:hAnsi="Arial" w:cs="Arial"/>
        </w:rPr>
        <w:t>4</w:t>
      </w:r>
      <w:r w:rsidR="00DD49E2" w:rsidRPr="001D4BC4">
        <w:rPr>
          <w:rFonts w:ascii="Arial" w:hAnsi="Arial" w:cs="Arial"/>
        </w:rPr>
        <w:t>.</w:t>
      </w:r>
      <w:r w:rsidRPr="001D4BC4">
        <w:rPr>
          <w:rFonts w:ascii="Arial" w:hAnsi="Arial" w:cs="Arial"/>
        </w:rPr>
        <w:t>1</w:t>
      </w:r>
      <w:r w:rsidR="00DD49E2" w:rsidRPr="001D4BC4">
        <w:rPr>
          <w:rFonts w:ascii="Arial" w:hAnsi="Arial" w:cs="Arial"/>
        </w:rPr>
        <w:t xml:space="preserve"> Entry </w:t>
      </w:r>
      <w:r w:rsidRPr="001D4BC4">
        <w:rPr>
          <w:rFonts w:ascii="Arial" w:hAnsi="Arial" w:cs="Arial"/>
        </w:rPr>
        <w:t>Mode Evaluation</w:t>
      </w:r>
      <w:bookmarkEnd w:id="15"/>
    </w:p>
    <w:p w14:paraId="6838EBE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Entry-Mode Comparison Table</w:t>
      </w:r>
    </w:p>
    <w:tbl>
      <w:tblPr>
        <w:tblW w:w="9620" w:type="dxa"/>
        <w:tblLook w:val="04A0" w:firstRow="1" w:lastRow="0" w:firstColumn="1" w:lastColumn="0" w:noHBand="0" w:noVBand="1"/>
      </w:tblPr>
      <w:tblGrid>
        <w:gridCol w:w="2146"/>
        <w:gridCol w:w="999"/>
        <w:gridCol w:w="999"/>
        <w:gridCol w:w="1121"/>
        <w:gridCol w:w="2217"/>
        <w:gridCol w:w="2138"/>
      </w:tblGrid>
      <w:tr w:rsidR="001D70C7" w:rsidRPr="001D4BC4" w14:paraId="3F36094E" w14:textId="77777777" w:rsidTr="00484523">
        <w:trPr>
          <w:trHeight w:val="300"/>
        </w:trPr>
        <w:tc>
          <w:tcPr>
            <w:tcW w:w="2200" w:type="dxa"/>
            <w:tcBorders>
              <w:top w:val="single" w:sz="4" w:space="0" w:color="auto"/>
              <w:left w:val="single" w:sz="4" w:space="0" w:color="auto"/>
              <w:bottom w:val="single" w:sz="4" w:space="0" w:color="auto"/>
              <w:right w:val="single" w:sz="4" w:space="0" w:color="auto"/>
            </w:tcBorders>
            <w:vAlign w:val="center"/>
            <w:hideMark/>
          </w:tcPr>
          <w:p w14:paraId="3C96C9D7"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Entry Mode</w:t>
            </w:r>
          </w:p>
        </w:tc>
        <w:tc>
          <w:tcPr>
            <w:tcW w:w="960" w:type="dxa"/>
            <w:tcBorders>
              <w:top w:val="single" w:sz="4" w:space="0" w:color="auto"/>
              <w:left w:val="nil"/>
              <w:bottom w:val="single" w:sz="4" w:space="0" w:color="auto"/>
              <w:right w:val="single" w:sz="4" w:space="0" w:color="auto"/>
            </w:tcBorders>
            <w:vAlign w:val="center"/>
            <w:hideMark/>
          </w:tcPr>
          <w:p w14:paraId="7FCA20E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Control</w:t>
            </w:r>
          </w:p>
        </w:tc>
        <w:tc>
          <w:tcPr>
            <w:tcW w:w="960" w:type="dxa"/>
            <w:tcBorders>
              <w:top w:val="single" w:sz="4" w:space="0" w:color="auto"/>
              <w:left w:val="nil"/>
              <w:bottom w:val="single" w:sz="4" w:space="0" w:color="auto"/>
              <w:right w:val="single" w:sz="4" w:space="0" w:color="auto"/>
            </w:tcBorders>
            <w:vAlign w:val="center"/>
            <w:hideMark/>
          </w:tcPr>
          <w:p w14:paraId="085D626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Risk</w:t>
            </w:r>
          </w:p>
        </w:tc>
        <w:tc>
          <w:tcPr>
            <w:tcW w:w="960" w:type="dxa"/>
            <w:tcBorders>
              <w:top w:val="single" w:sz="4" w:space="0" w:color="auto"/>
              <w:left w:val="nil"/>
              <w:bottom w:val="single" w:sz="4" w:space="0" w:color="auto"/>
              <w:right w:val="single" w:sz="4" w:space="0" w:color="auto"/>
            </w:tcBorders>
            <w:vAlign w:val="center"/>
            <w:hideMark/>
          </w:tcPr>
          <w:p w14:paraId="01943E6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Speed</w:t>
            </w:r>
          </w:p>
        </w:tc>
        <w:tc>
          <w:tcPr>
            <w:tcW w:w="2340" w:type="dxa"/>
            <w:tcBorders>
              <w:top w:val="single" w:sz="4" w:space="0" w:color="auto"/>
              <w:left w:val="nil"/>
              <w:bottom w:val="single" w:sz="4" w:space="0" w:color="auto"/>
              <w:right w:val="single" w:sz="4" w:space="0" w:color="auto"/>
            </w:tcBorders>
            <w:vAlign w:val="center"/>
            <w:hideMark/>
          </w:tcPr>
          <w:p w14:paraId="2F2B492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Fit with Costco Model</w:t>
            </w:r>
          </w:p>
        </w:tc>
        <w:tc>
          <w:tcPr>
            <w:tcW w:w="2200" w:type="dxa"/>
            <w:tcBorders>
              <w:top w:val="single" w:sz="4" w:space="0" w:color="auto"/>
              <w:left w:val="nil"/>
              <w:bottom w:val="single" w:sz="4" w:space="0" w:color="auto"/>
              <w:right w:val="single" w:sz="4" w:space="0" w:color="auto"/>
            </w:tcBorders>
            <w:vAlign w:val="center"/>
            <w:hideMark/>
          </w:tcPr>
          <w:p w14:paraId="2AA2B63D"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Overall Assessment</w:t>
            </w:r>
          </w:p>
        </w:tc>
      </w:tr>
      <w:tr w:rsidR="001D70C7" w:rsidRPr="001D4BC4" w14:paraId="54FD6653" w14:textId="77777777" w:rsidTr="00484523">
        <w:trPr>
          <w:trHeight w:val="300"/>
        </w:trPr>
        <w:tc>
          <w:tcPr>
            <w:tcW w:w="2200" w:type="dxa"/>
            <w:tcBorders>
              <w:top w:val="nil"/>
              <w:left w:val="single" w:sz="4" w:space="0" w:color="auto"/>
              <w:bottom w:val="single" w:sz="4" w:space="0" w:color="auto"/>
              <w:right w:val="single" w:sz="4" w:space="0" w:color="auto"/>
            </w:tcBorders>
            <w:vAlign w:val="center"/>
            <w:hideMark/>
          </w:tcPr>
          <w:p w14:paraId="170FCDF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Exporting</w:t>
            </w:r>
          </w:p>
        </w:tc>
        <w:tc>
          <w:tcPr>
            <w:tcW w:w="960" w:type="dxa"/>
            <w:tcBorders>
              <w:top w:val="nil"/>
              <w:left w:val="nil"/>
              <w:bottom w:val="single" w:sz="4" w:space="0" w:color="auto"/>
              <w:right w:val="single" w:sz="4" w:space="0" w:color="auto"/>
            </w:tcBorders>
            <w:vAlign w:val="center"/>
            <w:hideMark/>
          </w:tcPr>
          <w:p w14:paraId="545C553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Low</w:t>
            </w:r>
          </w:p>
        </w:tc>
        <w:tc>
          <w:tcPr>
            <w:tcW w:w="960" w:type="dxa"/>
            <w:tcBorders>
              <w:top w:val="nil"/>
              <w:left w:val="nil"/>
              <w:bottom w:val="single" w:sz="4" w:space="0" w:color="auto"/>
              <w:right w:val="single" w:sz="4" w:space="0" w:color="auto"/>
            </w:tcBorders>
            <w:vAlign w:val="center"/>
            <w:hideMark/>
          </w:tcPr>
          <w:p w14:paraId="753D0CF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Low–Medium</w:t>
            </w:r>
          </w:p>
        </w:tc>
        <w:tc>
          <w:tcPr>
            <w:tcW w:w="960" w:type="dxa"/>
            <w:tcBorders>
              <w:top w:val="nil"/>
              <w:left w:val="nil"/>
              <w:bottom w:val="single" w:sz="4" w:space="0" w:color="auto"/>
              <w:right w:val="single" w:sz="4" w:space="0" w:color="auto"/>
            </w:tcBorders>
            <w:vAlign w:val="center"/>
            <w:hideMark/>
          </w:tcPr>
          <w:p w14:paraId="4226791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Slow</w:t>
            </w:r>
          </w:p>
        </w:tc>
        <w:tc>
          <w:tcPr>
            <w:tcW w:w="2340" w:type="dxa"/>
            <w:tcBorders>
              <w:top w:val="nil"/>
              <w:left w:val="nil"/>
              <w:bottom w:val="single" w:sz="4" w:space="0" w:color="auto"/>
              <w:right w:val="single" w:sz="4" w:space="0" w:color="auto"/>
            </w:tcBorders>
            <w:vAlign w:val="center"/>
            <w:hideMark/>
          </w:tcPr>
          <w:p w14:paraId="58FFD419"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Does not deliver full warehouse experience</w:t>
            </w:r>
          </w:p>
        </w:tc>
        <w:tc>
          <w:tcPr>
            <w:tcW w:w="2200" w:type="dxa"/>
            <w:tcBorders>
              <w:top w:val="nil"/>
              <w:left w:val="nil"/>
              <w:bottom w:val="single" w:sz="4" w:space="0" w:color="auto"/>
              <w:right w:val="single" w:sz="4" w:space="0" w:color="auto"/>
            </w:tcBorders>
            <w:vAlign w:val="center"/>
            <w:hideMark/>
          </w:tcPr>
          <w:p w14:paraId="6978A92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Not suitable as primary mode</w:t>
            </w:r>
          </w:p>
        </w:tc>
      </w:tr>
      <w:tr w:rsidR="001D70C7" w:rsidRPr="001D4BC4" w14:paraId="2C7EE5F8" w14:textId="77777777" w:rsidTr="00484523">
        <w:trPr>
          <w:trHeight w:val="300"/>
        </w:trPr>
        <w:tc>
          <w:tcPr>
            <w:tcW w:w="2200" w:type="dxa"/>
            <w:tcBorders>
              <w:top w:val="nil"/>
              <w:left w:val="single" w:sz="4" w:space="0" w:color="auto"/>
              <w:bottom w:val="single" w:sz="4" w:space="0" w:color="auto"/>
              <w:right w:val="single" w:sz="4" w:space="0" w:color="auto"/>
            </w:tcBorders>
            <w:vAlign w:val="center"/>
            <w:hideMark/>
          </w:tcPr>
          <w:p w14:paraId="184B6A5A"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Franchising</w:t>
            </w:r>
          </w:p>
        </w:tc>
        <w:tc>
          <w:tcPr>
            <w:tcW w:w="960" w:type="dxa"/>
            <w:tcBorders>
              <w:top w:val="nil"/>
              <w:left w:val="nil"/>
              <w:bottom w:val="single" w:sz="4" w:space="0" w:color="auto"/>
              <w:right w:val="single" w:sz="4" w:space="0" w:color="auto"/>
            </w:tcBorders>
            <w:vAlign w:val="center"/>
            <w:hideMark/>
          </w:tcPr>
          <w:p w14:paraId="203BBD43"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Medium</w:t>
            </w:r>
          </w:p>
        </w:tc>
        <w:tc>
          <w:tcPr>
            <w:tcW w:w="960" w:type="dxa"/>
            <w:tcBorders>
              <w:top w:val="nil"/>
              <w:left w:val="nil"/>
              <w:bottom w:val="single" w:sz="4" w:space="0" w:color="auto"/>
              <w:right w:val="single" w:sz="4" w:space="0" w:color="auto"/>
            </w:tcBorders>
            <w:vAlign w:val="center"/>
            <w:hideMark/>
          </w:tcPr>
          <w:p w14:paraId="2ED8808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Medium</w:t>
            </w:r>
          </w:p>
        </w:tc>
        <w:tc>
          <w:tcPr>
            <w:tcW w:w="960" w:type="dxa"/>
            <w:tcBorders>
              <w:top w:val="nil"/>
              <w:left w:val="nil"/>
              <w:bottom w:val="single" w:sz="4" w:space="0" w:color="auto"/>
              <w:right w:val="single" w:sz="4" w:space="0" w:color="auto"/>
            </w:tcBorders>
            <w:vAlign w:val="center"/>
            <w:hideMark/>
          </w:tcPr>
          <w:p w14:paraId="42C7253D"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Medium–Fast</w:t>
            </w:r>
          </w:p>
        </w:tc>
        <w:tc>
          <w:tcPr>
            <w:tcW w:w="2340" w:type="dxa"/>
            <w:tcBorders>
              <w:top w:val="nil"/>
              <w:left w:val="nil"/>
              <w:bottom w:val="single" w:sz="4" w:space="0" w:color="auto"/>
              <w:right w:val="single" w:sz="4" w:space="0" w:color="auto"/>
            </w:tcBorders>
            <w:vAlign w:val="center"/>
            <w:hideMark/>
          </w:tcPr>
          <w:p w14:paraId="6CEC7477"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Weakens control over pricing and quality</w:t>
            </w:r>
          </w:p>
        </w:tc>
        <w:tc>
          <w:tcPr>
            <w:tcW w:w="2200" w:type="dxa"/>
            <w:tcBorders>
              <w:top w:val="nil"/>
              <w:left w:val="nil"/>
              <w:bottom w:val="single" w:sz="4" w:space="0" w:color="auto"/>
              <w:right w:val="single" w:sz="4" w:space="0" w:color="auto"/>
            </w:tcBorders>
            <w:vAlign w:val="center"/>
            <w:hideMark/>
          </w:tcPr>
          <w:p w14:paraId="463CFB3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Not recommended</w:t>
            </w:r>
          </w:p>
        </w:tc>
      </w:tr>
      <w:tr w:rsidR="001D70C7" w:rsidRPr="001D4BC4" w14:paraId="377BED58" w14:textId="77777777" w:rsidTr="00484523">
        <w:trPr>
          <w:trHeight w:val="300"/>
        </w:trPr>
        <w:tc>
          <w:tcPr>
            <w:tcW w:w="2200" w:type="dxa"/>
            <w:tcBorders>
              <w:top w:val="nil"/>
              <w:left w:val="single" w:sz="4" w:space="0" w:color="auto"/>
              <w:bottom w:val="single" w:sz="4" w:space="0" w:color="auto"/>
              <w:right w:val="single" w:sz="4" w:space="0" w:color="auto"/>
            </w:tcBorders>
            <w:vAlign w:val="center"/>
            <w:hideMark/>
          </w:tcPr>
          <w:p w14:paraId="1B492546"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WOS</w:t>
            </w:r>
          </w:p>
        </w:tc>
        <w:tc>
          <w:tcPr>
            <w:tcW w:w="960" w:type="dxa"/>
            <w:tcBorders>
              <w:top w:val="nil"/>
              <w:left w:val="nil"/>
              <w:bottom w:val="single" w:sz="4" w:space="0" w:color="auto"/>
              <w:right w:val="single" w:sz="4" w:space="0" w:color="auto"/>
            </w:tcBorders>
            <w:vAlign w:val="center"/>
            <w:hideMark/>
          </w:tcPr>
          <w:p w14:paraId="6027C186"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High</w:t>
            </w:r>
          </w:p>
        </w:tc>
        <w:tc>
          <w:tcPr>
            <w:tcW w:w="960" w:type="dxa"/>
            <w:tcBorders>
              <w:top w:val="nil"/>
              <w:left w:val="nil"/>
              <w:bottom w:val="single" w:sz="4" w:space="0" w:color="auto"/>
              <w:right w:val="single" w:sz="4" w:space="0" w:color="auto"/>
            </w:tcBorders>
            <w:vAlign w:val="center"/>
            <w:hideMark/>
          </w:tcPr>
          <w:p w14:paraId="70381C6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High</w:t>
            </w:r>
          </w:p>
        </w:tc>
        <w:tc>
          <w:tcPr>
            <w:tcW w:w="960" w:type="dxa"/>
            <w:tcBorders>
              <w:top w:val="nil"/>
              <w:left w:val="nil"/>
              <w:bottom w:val="single" w:sz="4" w:space="0" w:color="auto"/>
              <w:right w:val="single" w:sz="4" w:space="0" w:color="auto"/>
            </w:tcBorders>
            <w:vAlign w:val="center"/>
            <w:hideMark/>
          </w:tcPr>
          <w:p w14:paraId="33A581E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Slow</w:t>
            </w:r>
          </w:p>
        </w:tc>
        <w:tc>
          <w:tcPr>
            <w:tcW w:w="2340" w:type="dxa"/>
            <w:tcBorders>
              <w:top w:val="nil"/>
              <w:left w:val="nil"/>
              <w:bottom w:val="single" w:sz="4" w:space="0" w:color="auto"/>
              <w:right w:val="single" w:sz="4" w:space="0" w:color="auto"/>
            </w:tcBorders>
            <w:vAlign w:val="center"/>
            <w:hideMark/>
          </w:tcPr>
          <w:p w14:paraId="6F74DAC5"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Strong control, but high liability of foreignness</w:t>
            </w:r>
          </w:p>
        </w:tc>
        <w:tc>
          <w:tcPr>
            <w:tcW w:w="2200" w:type="dxa"/>
            <w:tcBorders>
              <w:top w:val="nil"/>
              <w:left w:val="nil"/>
              <w:bottom w:val="single" w:sz="4" w:space="0" w:color="auto"/>
              <w:right w:val="single" w:sz="4" w:space="0" w:color="auto"/>
            </w:tcBorders>
            <w:vAlign w:val="center"/>
            <w:hideMark/>
          </w:tcPr>
          <w:p w14:paraId="70F9BAB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Possible later stage</w:t>
            </w:r>
          </w:p>
        </w:tc>
      </w:tr>
      <w:tr w:rsidR="001D70C7" w:rsidRPr="001D4BC4" w14:paraId="33FDAB70" w14:textId="77777777" w:rsidTr="00484523">
        <w:trPr>
          <w:trHeight w:val="300"/>
        </w:trPr>
        <w:tc>
          <w:tcPr>
            <w:tcW w:w="2200" w:type="dxa"/>
            <w:tcBorders>
              <w:top w:val="nil"/>
              <w:left w:val="single" w:sz="4" w:space="0" w:color="auto"/>
              <w:bottom w:val="single" w:sz="4" w:space="0" w:color="auto"/>
              <w:right w:val="single" w:sz="4" w:space="0" w:color="auto"/>
            </w:tcBorders>
            <w:vAlign w:val="center"/>
            <w:hideMark/>
          </w:tcPr>
          <w:p w14:paraId="284D291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JV (recommended)</w:t>
            </w:r>
          </w:p>
        </w:tc>
        <w:tc>
          <w:tcPr>
            <w:tcW w:w="960" w:type="dxa"/>
            <w:tcBorders>
              <w:top w:val="nil"/>
              <w:left w:val="nil"/>
              <w:bottom w:val="single" w:sz="4" w:space="0" w:color="auto"/>
              <w:right w:val="single" w:sz="4" w:space="0" w:color="auto"/>
            </w:tcBorders>
            <w:vAlign w:val="center"/>
            <w:hideMark/>
          </w:tcPr>
          <w:p w14:paraId="332EA60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Shared</w:t>
            </w:r>
          </w:p>
        </w:tc>
        <w:tc>
          <w:tcPr>
            <w:tcW w:w="960" w:type="dxa"/>
            <w:tcBorders>
              <w:top w:val="nil"/>
              <w:left w:val="nil"/>
              <w:bottom w:val="single" w:sz="4" w:space="0" w:color="auto"/>
              <w:right w:val="single" w:sz="4" w:space="0" w:color="auto"/>
            </w:tcBorders>
            <w:vAlign w:val="center"/>
            <w:hideMark/>
          </w:tcPr>
          <w:p w14:paraId="1FA3733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Medium</w:t>
            </w:r>
          </w:p>
        </w:tc>
        <w:tc>
          <w:tcPr>
            <w:tcW w:w="960" w:type="dxa"/>
            <w:tcBorders>
              <w:top w:val="nil"/>
              <w:left w:val="nil"/>
              <w:bottom w:val="single" w:sz="4" w:space="0" w:color="auto"/>
              <w:right w:val="single" w:sz="4" w:space="0" w:color="auto"/>
            </w:tcBorders>
            <w:vAlign w:val="center"/>
            <w:hideMark/>
          </w:tcPr>
          <w:p w14:paraId="5C87F2AD"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Medium</w:t>
            </w:r>
          </w:p>
        </w:tc>
        <w:tc>
          <w:tcPr>
            <w:tcW w:w="2340" w:type="dxa"/>
            <w:tcBorders>
              <w:top w:val="nil"/>
              <w:left w:val="nil"/>
              <w:bottom w:val="single" w:sz="4" w:space="0" w:color="auto"/>
              <w:right w:val="single" w:sz="4" w:space="0" w:color="auto"/>
            </w:tcBorders>
            <w:vAlign w:val="center"/>
            <w:hideMark/>
          </w:tcPr>
          <w:p w14:paraId="6675ADB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Combines Costco capabilities with local knowledge</w:t>
            </w:r>
          </w:p>
        </w:tc>
        <w:tc>
          <w:tcPr>
            <w:tcW w:w="2200" w:type="dxa"/>
            <w:tcBorders>
              <w:top w:val="nil"/>
              <w:left w:val="nil"/>
              <w:bottom w:val="single" w:sz="4" w:space="0" w:color="auto"/>
              <w:right w:val="single" w:sz="4" w:space="0" w:color="auto"/>
            </w:tcBorders>
            <w:vAlign w:val="center"/>
            <w:hideMark/>
          </w:tcPr>
          <w:p w14:paraId="4B9526C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Recommended initial mode</w:t>
            </w:r>
          </w:p>
        </w:tc>
      </w:tr>
    </w:tbl>
    <w:p w14:paraId="4FBADCFF" w14:textId="77777777" w:rsidR="001D70C7" w:rsidRPr="001D4BC4" w:rsidRDefault="001D70C7" w:rsidP="001D4BC4">
      <w:pPr>
        <w:spacing w:line="360" w:lineRule="auto"/>
        <w:rPr>
          <w:rFonts w:ascii="Arial" w:hAnsi="Arial" w:cs="Arial"/>
          <w:sz w:val="22"/>
          <w:szCs w:val="22"/>
        </w:rPr>
      </w:pPr>
    </w:p>
    <w:p w14:paraId="307FDD2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Source: Author’s own analysis based on international business theory (2025).</w:t>
      </w:r>
    </w:p>
    <w:p w14:paraId="34534EA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Four main entry modes are relevant: exporting, franchising, wholly owned subsidiary (WOS) and joint venture (JV).</w:t>
      </w:r>
    </w:p>
    <w:p w14:paraId="7AFDF6D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Exporting</w:t>
      </w:r>
    </w:p>
    <w:p w14:paraId="7BF3BEE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Exporting directly from existing Costco warehouses or from third countries to India is not a viable primary strategy. High tariffs on certain product categories, long lead times, complex customs procedures and the inability to deliver the core warehouse experience to customers make exporting unsuitable as a main mode. It may, however, play a complementary role for specific imported SKUs once warehouses exist.</w:t>
      </w:r>
    </w:p>
    <w:p w14:paraId="50F0205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Franchising</w:t>
      </w:r>
    </w:p>
    <w:p w14:paraId="2715F49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Franchising allows rapid expansion with lower capital commitments for the franchisor, but it significantly weakens strategic and operational control. Costco's model relies on tight control over pricing, assortment, product quality and customer experience. Allowing franchisees to operate warehouses risks inconsistent execution and could damage the membership value proposition. International retail literature also notes that franchising can be problematic when brand reputation and standardisation are critical (Hill et al., 2021). Consequently, franchising is not aligned with Costco’s strategic priorities.</w:t>
      </w:r>
    </w:p>
    <w:p w14:paraId="1054FAC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Wholly Owned Subsidiary (WOS)</w:t>
      </w:r>
    </w:p>
    <w:p w14:paraId="2726824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 WOS via a greenfield investment or acquisition would grant Costco complete control over its Indian operations. India’s FDI regime in cash-and-carry wholesale technically permits 100 per cent foreign ownership (DPIIT, 2024). However, entering a complex, institutionally different environment without local partners increases liability of foreignness (Zaheer, 1995). Costco would bear full responsibility for navigating local regulations, political dynamics, consumer preferences and supply-chain challenges. This high-control, high-risk mode may be more suitable once learning has been accumulated.</w:t>
      </w:r>
    </w:p>
    <w:p w14:paraId="0B60EF02"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Joint Venture (JV) – Recommended</w:t>
      </w:r>
    </w:p>
    <w:p w14:paraId="20BDD3F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A joint venture with a major Indian conglomerate—such as Tata, Reliance, or Aditya Birla—combines Costco’s firm-specific advantages (procurement, warehouse know-how, and membership model) with a local partner’s market knowledge, political connections, and distribution networks. International business research suggests that JVs can be particularly </w:t>
      </w:r>
      <w:r w:rsidRPr="001D4BC4">
        <w:rPr>
          <w:rFonts w:ascii="Arial" w:hAnsi="Arial" w:cs="Arial"/>
          <w:sz w:val="22"/>
          <w:szCs w:val="22"/>
        </w:rPr>
        <w:lastRenderedPageBreak/>
        <w:t>effective in large emerging markets where institutional distance is high and local partner knowledge is critical (Luo, 2002). A JV can:</w:t>
      </w:r>
    </w:p>
    <w:p w14:paraId="2D790245" w14:textId="77777777" w:rsidR="00DD49E2" w:rsidRPr="001D4BC4" w:rsidRDefault="00DD49E2" w:rsidP="001D4BC4">
      <w:pPr>
        <w:pStyle w:val="ListParagraph"/>
        <w:numPr>
          <w:ilvl w:val="0"/>
          <w:numId w:val="1"/>
        </w:numPr>
        <w:spacing w:line="360" w:lineRule="auto"/>
        <w:rPr>
          <w:rFonts w:ascii="Arial" w:hAnsi="Arial" w:cs="Arial"/>
          <w:sz w:val="22"/>
          <w:szCs w:val="22"/>
        </w:rPr>
      </w:pPr>
      <w:r w:rsidRPr="001D4BC4">
        <w:rPr>
          <w:rFonts w:ascii="Arial" w:hAnsi="Arial" w:cs="Arial"/>
          <w:sz w:val="22"/>
          <w:szCs w:val="22"/>
        </w:rPr>
        <w:t>to accelerate land acquisition and regulatory approvals.</w:t>
      </w:r>
    </w:p>
    <w:p w14:paraId="1658E79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Utilise established local supplier and logistics networks.</w:t>
      </w:r>
    </w:p>
    <w:p w14:paraId="6BBA1DA4" w14:textId="6E7EA4EC"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o </w:t>
      </w:r>
      <w:r w:rsidR="00C41ACA" w:rsidRPr="001D4BC4">
        <w:rPr>
          <w:rFonts w:ascii="Arial" w:hAnsi="Arial" w:cs="Arial"/>
          <w:sz w:val="22"/>
          <w:szCs w:val="22"/>
        </w:rPr>
        <w:t>shares</w:t>
      </w:r>
      <w:r w:rsidRPr="001D4BC4">
        <w:rPr>
          <w:rFonts w:ascii="Arial" w:hAnsi="Arial" w:cs="Arial"/>
          <w:sz w:val="22"/>
          <w:szCs w:val="22"/>
        </w:rPr>
        <w:t xml:space="preserve"> financial risk and capital expenditure; and</w:t>
      </w:r>
    </w:p>
    <w:p w14:paraId="5E1011D7" w14:textId="1CB51AEA"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o </w:t>
      </w:r>
      <w:r w:rsidR="00C41ACA" w:rsidRPr="001D4BC4">
        <w:rPr>
          <w:rFonts w:ascii="Arial" w:hAnsi="Arial" w:cs="Arial"/>
          <w:sz w:val="22"/>
          <w:szCs w:val="22"/>
        </w:rPr>
        <w:t>facilitates</w:t>
      </w:r>
      <w:r w:rsidRPr="001D4BC4">
        <w:rPr>
          <w:rFonts w:ascii="Arial" w:hAnsi="Arial" w:cs="Arial"/>
          <w:sz w:val="22"/>
          <w:szCs w:val="22"/>
        </w:rPr>
        <w:t xml:space="preserve"> cultural adaptation in HR and marketing.</w:t>
      </w:r>
    </w:p>
    <w:p w14:paraId="2989494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 phased JV, with options for Costco to increase its equity stake over time as the venture matures, offers an optimal balance between control and risk mitigation.</w:t>
      </w:r>
    </w:p>
    <w:p w14:paraId="12CD49BE" w14:textId="4EBDB441" w:rsidR="00DD49E2" w:rsidRPr="001D4BC4" w:rsidRDefault="004F566C" w:rsidP="001D4BC4">
      <w:pPr>
        <w:pStyle w:val="Heading2"/>
        <w:spacing w:line="360" w:lineRule="auto"/>
        <w:rPr>
          <w:rFonts w:ascii="Arial" w:hAnsi="Arial" w:cs="Arial"/>
        </w:rPr>
      </w:pPr>
      <w:bookmarkStart w:id="16" w:name="_Toc215316701"/>
      <w:r w:rsidRPr="001D4BC4">
        <w:rPr>
          <w:rFonts w:ascii="Arial" w:hAnsi="Arial" w:cs="Arial"/>
        </w:rPr>
        <w:t>4</w:t>
      </w:r>
      <w:r w:rsidR="00DD49E2" w:rsidRPr="001D4BC4">
        <w:rPr>
          <w:rFonts w:ascii="Arial" w:hAnsi="Arial" w:cs="Arial"/>
        </w:rPr>
        <w:t>.2 Ansoff Matrix</w:t>
      </w:r>
      <w:r w:rsidRPr="001D4BC4">
        <w:rPr>
          <w:rFonts w:ascii="Arial" w:hAnsi="Arial" w:cs="Arial"/>
        </w:rPr>
        <w:t xml:space="preserve"> Application</w:t>
      </w:r>
      <w:bookmarkEnd w:id="16"/>
    </w:p>
    <w:p w14:paraId="6892B7CA" w14:textId="49B8B9BC"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Ansoff’s (1957) Matrix categorises growth </w:t>
      </w:r>
      <w:r w:rsidR="00DE4E64" w:rsidRPr="001D4BC4">
        <w:rPr>
          <w:rFonts w:ascii="Arial" w:hAnsi="Arial" w:cs="Arial"/>
          <w:sz w:val="22"/>
          <w:szCs w:val="22"/>
        </w:rPr>
        <w:t>strategies such</w:t>
      </w:r>
      <w:r w:rsidRPr="001D4BC4">
        <w:rPr>
          <w:rFonts w:ascii="Arial" w:hAnsi="Arial" w:cs="Arial"/>
          <w:sz w:val="22"/>
          <w:szCs w:val="22"/>
        </w:rPr>
        <w:t xml:space="preserve"> as market penetration, market development, product development or diversification. Costco’s expansion into India constitutes primarily market development: the company introduces its existing warehouse club concept and broad product categories into a new geographic market.</w:t>
      </w:r>
    </w:p>
    <w:p w14:paraId="5FA1C24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While some adaptation of product range (local staples, regional brands) and format (for example, business centre vs. standard warehouse) will be necessary, the underlying competencies—global sourcing, membership economics, and cost-efficient operations—remain the same. Market development carries moderate strategic risk: higher than deepening presence in existing markets, but lower than diversifying into new product categories or unrelated businesses. Costco’s track record of entering culturally distant markets such as Japan, Korea and China suggests that it has accumulated relevant internationalisation experience, reducing risk.</w:t>
      </w:r>
    </w:p>
    <w:p w14:paraId="5BA82930" w14:textId="7B007263" w:rsidR="00DD49E2" w:rsidRPr="001D4BC4" w:rsidRDefault="004F566C" w:rsidP="001D4BC4">
      <w:pPr>
        <w:pStyle w:val="Heading2"/>
        <w:spacing w:line="360" w:lineRule="auto"/>
        <w:rPr>
          <w:rFonts w:ascii="Arial" w:hAnsi="Arial" w:cs="Arial"/>
        </w:rPr>
      </w:pPr>
      <w:bookmarkStart w:id="17" w:name="_Toc215316702"/>
      <w:r w:rsidRPr="001D4BC4">
        <w:rPr>
          <w:rFonts w:ascii="Arial" w:hAnsi="Arial" w:cs="Arial"/>
        </w:rPr>
        <w:t>4</w:t>
      </w:r>
      <w:r w:rsidR="00DD49E2" w:rsidRPr="001D4BC4">
        <w:rPr>
          <w:rFonts w:ascii="Arial" w:hAnsi="Arial" w:cs="Arial"/>
        </w:rPr>
        <w:t>.3 Porter’s Generic Strategies: Cost Leadership with Selective Differentiation</w:t>
      </w:r>
      <w:bookmarkEnd w:id="17"/>
    </w:p>
    <w:p w14:paraId="5D410422"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Porter (1980) identifies cost leadership, differentiation and focus as three generic strategies. Costco is a textbook example of cost leadership, achieved via economies of scale, tight cost control and operational efficiency. In India, this remains the cornerstone of its competitive strategy:</w:t>
      </w:r>
    </w:p>
    <w:p w14:paraId="22486332" w14:textId="4C4A21BC" w:rsidR="00DD49E2" w:rsidRPr="001D4BC4" w:rsidRDefault="00DE4E64" w:rsidP="001D4BC4">
      <w:pPr>
        <w:spacing w:line="360" w:lineRule="auto"/>
        <w:rPr>
          <w:rFonts w:ascii="Arial" w:hAnsi="Arial" w:cs="Arial"/>
          <w:sz w:val="22"/>
          <w:szCs w:val="22"/>
        </w:rPr>
      </w:pPr>
      <w:r w:rsidRPr="001D4BC4">
        <w:rPr>
          <w:rFonts w:ascii="Arial" w:hAnsi="Arial" w:cs="Arial"/>
          <w:sz w:val="22"/>
          <w:szCs w:val="22"/>
        </w:rPr>
        <w:t>bulk source</w:t>
      </w:r>
      <w:r w:rsidR="00DD49E2" w:rsidRPr="001D4BC4">
        <w:rPr>
          <w:rFonts w:ascii="Arial" w:hAnsi="Arial" w:cs="Arial"/>
          <w:sz w:val="22"/>
          <w:szCs w:val="22"/>
        </w:rPr>
        <w:t xml:space="preserve"> from domestic and international suppliers.</w:t>
      </w:r>
    </w:p>
    <w:p w14:paraId="4E123CA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standardised warehouses designed for low cost per unit of sales.</w:t>
      </w:r>
    </w:p>
    <w:p w14:paraId="2CAD6AB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limited SKUs and minimal non-essential services.</w:t>
      </w:r>
    </w:p>
    <w:p w14:paraId="13E3FA7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However, pure cost competition may be insufficient because local players such as D-Mart and kirana stores already operate on extremely thin margins. Costco therefore needs selective differentiation in areas aligned with its global formula:</w:t>
      </w:r>
    </w:p>
    <w:p w14:paraId="2C0BCCF2"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Perceived quality and trust – strong quality assurance and food safety, particularly important given public concerns about adulteration and counterfeit products.</w:t>
      </w:r>
    </w:p>
    <w:p w14:paraId="5BC2181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Membership benefits – clear, transparent returns policies; exclusive deals; and potential co-branded credit cards or digital wallet integrations.</w:t>
      </w:r>
    </w:p>
    <w:p w14:paraId="4023CCD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Unique product mix – imported goods and Kirkland Signature items unavailable elsewhere.</w:t>
      </w:r>
    </w:p>
    <w:p w14:paraId="3876A98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recommended competitive approach is thus “cost leadership with a focused differentiation element” aimed at urban middle-class households and business customers seeking value, reliability and selection in bulk formats.</w:t>
      </w:r>
    </w:p>
    <w:p w14:paraId="3B517954" w14:textId="07B48E9F" w:rsidR="00DD49E2" w:rsidRPr="001D4BC4" w:rsidRDefault="004F566C" w:rsidP="001D4BC4">
      <w:pPr>
        <w:pStyle w:val="Heading2"/>
        <w:spacing w:line="360" w:lineRule="auto"/>
        <w:rPr>
          <w:rFonts w:ascii="Arial" w:hAnsi="Arial" w:cs="Arial"/>
        </w:rPr>
      </w:pPr>
      <w:bookmarkStart w:id="18" w:name="_Toc215316703"/>
      <w:r w:rsidRPr="001D4BC4">
        <w:rPr>
          <w:rFonts w:ascii="Arial" w:hAnsi="Arial" w:cs="Arial"/>
        </w:rPr>
        <w:t>4</w:t>
      </w:r>
      <w:r w:rsidR="00DD49E2" w:rsidRPr="001D4BC4">
        <w:rPr>
          <w:rFonts w:ascii="Arial" w:hAnsi="Arial" w:cs="Arial"/>
        </w:rPr>
        <w:t>.4 VRIO Framework: Resources and Capabilities</w:t>
      </w:r>
      <w:bookmarkEnd w:id="18"/>
    </w:p>
    <w:p w14:paraId="3FA85F96"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VRIO Table</w:t>
      </w:r>
    </w:p>
    <w:tbl>
      <w:tblPr>
        <w:tblW w:w="8240" w:type="dxa"/>
        <w:tblLook w:val="04A0" w:firstRow="1" w:lastRow="0" w:firstColumn="1" w:lastColumn="0" w:noHBand="0" w:noVBand="1"/>
      </w:tblPr>
      <w:tblGrid>
        <w:gridCol w:w="3210"/>
        <w:gridCol w:w="363"/>
        <w:gridCol w:w="400"/>
        <w:gridCol w:w="400"/>
        <w:gridCol w:w="388"/>
        <w:gridCol w:w="3479"/>
      </w:tblGrid>
      <w:tr w:rsidR="001D70C7" w:rsidRPr="001D4BC4" w14:paraId="0616898E" w14:textId="77777777" w:rsidTr="00484523">
        <w:trPr>
          <w:trHeight w:val="300"/>
        </w:trPr>
        <w:tc>
          <w:tcPr>
            <w:tcW w:w="3440" w:type="dxa"/>
            <w:tcBorders>
              <w:top w:val="single" w:sz="4" w:space="0" w:color="auto"/>
              <w:left w:val="single" w:sz="4" w:space="0" w:color="auto"/>
              <w:bottom w:val="single" w:sz="4" w:space="0" w:color="auto"/>
              <w:right w:val="single" w:sz="4" w:space="0" w:color="auto"/>
            </w:tcBorders>
            <w:vAlign w:val="center"/>
            <w:hideMark/>
          </w:tcPr>
          <w:p w14:paraId="3361EAB7"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Resource / Capability</w:t>
            </w:r>
          </w:p>
        </w:tc>
        <w:tc>
          <w:tcPr>
            <w:tcW w:w="240" w:type="dxa"/>
            <w:tcBorders>
              <w:top w:val="single" w:sz="4" w:space="0" w:color="auto"/>
              <w:left w:val="nil"/>
              <w:bottom w:val="single" w:sz="4" w:space="0" w:color="auto"/>
              <w:right w:val="single" w:sz="4" w:space="0" w:color="auto"/>
            </w:tcBorders>
            <w:vAlign w:val="center"/>
            <w:hideMark/>
          </w:tcPr>
          <w:p w14:paraId="4E764B04"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V</w:t>
            </w:r>
          </w:p>
        </w:tc>
        <w:tc>
          <w:tcPr>
            <w:tcW w:w="280" w:type="dxa"/>
            <w:tcBorders>
              <w:top w:val="single" w:sz="4" w:space="0" w:color="auto"/>
              <w:left w:val="nil"/>
              <w:bottom w:val="single" w:sz="4" w:space="0" w:color="auto"/>
              <w:right w:val="single" w:sz="4" w:space="0" w:color="auto"/>
            </w:tcBorders>
            <w:vAlign w:val="center"/>
            <w:hideMark/>
          </w:tcPr>
          <w:p w14:paraId="2B28BECF"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R</w:t>
            </w:r>
          </w:p>
        </w:tc>
        <w:tc>
          <w:tcPr>
            <w:tcW w:w="280" w:type="dxa"/>
            <w:tcBorders>
              <w:top w:val="single" w:sz="4" w:space="0" w:color="auto"/>
              <w:left w:val="nil"/>
              <w:bottom w:val="single" w:sz="4" w:space="0" w:color="auto"/>
              <w:right w:val="single" w:sz="4" w:space="0" w:color="auto"/>
            </w:tcBorders>
            <w:vAlign w:val="center"/>
            <w:hideMark/>
          </w:tcPr>
          <w:p w14:paraId="552CC352"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I</w:t>
            </w:r>
          </w:p>
        </w:tc>
        <w:tc>
          <w:tcPr>
            <w:tcW w:w="260" w:type="dxa"/>
            <w:tcBorders>
              <w:top w:val="single" w:sz="4" w:space="0" w:color="auto"/>
              <w:left w:val="nil"/>
              <w:bottom w:val="single" w:sz="4" w:space="0" w:color="auto"/>
              <w:right w:val="single" w:sz="4" w:space="0" w:color="auto"/>
            </w:tcBorders>
            <w:vAlign w:val="center"/>
            <w:hideMark/>
          </w:tcPr>
          <w:p w14:paraId="314DFC81"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O</w:t>
            </w:r>
          </w:p>
        </w:tc>
        <w:tc>
          <w:tcPr>
            <w:tcW w:w="3740" w:type="dxa"/>
            <w:tcBorders>
              <w:top w:val="single" w:sz="4" w:space="0" w:color="auto"/>
              <w:left w:val="nil"/>
              <w:bottom w:val="single" w:sz="4" w:space="0" w:color="auto"/>
              <w:right w:val="single" w:sz="4" w:space="0" w:color="auto"/>
            </w:tcBorders>
            <w:vAlign w:val="center"/>
            <w:hideMark/>
          </w:tcPr>
          <w:p w14:paraId="17DCA0EE" w14:textId="77777777" w:rsidR="001D70C7" w:rsidRPr="001D4BC4" w:rsidRDefault="001D70C7" w:rsidP="001D4BC4">
            <w:pPr>
              <w:spacing w:after="0" w:line="360" w:lineRule="auto"/>
              <w:rPr>
                <w:rFonts w:ascii="Arial" w:eastAsia="Times New Roman" w:hAnsi="Arial" w:cs="Arial"/>
                <w:b/>
                <w:bCs/>
                <w:color w:val="000000"/>
                <w:kern w:val="0"/>
                <w:sz w:val="22"/>
                <w:szCs w:val="22"/>
                <w14:ligatures w14:val="none"/>
              </w:rPr>
            </w:pPr>
            <w:r w:rsidRPr="001D4BC4">
              <w:rPr>
                <w:rFonts w:ascii="Arial" w:eastAsia="Times New Roman" w:hAnsi="Arial" w:cs="Arial"/>
                <w:b/>
                <w:bCs/>
                <w:color w:val="000000"/>
                <w:kern w:val="0"/>
                <w:sz w:val="22"/>
                <w:szCs w:val="22"/>
                <w14:ligatures w14:val="none"/>
              </w:rPr>
              <w:t>Competitive Implication</w:t>
            </w:r>
          </w:p>
        </w:tc>
      </w:tr>
      <w:tr w:rsidR="001D70C7" w:rsidRPr="001D4BC4" w14:paraId="2523452D" w14:textId="77777777" w:rsidTr="00484523">
        <w:trPr>
          <w:trHeight w:val="300"/>
        </w:trPr>
        <w:tc>
          <w:tcPr>
            <w:tcW w:w="3440" w:type="dxa"/>
            <w:tcBorders>
              <w:top w:val="nil"/>
              <w:left w:val="single" w:sz="4" w:space="0" w:color="auto"/>
              <w:bottom w:val="single" w:sz="4" w:space="0" w:color="auto"/>
              <w:right w:val="single" w:sz="4" w:space="0" w:color="auto"/>
            </w:tcBorders>
            <w:vAlign w:val="center"/>
            <w:hideMark/>
          </w:tcPr>
          <w:p w14:paraId="29A7BDD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Global procurement scale</w:t>
            </w:r>
          </w:p>
        </w:tc>
        <w:tc>
          <w:tcPr>
            <w:tcW w:w="240" w:type="dxa"/>
            <w:tcBorders>
              <w:top w:val="nil"/>
              <w:left w:val="nil"/>
              <w:bottom w:val="single" w:sz="4" w:space="0" w:color="auto"/>
              <w:right w:val="single" w:sz="4" w:space="0" w:color="auto"/>
            </w:tcBorders>
            <w:vAlign w:val="center"/>
            <w:hideMark/>
          </w:tcPr>
          <w:p w14:paraId="2329BB5E"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1305C0B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5EBF15D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w:t>
            </w:r>
          </w:p>
        </w:tc>
        <w:tc>
          <w:tcPr>
            <w:tcW w:w="260" w:type="dxa"/>
            <w:tcBorders>
              <w:top w:val="nil"/>
              <w:left w:val="nil"/>
              <w:bottom w:val="single" w:sz="4" w:space="0" w:color="auto"/>
              <w:right w:val="single" w:sz="4" w:space="0" w:color="auto"/>
            </w:tcBorders>
            <w:vAlign w:val="center"/>
            <w:hideMark/>
          </w:tcPr>
          <w:p w14:paraId="63B54EB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3740" w:type="dxa"/>
            <w:tcBorders>
              <w:top w:val="nil"/>
              <w:left w:val="nil"/>
              <w:bottom w:val="single" w:sz="4" w:space="0" w:color="auto"/>
              <w:right w:val="single" w:sz="4" w:space="0" w:color="auto"/>
            </w:tcBorders>
            <w:vAlign w:val="center"/>
            <w:hideMark/>
          </w:tcPr>
          <w:p w14:paraId="3D98ACA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Temporary advantage</w:t>
            </w:r>
          </w:p>
        </w:tc>
      </w:tr>
      <w:tr w:rsidR="001D70C7" w:rsidRPr="001D4BC4" w14:paraId="1D31B0BE" w14:textId="77777777" w:rsidTr="00484523">
        <w:trPr>
          <w:trHeight w:val="300"/>
        </w:trPr>
        <w:tc>
          <w:tcPr>
            <w:tcW w:w="3440" w:type="dxa"/>
            <w:tcBorders>
              <w:top w:val="nil"/>
              <w:left w:val="single" w:sz="4" w:space="0" w:color="auto"/>
              <w:bottom w:val="single" w:sz="4" w:space="0" w:color="auto"/>
              <w:right w:val="single" w:sz="4" w:space="0" w:color="auto"/>
            </w:tcBorders>
            <w:vAlign w:val="center"/>
            <w:hideMark/>
          </w:tcPr>
          <w:p w14:paraId="55219B06"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Membership model</w:t>
            </w:r>
          </w:p>
        </w:tc>
        <w:tc>
          <w:tcPr>
            <w:tcW w:w="240" w:type="dxa"/>
            <w:tcBorders>
              <w:top w:val="nil"/>
              <w:left w:val="nil"/>
              <w:bottom w:val="single" w:sz="4" w:space="0" w:color="auto"/>
              <w:right w:val="single" w:sz="4" w:space="0" w:color="auto"/>
            </w:tcBorders>
            <w:vAlign w:val="center"/>
            <w:hideMark/>
          </w:tcPr>
          <w:p w14:paraId="0545208E"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47FEA63A"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0F3BD338"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60" w:type="dxa"/>
            <w:tcBorders>
              <w:top w:val="nil"/>
              <w:left w:val="nil"/>
              <w:bottom w:val="single" w:sz="4" w:space="0" w:color="auto"/>
              <w:right w:val="single" w:sz="4" w:space="0" w:color="auto"/>
            </w:tcBorders>
            <w:vAlign w:val="center"/>
            <w:hideMark/>
          </w:tcPr>
          <w:p w14:paraId="0522BE26"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3740" w:type="dxa"/>
            <w:tcBorders>
              <w:top w:val="nil"/>
              <w:left w:val="nil"/>
              <w:bottom w:val="single" w:sz="4" w:space="0" w:color="auto"/>
              <w:right w:val="single" w:sz="4" w:space="0" w:color="auto"/>
            </w:tcBorders>
            <w:vAlign w:val="center"/>
            <w:hideMark/>
          </w:tcPr>
          <w:p w14:paraId="20E5712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Sustained advantage</w:t>
            </w:r>
          </w:p>
        </w:tc>
      </w:tr>
      <w:tr w:rsidR="001D70C7" w:rsidRPr="001D4BC4" w14:paraId="212E00F0" w14:textId="77777777" w:rsidTr="00484523">
        <w:trPr>
          <w:trHeight w:val="300"/>
        </w:trPr>
        <w:tc>
          <w:tcPr>
            <w:tcW w:w="3440" w:type="dxa"/>
            <w:tcBorders>
              <w:top w:val="nil"/>
              <w:left w:val="single" w:sz="4" w:space="0" w:color="auto"/>
              <w:bottom w:val="single" w:sz="4" w:space="0" w:color="auto"/>
              <w:right w:val="single" w:sz="4" w:space="0" w:color="auto"/>
            </w:tcBorders>
            <w:vAlign w:val="center"/>
            <w:hideMark/>
          </w:tcPr>
          <w:p w14:paraId="165633E1"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Kirkland Signature brand</w:t>
            </w:r>
          </w:p>
        </w:tc>
        <w:tc>
          <w:tcPr>
            <w:tcW w:w="240" w:type="dxa"/>
            <w:tcBorders>
              <w:top w:val="nil"/>
              <w:left w:val="nil"/>
              <w:bottom w:val="single" w:sz="4" w:space="0" w:color="auto"/>
              <w:right w:val="single" w:sz="4" w:space="0" w:color="auto"/>
            </w:tcBorders>
            <w:vAlign w:val="center"/>
            <w:hideMark/>
          </w:tcPr>
          <w:p w14:paraId="041103D3"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1BCC7B43"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0EA1895E"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60" w:type="dxa"/>
            <w:tcBorders>
              <w:top w:val="nil"/>
              <w:left w:val="nil"/>
              <w:bottom w:val="single" w:sz="4" w:space="0" w:color="auto"/>
              <w:right w:val="single" w:sz="4" w:space="0" w:color="auto"/>
            </w:tcBorders>
            <w:vAlign w:val="center"/>
            <w:hideMark/>
          </w:tcPr>
          <w:p w14:paraId="661F8E53"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3740" w:type="dxa"/>
            <w:tcBorders>
              <w:top w:val="nil"/>
              <w:left w:val="nil"/>
              <w:bottom w:val="single" w:sz="4" w:space="0" w:color="auto"/>
              <w:right w:val="single" w:sz="4" w:space="0" w:color="auto"/>
            </w:tcBorders>
            <w:vAlign w:val="center"/>
            <w:hideMark/>
          </w:tcPr>
          <w:p w14:paraId="63A3E250"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Sustained advantage</w:t>
            </w:r>
          </w:p>
        </w:tc>
      </w:tr>
      <w:tr w:rsidR="001D70C7" w:rsidRPr="001D4BC4" w14:paraId="784A7E23" w14:textId="77777777" w:rsidTr="00484523">
        <w:trPr>
          <w:trHeight w:val="300"/>
        </w:trPr>
        <w:tc>
          <w:tcPr>
            <w:tcW w:w="3440" w:type="dxa"/>
            <w:tcBorders>
              <w:top w:val="nil"/>
              <w:left w:val="single" w:sz="4" w:space="0" w:color="auto"/>
              <w:bottom w:val="single" w:sz="4" w:space="0" w:color="auto"/>
              <w:right w:val="single" w:sz="4" w:space="0" w:color="auto"/>
            </w:tcBorders>
            <w:vAlign w:val="center"/>
            <w:hideMark/>
          </w:tcPr>
          <w:p w14:paraId="7CE6C3E9"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Warehouse operating know-how</w:t>
            </w:r>
          </w:p>
        </w:tc>
        <w:tc>
          <w:tcPr>
            <w:tcW w:w="240" w:type="dxa"/>
            <w:tcBorders>
              <w:top w:val="nil"/>
              <w:left w:val="nil"/>
              <w:bottom w:val="single" w:sz="4" w:space="0" w:color="auto"/>
              <w:right w:val="single" w:sz="4" w:space="0" w:color="auto"/>
            </w:tcBorders>
            <w:vAlign w:val="center"/>
            <w:hideMark/>
          </w:tcPr>
          <w:p w14:paraId="3BF6C1D9"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04777395"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w:t>
            </w:r>
          </w:p>
        </w:tc>
        <w:tc>
          <w:tcPr>
            <w:tcW w:w="280" w:type="dxa"/>
            <w:tcBorders>
              <w:top w:val="nil"/>
              <w:left w:val="nil"/>
              <w:bottom w:val="single" w:sz="4" w:space="0" w:color="auto"/>
              <w:right w:val="single" w:sz="4" w:space="0" w:color="auto"/>
            </w:tcBorders>
            <w:vAlign w:val="center"/>
            <w:hideMark/>
          </w:tcPr>
          <w:p w14:paraId="7599D51F"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w:t>
            </w:r>
          </w:p>
        </w:tc>
        <w:tc>
          <w:tcPr>
            <w:tcW w:w="260" w:type="dxa"/>
            <w:tcBorders>
              <w:top w:val="nil"/>
              <w:left w:val="nil"/>
              <w:bottom w:val="single" w:sz="4" w:space="0" w:color="auto"/>
              <w:right w:val="single" w:sz="4" w:space="0" w:color="auto"/>
            </w:tcBorders>
            <w:vAlign w:val="center"/>
            <w:hideMark/>
          </w:tcPr>
          <w:p w14:paraId="2991F6BB"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3740" w:type="dxa"/>
            <w:tcBorders>
              <w:top w:val="nil"/>
              <w:left w:val="nil"/>
              <w:bottom w:val="single" w:sz="4" w:space="0" w:color="auto"/>
              <w:right w:val="single" w:sz="4" w:space="0" w:color="auto"/>
            </w:tcBorders>
            <w:vAlign w:val="center"/>
            <w:hideMark/>
          </w:tcPr>
          <w:p w14:paraId="5FB33022"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Significant, but imitable over time</w:t>
            </w:r>
          </w:p>
        </w:tc>
      </w:tr>
      <w:tr w:rsidR="001D70C7" w:rsidRPr="001D4BC4" w14:paraId="441491A6" w14:textId="77777777" w:rsidTr="00484523">
        <w:trPr>
          <w:trHeight w:val="300"/>
        </w:trPr>
        <w:tc>
          <w:tcPr>
            <w:tcW w:w="3440" w:type="dxa"/>
            <w:tcBorders>
              <w:top w:val="nil"/>
              <w:left w:val="single" w:sz="4" w:space="0" w:color="auto"/>
              <w:bottom w:val="single" w:sz="4" w:space="0" w:color="auto"/>
              <w:right w:val="single" w:sz="4" w:space="0" w:color="auto"/>
            </w:tcBorders>
            <w:vAlign w:val="center"/>
            <w:hideMark/>
          </w:tcPr>
          <w:p w14:paraId="5CD5F33C"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International expansion experience</w:t>
            </w:r>
          </w:p>
        </w:tc>
        <w:tc>
          <w:tcPr>
            <w:tcW w:w="240" w:type="dxa"/>
            <w:tcBorders>
              <w:top w:val="nil"/>
              <w:left w:val="nil"/>
              <w:bottom w:val="single" w:sz="4" w:space="0" w:color="auto"/>
              <w:right w:val="single" w:sz="4" w:space="0" w:color="auto"/>
            </w:tcBorders>
            <w:vAlign w:val="center"/>
            <w:hideMark/>
          </w:tcPr>
          <w:p w14:paraId="16E11BA4"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280" w:type="dxa"/>
            <w:tcBorders>
              <w:top w:val="nil"/>
              <w:left w:val="nil"/>
              <w:bottom w:val="single" w:sz="4" w:space="0" w:color="auto"/>
              <w:right w:val="single" w:sz="4" w:space="0" w:color="auto"/>
            </w:tcBorders>
            <w:vAlign w:val="center"/>
            <w:hideMark/>
          </w:tcPr>
          <w:p w14:paraId="54EE2A0F"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w:t>
            </w:r>
          </w:p>
        </w:tc>
        <w:tc>
          <w:tcPr>
            <w:tcW w:w="280" w:type="dxa"/>
            <w:tcBorders>
              <w:top w:val="nil"/>
              <w:left w:val="nil"/>
              <w:bottom w:val="single" w:sz="4" w:space="0" w:color="auto"/>
              <w:right w:val="single" w:sz="4" w:space="0" w:color="auto"/>
            </w:tcBorders>
            <w:vAlign w:val="center"/>
            <w:hideMark/>
          </w:tcPr>
          <w:p w14:paraId="4FD0663A"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M</w:t>
            </w:r>
          </w:p>
        </w:tc>
        <w:tc>
          <w:tcPr>
            <w:tcW w:w="260" w:type="dxa"/>
            <w:tcBorders>
              <w:top w:val="nil"/>
              <w:left w:val="nil"/>
              <w:bottom w:val="single" w:sz="4" w:space="0" w:color="auto"/>
              <w:right w:val="single" w:sz="4" w:space="0" w:color="auto"/>
            </w:tcBorders>
            <w:vAlign w:val="center"/>
            <w:hideMark/>
          </w:tcPr>
          <w:p w14:paraId="08EEA4AD"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Y</w:t>
            </w:r>
          </w:p>
        </w:tc>
        <w:tc>
          <w:tcPr>
            <w:tcW w:w="3740" w:type="dxa"/>
            <w:tcBorders>
              <w:top w:val="nil"/>
              <w:left w:val="nil"/>
              <w:bottom w:val="single" w:sz="4" w:space="0" w:color="auto"/>
              <w:right w:val="single" w:sz="4" w:space="0" w:color="auto"/>
            </w:tcBorders>
            <w:vAlign w:val="center"/>
            <w:hideMark/>
          </w:tcPr>
          <w:p w14:paraId="46304003" w14:textId="77777777" w:rsidR="001D70C7" w:rsidRPr="001D4BC4" w:rsidRDefault="001D70C7" w:rsidP="001D4BC4">
            <w:pPr>
              <w:spacing w:after="0" w:line="360" w:lineRule="auto"/>
              <w:rPr>
                <w:rFonts w:ascii="Arial" w:eastAsia="Times New Roman" w:hAnsi="Arial" w:cs="Arial"/>
                <w:color w:val="000000"/>
                <w:kern w:val="0"/>
                <w:sz w:val="22"/>
                <w:szCs w:val="22"/>
                <w14:ligatures w14:val="none"/>
              </w:rPr>
            </w:pPr>
            <w:r w:rsidRPr="001D4BC4">
              <w:rPr>
                <w:rFonts w:ascii="Arial" w:eastAsia="Times New Roman" w:hAnsi="Arial" w:cs="Arial"/>
                <w:color w:val="000000"/>
                <w:kern w:val="0"/>
                <w:sz w:val="22"/>
                <w:szCs w:val="22"/>
                <w14:ligatures w14:val="none"/>
              </w:rPr>
              <w:t>Advantages in managing complex entry</w:t>
            </w:r>
          </w:p>
        </w:tc>
      </w:tr>
    </w:tbl>
    <w:p w14:paraId="75720CCC" w14:textId="77777777" w:rsidR="001D70C7" w:rsidRPr="001D4BC4" w:rsidRDefault="001D70C7" w:rsidP="001D4BC4">
      <w:pPr>
        <w:spacing w:line="360" w:lineRule="auto"/>
        <w:rPr>
          <w:rFonts w:ascii="Arial" w:hAnsi="Arial" w:cs="Arial"/>
          <w:sz w:val="22"/>
          <w:szCs w:val="22"/>
        </w:rPr>
      </w:pPr>
    </w:p>
    <w:p w14:paraId="6A99355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Source: Author’s own analysis, adapted from Barney (1991).</w:t>
      </w:r>
    </w:p>
    <w:p w14:paraId="2E177539" w14:textId="77777777" w:rsidR="001D70C7" w:rsidRPr="001D4BC4" w:rsidRDefault="001D70C7" w:rsidP="001D4BC4">
      <w:pPr>
        <w:spacing w:line="360" w:lineRule="auto"/>
        <w:rPr>
          <w:rFonts w:ascii="Arial" w:hAnsi="Arial" w:cs="Arial"/>
          <w:sz w:val="22"/>
          <w:szCs w:val="22"/>
        </w:rPr>
      </w:pPr>
    </w:p>
    <w:p w14:paraId="129FB82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Applying Barney’s (1991) VRIO framework to Costco in the Indian context highlights which resources can support sustained competitive advantage:</w:t>
      </w:r>
    </w:p>
    <w:p w14:paraId="146955F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Global procurement scale – Valuable and relatively rare in India; moderately imitable over time by large conglomerates; fully leveraged by Costco’s organisational systems. Likely to confer a temporary advantage.</w:t>
      </w:r>
    </w:p>
    <w:p w14:paraId="2813A060"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Membership model and loyalty economics – Valuable (stable, recurring revenue; higher switching costs), rare in India’s current retail landscape, difficult to imitate quickly because it depends on trust, systems and reputation, and well supported by Costco’s structure. Likely to offer a sustained advantage.</w:t>
      </w:r>
    </w:p>
    <w:p w14:paraId="13FC4CD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Efficient warehouse operations—valuable and partly rare; operational excellence can be imitated but requires time and investment; Costco is highly organised to exploit this. Provides a significant but not unique advantage.</w:t>
      </w:r>
    </w:p>
    <w:p w14:paraId="511C4592"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Kirkland Signature private label —valuable (quality and margin), rare and protected by brand equity and supplier contracts; difficult to imitate at scale; integrated into Costco’s global merchandising. Likely to support sustained competitive advantage.</w:t>
      </w:r>
    </w:p>
    <w:p w14:paraId="44A5C2BD" w14:textId="2C2C30E2" w:rsidR="00DD49E2" w:rsidRPr="001D4BC4" w:rsidRDefault="00280417" w:rsidP="001D4BC4">
      <w:pPr>
        <w:spacing w:line="360" w:lineRule="auto"/>
        <w:rPr>
          <w:rFonts w:ascii="Arial" w:hAnsi="Arial" w:cs="Arial"/>
          <w:sz w:val="22"/>
          <w:szCs w:val="22"/>
        </w:rPr>
      </w:pPr>
      <w:r w:rsidRPr="001D4BC4">
        <w:rPr>
          <w:rFonts w:ascii="Arial" w:hAnsi="Arial" w:cs="Arial"/>
          <w:sz w:val="22"/>
          <w:szCs w:val="22"/>
        </w:rPr>
        <w:t>to accelerate land acquisition</w:t>
      </w:r>
      <w:r w:rsidR="00DD49E2" w:rsidRPr="001D4BC4">
        <w:rPr>
          <w:rFonts w:ascii="Arial" w:hAnsi="Arial" w:cs="Arial"/>
          <w:sz w:val="22"/>
          <w:szCs w:val="22"/>
        </w:rPr>
        <w:t>difficult to imitate, as it accumulates over time; institutionally embedded within Costco’s management processes. Supports competitive advantage.</w:t>
      </w:r>
    </w:p>
    <w:p w14:paraId="262C983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Strong financial resources – Valuable and rare; difficult for local rivals to replicate quickly; fully exploitable via Costco’s investment capabilities. Provides strategic flexibility and resilience.</w:t>
      </w:r>
    </w:p>
    <w:p w14:paraId="17D746E0"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Overall, VRIO suggests that Costco enters India with a bundle of firm-specific advantages that can underpin sustainable performance, provided they are effectively adapted to local conditions.</w:t>
      </w:r>
    </w:p>
    <w:p w14:paraId="38C6C642" w14:textId="5CDAC778" w:rsidR="00DD49E2" w:rsidRPr="001D4BC4" w:rsidRDefault="004F566C" w:rsidP="001D4BC4">
      <w:pPr>
        <w:pStyle w:val="Heading2"/>
        <w:spacing w:line="360" w:lineRule="auto"/>
        <w:rPr>
          <w:rFonts w:ascii="Arial" w:hAnsi="Arial" w:cs="Arial"/>
        </w:rPr>
      </w:pPr>
      <w:bookmarkStart w:id="19" w:name="_Toc215316704"/>
      <w:r w:rsidRPr="001D4BC4">
        <w:rPr>
          <w:rFonts w:ascii="Arial" w:hAnsi="Arial" w:cs="Arial"/>
        </w:rPr>
        <w:t>4</w:t>
      </w:r>
      <w:r w:rsidR="00DD49E2" w:rsidRPr="001D4BC4">
        <w:rPr>
          <w:rFonts w:ascii="Arial" w:hAnsi="Arial" w:cs="Arial"/>
        </w:rPr>
        <w:t xml:space="preserve">.5 Risk </w:t>
      </w:r>
      <w:r w:rsidRPr="001D4BC4">
        <w:rPr>
          <w:rFonts w:ascii="Arial" w:hAnsi="Arial" w:cs="Arial"/>
        </w:rPr>
        <w:t>Assessment and Mi</w:t>
      </w:r>
      <w:r w:rsidR="00FD444B" w:rsidRPr="001D4BC4">
        <w:rPr>
          <w:rFonts w:ascii="Arial" w:hAnsi="Arial" w:cs="Arial"/>
        </w:rPr>
        <w:t>ti</w:t>
      </w:r>
      <w:r w:rsidRPr="001D4BC4">
        <w:rPr>
          <w:rFonts w:ascii="Arial" w:hAnsi="Arial" w:cs="Arial"/>
        </w:rPr>
        <w:t>gation</w:t>
      </w:r>
      <w:bookmarkEnd w:id="19"/>
    </w:p>
    <w:p w14:paraId="1208B17E" w14:textId="77777777" w:rsidR="00280417" w:rsidRPr="001D4BC4" w:rsidRDefault="00280417" w:rsidP="001D4BC4">
      <w:pPr>
        <w:spacing w:line="360" w:lineRule="auto"/>
        <w:rPr>
          <w:rFonts w:ascii="Arial" w:hAnsi="Arial" w:cs="Arial"/>
          <w:sz w:val="22"/>
          <w:szCs w:val="22"/>
        </w:rPr>
      </w:pPr>
    </w:p>
    <w:p w14:paraId="3CB0A55F" w14:textId="669C3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Even with strong capabilities, the Indian expansion involves significant risks:</w:t>
      </w:r>
    </w:p>
    <w:p w14:paraId="5FC50DB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Regulatory and Political Risk – Changes in FDI rules, retail regulations or tax treatment could affect warehouse economics. There is also political resistance to foreign retail from time to time because it is seen as a threat to small businesses.</w:t>
      </w:r>
    </w:p>
    <w:p w14:paraId="25AC2E60"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Mitigation: participate via JV with a respected local conglomerate; maintain active engagement with central and state authorities; and emphasise partnerships with small businesses (kiranas as customers, not competitors).</w:t>
      </w:r>
    </w:p>
    <w:p w14:paraId="597BED3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Cultural and Demand Risk – Misjudging product preferences, underestimating regional differences or mispricing memberships could result in weak uptake.</w:t>
      </w:r>
    </w:p>
    <w:p w14:paraId="0249519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Mitigation: employ local category managers and marketers; pilot operations in a few cities; invest in market research and data analytics; allow significant local tailoring of assortment within Costco’s global framework.</w:t>
      </w:r>
    </w:p>
    <w:p w14:paraId="51CC078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Operational and supply-chain risk: infrastructure constraints, unreliable or fragmented suppliers, and cold-chain limitations can increase costs and reduce service levels.</w:t>
      </w:r>
    </w:p>
    <w:p w14:paraId="1B4A126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Mitigation: build regional distribution centres; develop multi-sourcing strategies (local plus global suppliers); apply strict supplier audits and quality standards; and explore collaboration with the JV partner’s existing logistics assets.</w:t>
      </w:r>
    </w:p>
    <w:p w14:paraId="03AFC42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Financial Risk – High upfront capital expenditures and potential currency depreciation pose risks to return on investment. Membership build-up may be slower than expected.</w:t>
      </w:r>
    </w:p>
    <w:p w14:paraId="0905708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Mitigation: adopt a phased roll-out (for example, starting with 3–5 warehouses); conduct rigorous scenario and sensitivity analysis; progressively increase local sourcing to reduce FX exposure; maintain conservative leverage.</w:t>
      </w:r>
    </w:p>
    <w:p w14:paraId="30BB9D4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Competitive Response Risk – Incumbents could react aggressively with price promotions, loyalty schemes or copycat formats.</w:t>
      </w:r>
    </w:p>
    <w:p w14:paraId="288D6E48" w14:textId="5B91CAE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xml:space="preserve">Mitigation: </w:t>
      </w:r>
      <w:r w:rsidR="00DE4E64" w:rsidRPr="001D4BC4">
        <w:rPr>
          <w:rFonts w:ascii="Arial" w:hAnsi="Arial" w:cs="Arial"/>
          <w:sz w:val="22"/>
          <w:szCs w:val="22"/>
        </w:rPr>
        <w:t>Differentiate strongly through membership value, unique products (Kirkland), superior quality assurance, and consistently</w:t>
      </w:r>
      <w:r w:rsidRPr="001D4BC4">
        <w:rPr>
          <w:rFonts w:ascii="Arial" w:hAnsi="Arial" w:cs="Arial"/>
          <w:sz w:val="22"/>
          <w:szCs w:val="22"/>
        </w:rPr>
        <w:t xml:space="preserve"> low prices; build switching costs through B2B contracts and loyalty programs; and continuously drive down internal costs to withstand price competition.</w:t>
      </w:r>
    </w:p>
    <w:p w14:paraId="54CC908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Addressing these risks systematically is essential to align expansion with Costco’s mission of providing members with consistently high value while maintaining financial strength and long-term growth.</w:t>
      </w:r>
    </w:p>
    <w:p w14:paraId="46D26D9B" w14:textId="23551617" w:rsidR="00DD49E2" w:rsidRPr="001D4BC4" w:rsidRDefault="004F566C" w:rsidP="001D4BC4">
      <w:pPr>
        <w:pStyle w:val="Heading1"/>
        <w:spacing w:line="360" w:lineRule="auto"/>
        <w:rPr>
          <w:rFonts w:ascii="Arial" w:hAnsi="Arial" w:cs="Arial"/>
        </w:rPr>
      </w:pPr>
      <w:bookmarkStart w:id="20" w:name="_Toc215316705"/>
      <w:r w:rsidRPr="001D4BC4">
        <w:rPr>
          <w:rFonts w:ascii="Arial" w:hAnsi="Arial" w:cs="Arial"/>
        </w:rPr>
        <w:t>5</w:t>
      </w:r>
      <w:r w:rsidR="00FD444B" w:rsidRPr="001D4BC4">
        <w:rPr>
          <w:rFonts w:ascii="Arial" w:hAnsi="Arial" w:cs="Arial"/>
        </w:rPr>
        <w:t>.</w:t>
      </w:r>
      <w:r w:rsidR="00C41ACA" w:rsidRPr="001D4BC4">
        <w:rPr>
          <w:rFonts w:ascii="Arial" w:hAnsi="Arial" w:cs="Arial"/>
        </w:rPr>
        <w:t xml:space="preserve"> </w:t>
      </w:r>
      <w:r w:rsidR="00DD49E2" w:rsidRPr="001D4BC4">
        <w:rPr>
          <w:rFonts w:ascii="Arial" w:hAnsi="Arial" w:cs="Arial"/>
        </w:rPr>
        <w:t>Performance Evaluation Framework</w:t>
      </w:r>
      <w:bookmarkEnd w:id="20"/>
    </w:p>
    <w:p w14:paraId="11C39ADE" w14:textId="3B0AE93F" w:rsidR="00DD49E2" w:rsidRPr="001D4BC4" w:rsidRDefault="004F566C" w:rsidP="001D4BC4">
      <w:pPr>
        <w:pStyle w:val="Heading2"/>
        <w:spacing w:line="360" w:lineRule="auto"/>
        <w:rPr>
          <w:rFonts w:ascii="Arial" w:hAnsi="Arial" w:cs="Arial"/>
        </w:rPr>
      </w:pPr>
      <w:bookmarkStart w:id="21" w:name="_Toc215316706"/>
      <w:r w:rsidRPr="001D4BC4">
        <w:rPr>
          <w:rFonts w:ascii="Arial" w:hAnsi="Arial" w:cs="Arial"/>
        </w:rPr>
        <w:t>5</w:t>
      </w:r>
      <w:r w:rsidR="00DD49E2" w:rsidRPr="001D4BC4">
        <w:rPr>
          <w:rFonts w:ascii="Arial" w:hAnsi="Arial" w:cs="Arial"/>
        </w:rPr>
        <w:t>.1 Rationale for Using a Balanced Scorecard</w:t>
      </w:r>
      <w:bookmarkEnd w:id="21"/>
    </w:p>
    <w:p w14:paraId="1818FC0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To evaluate the success of Costco’s proposed expansion into India, a Balanced Scorecard (BSC) is adopted as the primary performance measurement framework. The BSC is appropriate because it translates high-level strategic objectives into a coherent set of financial and non-</w:t>
      </w:r>
      <w:r w:rsidRPr="001D4BC4">
        <w:rPr>
          <w:rFonts w:ascii="Arial" w:hAnsi="Arial" w:cs="Arial"/>
          <w:sz w:val="22"/>
          <w:szCs w:val="22"/>
        </w:rPr>
        <w:lastRenderedPageBreak/>
        <w:t>financial indicators across four interrelated perspectives: Financial, Customer, Internal Processes, and Learning &amp; Growth (Kaplan and Norton, 1992). This aligns closely with Costco’s long-term orientation, membership-based economics and emphasis on operational excellence rather than short-term profit maximisation.</w:t>
      </w:r>
    </w:p>
    <w:p w14:paraId="1189A06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Alternative frameworks, such as the Triple Bottom Line (TBL), could provide a useful sustainability lens by focussing on people, the planet, and profit. However, TBL on its own does not explicitly link environmental and social outcomes to operational drivers and learning processes. Therefore, the BSC is better suited to strategy execution in the early years of market entry while still allowing sustainability-related KPIs to be embedded within the four perspectives (for example, local sourcing, energy efficiency, and community engagement).</w:t>
      </w:r>
    </w:p>
    <w:p w14:paraId="67DADBD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overarching strategic objective for Costco India can be stated as:</w:t>
      </w:r>
    </w:p>
    <w:p w14:paraId="5231AEA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“To establish a profitable, scalable and locally embedded warehouse club operation in India that delivers superior value to members, employees, and stakeholders within five to seven years of entry.”</w:t>
      </w:r>
    </w:p>
    <w:p w14:paraId="5707640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Balanced Scorecard below operationalises this objective.</w:t>
      </w:r>
    </w:p>
    <w:p w14:paraId="6BF4455B" w14:textId="77777777" w:rsidR="004F566C" w:rsidRPr="001D4BC4" w:rsidRDefault="004F566C" w:rsidP="001D4BC4">
      <w:pPr>
        <w:pStyle w:val="Heading2"/>
        <w:spacing w:line="360" w:lineRule="auto"/>
        <w:rPr>
          <w:rFonts w:ascii="Arial" w:hAnsi="Arial" w:cs="Arial"/>
        </w:rPr>
      </w:pPr>
      <w:bookmarkStart w:id="22" w:name="_Toc215316707"/>
      <w:r w:rsidRPr="001D4BC4">
        <w:rPr>
          <w:rFonts w:ascii="Arial" w:hAnsi="Arial" w:cs="Arial"/>
        </w:rPr>
        <w:t>5</w:t>
      </w:r>
      <w:r w:rsidR="00DD49E2" w:rsidRPr="001D4BC4">
        <w:rPr>
          <w:rFonts w:ascii="Arial" w:hAnsi="Arial" w:cs="Arial"/>
        </w:rPr>
        <w:t>.2 Balanced Scorecard Design for Costco India</w:t>
      </w:r>
      <w:bookmarkEnd w:id="22"/>
    </w:p>
    <w:p w14:paraId="4F7B4A49" w14:textId="4A3EF2C5"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Financial Perspective</w:t>
      </w:r>
    </w:p>
    <w:p w14:paraId="47DDB2A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primary financial goals in the Indian market are to achieve profitable growth, improve capital efficiency and build a resilient revenue base from membership fees. Key objectives include:</w:t>
      </w:r>
    </w:p>
    <w:p w14:paraId="1F1B8C3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Achieve positive operating profit at the country level within a defined time frame (for example, years 4–5).</w:t>
      </w:r>
    </w:p>
    <w:p w14:paraId="7EDF8BE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Generate a high proportion of stable, recurring income from membership fees.</w:t>
      </w:r>
    </w:p>
    <w:p w14:paraId="6107CA6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Improve return on invested capital (ROIC) as the warehouse network scales.</w:t>
      </w:r>
    </w:p>
    <w:p w14:paraId="02EDB4C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Indicative KPIs:</w:t>
      </w:r>
    </w:p>
    <w:p w14:paraId="743E0A5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Net sales per warehouse (INR crore per year).</w:t>
      </w:r>
    </w:p>
    <w:p w14:paraId="0B1EAA36"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Operating margin (country-level and per warehouse).</w:t>
      </w:r>
    </w:p>
    <w:p w14:paraId="3274897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Membership fee income is a % of operating income.</w:t>
      </w:r>
    </w:p>
    <w:p w14:paraId="3BCBA99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ROIC on Costco India operations.</w:t>
      </w:r>
    </w:p>
    <w:p w14:paraId="0F3631F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Payback period for new warehouses (years).</w:t>
      </w:r>
    </w:p>
    <w:p w14:paraId="2D27B356"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These indicators capture whether the Indian expansion is generating sustainable economic value, while the membership-related metrics reflect Costco’s distinctive business model.</w:t>
      </w:r>
    </w:p>
    <w:p w14:paraId="6717C594" w14:textId="41DB4E1B"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Customer Perspective</w:t>
      </w:r>
    </w:p>
    <w:p w14:paraId="1603A8B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For Costco, “customers” include both household members and business members (such as SMEs and HoReCa clients). The central objectives are to build membership scales, loyalty, and perceived value in a market where the brand is initially unfamiliar.</w:t>
      </w:r>
    </w:p>
    <w:p w14:paraId="256C482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Key objectives:</w:t>
      </w:r>
    </w:p>
    <w:p w14:paraId="4619BC1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Build a critical mass of active members in target metropolitan areas.</w:t>
      </w:r>
    </w:p>
    <w:p w14:paraId="6450AA3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Achieve high membership renewal rates and strong customer advocacy.</w:t>
      </w:r>
    </w:p>
    <w:p w14:paraId="059F229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Develop a differentiated value proposition for B2B customers.</w:t>
      </w:r>
    </w:p>
    <w:p w14:paraId="44FE416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Position Costco as a trusted source of quality, safe products.</w:t>
      </w:r>
    </w:p>
    <w:p w14:paraId="691F409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Indicative KPIs:</w:t>
      </w:r>
    </w:p>
    <w:p w14:paraId="6EFDC196"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Number of active members (household / business) per warehouse.</w:t>
      </w:r>
    </w:p>
    <w:p w14:paraId="17F8847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Membership renewal rate (% per year).</w:t>
      </w:r>
    </w:p>
    <w:p w14:paraId="33FD9AB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Net Promoter Score (NPS) or equivalent satisfaction index.</w:t>
      </w:r>
    </w:p>
    <w:p w14:paraId="2325837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Average basket size (INR per visit) by segment.</w:t>
      </w:r>
    </w:p>
    <w:p w14:paraId="713191B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Share of B2B members in total membership.</w:t>
      </w:r>
    </w:p>
    <w:p w14:paraId="15B12F9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Customer complaints per 1,000 transactions (and resolution time).</w:t>
      </w:r>
    </w:p>
    <w:p w14:paraId="497BA09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These KPIs indicate whether Costco’s Indian warehouses are gaining traction with target segments and whether the membership proposition resonates in a culturally and institutionally different context.</w:t>
      </w:r>
    </w:p>
    <w:p w14:paraId="26CC16BF" w14:textId="3F4FC088"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Internal Process Perspective</w:t>
      </w:r>
    </w:p>
    <w:p w14:paraId="7E917413"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Internal process metrics focus on the operational drivers of value: procurement, logistics, in-store execution and compliance. In India, key internal challenges include infrastructure constraints, supply-chain complexity and stringent food safety regulations.</w:t>
      </w:r>
    </w:p>
    <w:p w14:paraId="2D1F032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Key objectives:</w:t>
      </w:r>
    </w:p>
    <w:p w14:paraId="19C99C02"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Maintain high inventory turnover and product availability.</w:t>
      </w:r>
    </w:p>
    <w:p w14:paraId="6672B73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Develop efficient, reliable supply chains with increasing local sourcing.</w:t>
      </w:r>
    </w:p>
    <w:p w14:paraId="59EBA58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Ensure high standards of food safety, regulatory compliance and loss prevention.</w:t>
      </w:r>
    </w:p>
    <w:p w14:paraId="403AF3A1"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Integrate digital processes (for example, e-billing, UPI payments, and app-based services).</w:t>
      </w:r>
    </w:p>
    <w:p w14:paraId="30A1466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Indicative KPIs:</w:t>
      </w:r>
    </w:p>
    <w:p w14:paraId="36177C6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Inventory turnover (times per year) by major category.</w:t>
      </w:r>
    </w:p>
    <w:p w14:paraId="3E0BFC6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On-shelf availability / out-of-stock rate (%).</w:t>
      </w:r>
    </w:p>
    <w:p w14:paraId="6CDE700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Local sourcing share (% of total procurement value from Indian suppliers.</w:t>
      </w:r>
    </w:p>
    <w:p w14:paraId="2C7CA55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Logistics cost as a % of sales.</w:t>
      </w:r>
    </w:p>
    <w:p w14:paraId="44E0E57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Shrinkage / loss rate (% of sales.</w:t>
      </w:r>
    </w:p>
    <w:p w14:paraId="02D093D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Regulatory and food-safety audit scores (internal and external).</w:t>
      </w:r>
    </w:p>
    <w:p w14:paraId="16C3CDF6"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Digital transaction share (% of sales via digital payments or app.</w:t>
      </w:r>
    </w:p>
    <w:p w14:paraId="70C114B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These indicators are particularly important in an emerging-market context, where operational inefficiencies can rapidly erode the cost advantage and damage reputational capital.</w:t>
      </w:r>
    </w:p>
    <w:p w14:paraId="3A445964" w14:textId="39FC7AC9"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Learning and Growth Perspective</w:t>
      </w:r>
    </w:p>
    <w:p w14:paraId="6B26320F" w14:textId="33FC30C0"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learning and growth perspective addresses the human capital, organisational cultures, capabilities that underpin long-term success. Costco’s model relies heavily on well-trained, motivated employees and a strong ethical culture.</w:t>
      </w:r>
    </w:p>
    <w:p w14:paraId="335B566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Key objectives:</w:t>
      </w:r>
    </w:p>
    <w:p w14:paraId="520E3EBA"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Build a pipeline of local managerial talent with experience in Costco’s operating model.</w:t>
      </w:r>
    </w:p>
    <w:p w14:paraId="07893DD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Embed Costco’s culture of low-cost, high-ethics, member-centred service in a new national context.</w:t>
      </w:r>
    </w:p>
    <w:p w14:paraId="37161388"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lastRenderedPageBreak/>
        <w:t>• Develop local capabilities in data analytics, category management and digital services.</w:t>
      </w:r>
    </w:p>
    <w:p w14:paraId="64F82B9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Promote sustainability and community engagement consistent with global ESG commitments.</w:t>
      </w:r>
    </w:p>
    <w:p w14:paraId="1FADEC6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Indicative KPIs:</w:t>
      </w:r>
    </w:p>
    <w:p w14:paraId="6E52A7A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Employee turnover rate (especially among frontline and supervisory staff).</w:t>
      </w:r>
    </w:p>
    <w:p w14:paraId="73F7482C"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Average training hours per employee per year.</w:t>
      </w:r>
    </w:p>
    <w:p w14:paraId="7098C65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Employee engagement score (from periodic surveys).</w:t>
      </w:r>
    </w:p>
    <w:p w14:paraId="2FFD7895"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Proportion of managerial roles held by locally hired staff.</w:t>
      </w:r>
    </w:p>
    <w:p w14:paraId="2A07AD8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Number of process improvement ideas implemented per warehouse per year.</w:t>
      </w:r>
    </w:p>
    <w:p w14:paraId="039976EE"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Energy use per square metre of warehouse and share of renewable energy (%).</w:t>
      </w:r>
    </w:p>
    <w:p w14:paraId="31743C3D"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CSR/community-investment spend as a percentage of local profits.</w:t>
      </w:r>
    </w:p>
    <w:p w14:paraId="19B1C31F" w14:textId="77777777" w:rsidR="004F566C" w:rsidRPr="001D4BC4" w:rsidRDefault="00DD49E2" w:rsidP="001D4BC4">
      <w:pPr>
        <w:spacing w:line="360" w:lineRule="auto"/>
        <w:rPr>
          <w:rFonts w:ascii="Arial" w:hAnsi="Arial" w:cs="Arial"/>
          <w:sz w:val="22"/>
          <w:szCs w:val="22"/>
        </w:rPr>
      </w:pPr>
      <w:r w:rsidRPr="001D4BC4">
        <w:rPr>
          <w:rFonts w:ascii="Arial" w:hAnsi="Arial" w:cs="Arial"/>
          <w:sz w:val="22"/>
          <w:szCs w:val="22"/>
        </w:rPr>
        <w:t>Together, these KPIs track whether Costco is building a sustainable organisational foundation in India rather than simply transferring routines from mature markets.</w:t>
      </w:r>
    </w:p>
    <w:p w14:paraId="1B8173E0" w14:textId="39B96DB0"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Summary Balanced Scorecard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4"/>
        <w:gridCol w:w="2673"/>
        <w:gridCol w:w="2877"/>
        <w:gridCol w:w="2286"/>
      </w:tblGrid>
      <w:tr w:rsidR="001D70C7" w:rsidRPr="001D4BC4" w14:paraId="2C472A27" w14:textId="77777777" w:rsidTr="00484523">
        <w:trPr>
          <w:tblHeader/>
          <w:tblCellSpacing w:w="15" w:type="dxa"/>
        </w:trPr>
        <w:tc>
          <w:tcPr>
            <w:tcW w:w="0" w:type="auto"/>
            <w:vAlign w:val="center"/>
            <w:hideMark/>
          </w:tcPr>
          <w:p w14:paraId="0C5D922F"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Perspective</w:t>
            </w:r>
          </w:p>
        </w:tc>
        <w:tc>
          <w:tcPr>
            <w:tcW w:w="0" w:type="auto"/>
            <w:vAlign w:val="center"/>
            <w:hideMark/>
          </w:tcPr>
          <w:p w14:paraId="7CBDC121"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Strategic Objective</w:t>
            </w:r>
          </w:p>
        </w:tc>
        <w:tc>
          <w:tcPr>
            <w:tcW w:w="0" w:type="auto"/>
            <w:vAlign w:val="center"/>
            <w:hideMark/>
          </w:tcPr>
          <w:p w14:paraId="16A707B3"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Example KPI</w:t>
            </w:r>
          </w:p>
        </w:tc>
        <w:tc>
          <w:tcPr>
            <w:tcW w:w="0" w:type="auto"/>
            <w:vAlign w:val="center"/>
            <w:hideMark/>
          </w:tcPr>
          <w:p w14:paraId="20DF297B"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Indicative Target (Year 5)</w:t>
            </w:r>
          </w:p>
        </w:tc>
      </w:tr>
      <w:tr w:rsidR="001D70C7" w:rsidRPr="001D4BC4" w14:paraId="5DC9BF45" w14:textId="77777777" w:rsidTr="00484523">
        <w:trPr>
          <w:tblCellSpacing w:w="15" w:type="dxa"/>
        </w:trPr>
        <w:tc>
          <w:tcPr>
            <w:tcW w:w="0" w:type="auto"/>
            <w:vAlign w:val="center"/>
            <w:hideMark/>
          </w:tcPr>
          <w:p w14:paraId="4128E52C"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Financial</w:t>
            </w:r>
          </w:p>
        </w:tc>
        <w:tc>
          <w:tcPr>
            <w:tcW w:w="0" w:type="auto"/>
            <w:vAlign w:val="center"/>
            <w:hideMark/>
          </w:tcPr>
          <w:p w14:paraId="58EC9C01"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Achieve profitable growth</w:t>
            </w:r>
          </w:p>
        </w:tc>
        <w:tc>
          <w:tcPr>
            <w:tcW w:w="0" w:type="auto"/>
            <w:vAlign w:val="center"/>
            <w:hideMark/>
          </w:tcPr>
          <w:p w14:paraId="0829B619"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Operating margin (India)</w:t>
            </w:r>
          </w:p>
        </w:tc>
        <w:tc>
          <w:tcPr>
            <w:tcW w:w="0" w:type="auto"/>
            <w:vAlign w:val="center"/>
            <w:hideMark/>
          </w:tcPr>
          <w:p w14:paraId="433B877E"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 3–4%</w:t>
            </w:r>
          </w:p>
        </w:tc>
      </w:tr>
      <w:tr w:rsidR="001D70C7" w:rsidRPr="001D4BC4" w14:paraId="039A4344" w14:textId="77777777" w:rsidTr="00484523">
        <w:trPr>
          <w:tblCellSpacing w:w="15" w:type="dxa"/>
        </w:trPr>
        <w:tc>
          <w:tcPr>
            <w:tcW w:w="0" w:type="auto"/>
            <w:vAlign w:val="center"/>
            <w:hideMark/>
          </w:tcPr>
          <w:p w14:paraId="1FBB9362" w14:textId="77777777" w:rsidR="001D70C7" w:rsidRPr="001D4BC4" w:rsidRDefault="001D70C7" w:rsidP="001D4BC4">
            <w:pPr>
              <w:spacing w:line="360" w:lineRule="auto"/>
              <w:rPr>
                <w:rFonts w:ascii="Arial" w:hAnsi="Arial" w:cs="Arial"/>
                <w:sz w:val="22"/>
                <w:szCs w:val="22"/>
              </w:rPr>
            </w:pPr>
          </w:p>
        </w:tc>
        <w:tc>
          <w:tcPr>
            <w:tcW w:w="0" w:type="auto"/>
            <w:vAlign w:val="center"/>
            <w:hideMark/>
          </w:tcPr>
          <w:p w14:paraId="7A11DDDB"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Build stable membership-based income</w:t>
            </w:r>
          </w:p>
        </w:tc>
        <w:tc>
          <w:tcPr>
            <w:tcW w:w="0" w:type="auto"/>
            <w:vAlign w:val="center"/>
            <w:hideMark/>
          </w:tcPr>
          <w:p w14:paraId="1A7910CC"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Membership fee income as % of operating income</w:t>
            </w:r>
          </w:p>
        </w:tc>
        <w:tc>
          <w:tcPr>
            <w:tcW w:w="0" w:type="auto"/>
            <w:vAlign w:val="center"/>
            <w:hideMark/>
          </w:tcPr>
          <w:p w14:paraId="31862DDD"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 60%</w:t>
            </w:r>
          </w:p>
        </w:tc>
      </w:tr>
      <w:tr w:rsidR="001D70C7" w:rsidRPr="001D4BC4" w14:paraId="78A63616" w14:textId="77777777" w:rsidTr="00484523">
        <w:trPr>
          <w:tblCellSpacing w:w="15" w:type="dxa"/>
        </w:trPr>
        <w:tc>
          <w:tcPr>
            <w:tcW w:w="0" w:type="auto"/>
            <w:vAlign w:val="center"/>
            <w:hideMark/>
          </w:tcPr>
          <w:p w14:paraId="50134239"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Customer</w:t>
            </w:r>
          </w:p>
        </w:tc>
        <w:tc>
          <w:tcPr>
            <w:tcW w:w="0" w:type="auto"/>
            <w:vAlign w:val="center"/>
            <w:hideMark/>
          </w:tcPr>
          <w:p w14:paraId="0DE0593B"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Build a loyal member base</w:t>
            </w:r>
          </w:p>
        </w:tc>
        <w:tc>
          <w:tcPr>
            <w:tcW w:w="0" w:type="auto"/>
            <w:vAlign w:val="center"/>
            <w:hideMark/>
          </w:tcPr>
          <w:p w14:paraId="72CBDBB6"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Membership renewal rate</w:t>
            </w:r>
          </w:p>
        </w:tc>
        <w:tc>
          <w:tcPr>
            <w:tcW w:w="0" w:type="auto"/>
            <w:vAlign w:val="center"/>
            <w:hideMark/>
          </w:tcPr>
          <w:p w14:paraId="11B8C690"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 80%</w:t>
            </w:r>
          </w:p>
        </w:tc>
      </w:tr>
      <w:tr w:rsidR="001D70C7" w:rsidRPr="001D4BC4" w14:paraId="2039C50C" w14:textId="77777777" w:rsidTr="00484523">
        <w:trPr>
          <w:tblCellSpacing w:w="15" w:type="dxa"/>
        </w:trPr>
        <w:tc>
          <w:tcPr>
            <w:tcW w:w="0" w:type="auto"/>
            <w:vAlign w:val="center"/>
            <w:hideMark/>
          </w:tcPr>
          <w:p w14:paraId="1B75D78A" w14:textId="77777777" w:rsidR="001D70C7" w:rsidRPr="001D4BC4" w:rsidRDefault="001D70C7" w:rsidP="001D4BC4">
            <w:pPr>
              <w:spacing w:line="360" w:lineRule="auto"/>
              <w:rPr>
                <w:rFonts w:ascii="Arial" w:hAnsi="Arial" w:cs="Arial"/>
                <w:sz w:val="22"/>
                <w:szCs w:val="22"/>
              </w:rPr>
            </w:pPr>
          </w:p>
        </w:tc>
        <w:tc>
          <w:tcPr>
            <w:tcW w:w="0" w:type="auto"/>
            <w:vAlign w:val="center"/>
            <w:hideMark/>
          </w:tcPr>
          <w:p w14:paraId="12DA9231"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Strengthen perceived value and trust</w:t>
            </w:r>
          </w:p>
        </w:tc>
        <w:tc>
          <w:tcPr>
            <w:tcW w:w="0" w:type="auto"/>
            <w:vAlign w:val="center"/>
            <w:hideMark/>
          </w:tcPr>
          <w:p w14:paraId="66271919"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NPS / satisfaction index</w:t>
            </w:r>
          </w:p>
        </w:tc>
        <w:tc>
          <w:tcPr>
            <w:tcW w:w="0" w:type="auto"/>
            <w:vAlign w:val="center"/>
            <w:hideMark/>
          </w:tcPr>
          <w:p w14:paraId="04FAAFE0"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Positive and rising year-on-year</w:t>
            </w:r>
          </w:p>
        </w:tc>
      </w:tr>
      <w:tr w:rsidR="001D70C7" w:rsidRPr="001D4BC4" w14:paraId="4155484F" w14:textId="77777777" w:rsidTr="00484523">
        <w:trPr>
          <w:tblCellSpacing w:w="15" w:type="dxa"/>
        </w:trPr>
        <w:tc>
          <w:tcPr>
            <w:tcW w:w="0" w:type="auto"/>
            <w:vAlign w:val="center"/>
            <w:hideMark/>
          </w:tcPr>
          <w:p w14:paraId="63491853"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Internal Processes</w:t>
            </w:r>
          </w:p>
        </w:tc>
        <w:tc>
          <w:tcPr>
            <w:tcW w:w="0" w:type="auto"/>
            <w:vAlign w:val="center"/>
            <w:hideMark/>
          </w:tcPr>
          <w:p w14:paraId="0637267C"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Ensure efficient, reliable operations</w:t>
            </w:r>
          </w:p>
        </w:tc>
        <w:tc>
          <w:tcPr>
            <w:tcW w:w="0" w:type="auto"/>
            <w:vAlign w:val="center"/>
            <w:hideMark/>
          </w:tcPr>
          <w:p w14:paraId="0CCC1FF8"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Inventory turnover</w:t>
            </w:r>
          </w:p>
        </w:tc>
        <w:tc>
          <w:tcPr>
            <w:tcW w:w="0" w:type="auto"/>
            <w:vAlign w:val="center"/>
            <w:hideMark/>
          </w:tcPr>
          <w:p w14:paraId="0DF3140F"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 10x per year (grocery categories)</w:t>
            </w:r>
          </w:p>
        </w:tc>
      </w:tr>
      <w:tr w:rsidR="001D70C7" w:rsidRPr="001D4BC4" w14:paraId="7A9EE699" w14:textId="77777777" w:rsidTr="00484523">
        <w:trPr>
          <w:tblCellSpacing w:w="15" w:type="dxa"/>
        </w:trPr>
        <w:tc>
          <w:tcPr>
            <w:tcW w:w="0" w:type="auto"/>
            <w:vAlign w:val="center"/>
            <w:hideMark/>
          </w:tcPr>
          <w:p w14:paraId="7FC3D5C3" w14:textId="77777777" w:rsidR="001D70C7" w:rsidRPr="001D4BC4" w:rsidRDefault="001D70C7" w:rsidP="001D4BC4">
            <w:pPr>
              <w:spacing w:line="360" w:lineRule="auto"/>
              <w:rPr>
                <w:rFonts w:ascii="Arial" w:hAnsi="Arial" w:cs="Arial"/>
                <w:sz w:val="22"/>
                <w:szCs w:val="22"/>
              </w:rPr>
            </w:pPr>
          </w:p>
        </w:tc>
        <w:tc>
          <w:tcPr>
            <w:tcW w:w="0" w:type="auto"/>
            <w:vAlign w:val="center"/>
            <w:hideMark/>
          </w:tcPr>
          <w:p w14:paraId="16EC9C98"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Develop local sourcing and supply resilience</w:t>
            </w:r>
          </w:p>
        </w:tc>
        <w:tc>
          <w:tcPr>
            <w:tcW w:w="0" w:type="auto"/>
            <w:vAlign w:val="center"/>
            <w:hideMark/>
          </w:tcPr>
          <w:p w14:paraId="0E402559"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Local sourcing share</w:t>
            </w:r>
          </w:p>
        </w:tc>
        <w:tc>
          <w:tcPr>
            <w:tcW w:w="0" w:type="auto"/>
            <w:vAlign w:val="center"/>
            <w:hideMark/>
          </w:tcPr>
          <w:p w14:paraId="4DE58EAA"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 30–40% of procurement value</w:t>
            </w:r>
          </w:p>
        </w:tc>
      </w:tr>
      <w:tr w:rsidR="001D70C7" w:rsidRPr="001D4BC4" w14:paraId="6BA87F89" w14:textId="77777777" w:rsidTr="00484523">
        <w:trPr>
          <w:tblCellSpacing w:w="15" w:type="dxa"/>
        </w:trPr>
        <w:tc>
          <w:tcPr>
            <w:tcW w:w="0" w:type="auto"/>
            <w:vAlign w:val="center"/>
            <w:hideMark/>
          </w:tcPr>
          <w:p w14:paraId="3D01696D"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Learning &amp; Growth</w:t>
            </w:r>
          </w:p>
        </w:tc>
        <w:tc>
          <w:tcPr>
            <w:tcW w:w="0" w:type="auto"/>
            <w:vAlign w:val="center"/>
            <w:hideMark/>
          </w:tcPr>
          <w:p w14:paraId="7A365F86"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Build local capabilities and engagement</w:t>
            </w:r>
          </w:p>
        </w:tc>
        <w:tc>
          <w:tcPr>
            <w:tcW w:w="0" w:type="auto"/>
            <w:vAlign w:val="center"/>
            <w:hideMark/>
          </w:tcPr>
          <w:p w14:paraId="12FB8B39"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Employee turnover rate</w:t>
            </w:r>
          </w:p>
        </w:tc>
        <w:tc>
          <w:tcPr>
            <w:tcW w:w="0" w:type="auto"/>
            <w:vAlign w:val="center"/>
            <w:hideMark/>
          </w:tcPr>
          <w:p w14:paraId="5718C0C7"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Below industry average</w:t>
            </w:r>
          </w:p>
        </w:tc>
      </w:tr>
      <w:tr w:rsidR="001D70C7" w:rsidRPr="001D4BC4" w14:paraId="1B8F0974" w14:textId="77777777" w:rsidTr="00484523">
        <w:trPr>
          <w:tblCellSpacing w:w="15" w:type="dxa"/>
        </w:trPr>
        <w:tc>
          <w:tcPr>
            <w:tcW w:w="0" w:type="auto"/>
            <w:vAlign w:val="center"/>
            <w:hideMark/>
          </w:tcPr>
          <w:p w14:paraId="3A31A487" w14:textId="77777777" w:rsidR="001D70C7" w:rsidRPr="001D4BC4" w:rsidRDefault="001D70C7" w:rsidP="001D4BC4">
            <w:pPr>
              <w:spacing w:line="360" w:lineRule="auto"/>
              <w:rPr>
                <w:rFonts w:ascii="Arial" w:hAnsi="Arial" w:cs="Arial"/>
                <w:sz w:val="22"/>
                <w:szCs w:val="22"/>
              </w:rPr>
            </w:pPr>
          </w:p>
        </w:tc>
        <w:tc>
          <w:tcPr>
            <w:tcW w:w="0" w:type="auto"/>
            <w:vAlign w:val="center"/>
            <w:hideMark/>
          </w:tcPr>
          <w:p w14:paraId="1D81AF54"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Embed sustainability and innovation</w:t>
            </w:r>
          </w:p>
        </w:tc>
        <w:tc>
          <w:tcPr>
            <w:tcW w:w="0" w:type="auto"/>
            <w:vAlign w:val="center"/>
            <w:hideMark/>
          </w:tcPr>
          <w:p w14:paraId="132FECA8"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Training hours per employee; energy use per m²</w:t>
            </w:r>
          </w:p>
        </w:tc>
        <w:tc>
          <w:tcPr>
            <w:tcW w:w="0" w:type="auto"/>
            <w:vAlign w:val="center"/>
            <w:hideMark/>
          </w:tcPr>
          <w:p w14:paraId="309692EB" w14:textId="77777777" w:rsidR="001D70C7" w:rsidRPr="001D4BC4" w:rsidRDefault="001D70C7" w:rsidP="001D4BC4">
            <w:pPr>
              <w:spacing w:line="360" w:lineRule="auto"/>
              <w:rPr>
                <w:rFonts w:ascii="Arial" w:hAnsi="Arial" w:cs="Arial"/>
                <w:sz w:val="22"/>
                <w:szCs w:val="22"/>
              </w:rPr>
            </w:pPr>
            <w:r w:rsidRPr="001D4BC4">
              <w:rPr>
                <w:rFonts w:ascii="Arial" w:hAnsi="Arial" w:cs="Arial"/>
                <w:sz w:val="22"/>
                <w:szCs w:val="22"/>
              </w:rPr>
              <w:t>Year-on-year improvement</w:t>
            </w:r>
          </w:p>
        </w:tc>
      </w:tr>
    </w:tbl>
    <w:p w14:paraId="41A926CF" w14:textId="54F8CB75" w:rsidR="00DD49E2" w:rsidRPr="001D4BC4" w:rsidRDefault="00DD49E2" w:rsidP="001D4BC4">
      <w:pPr>
        <w:spacing w:line="360" w:lineRule="auto"/>
        <w:rPr>
          <w:rFonts w:ascii="Arial" w:hAnsi="Arial" w:cs="Arial"/>
          <w:sz w:val="22"/>
          <w:szCs w:val="22"/>
        </w:rPr>
      </w:pPr>
    </w:p>
    <w:p w14:paraId="1142A6D3" w14:textId="215FA00B"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Use of the Balanced Scorecard in Strategic Control</w:t>
      </w:r>
    </w:p>
    <w:p w14:paraId="4506AC0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The Balanced Scorecard is not merely a passive reporting tool; it supports ongoing strategic control and learning in Costco’s Indian expansion:</w:t>
      </w:r>
    </w:p>
    <w:p w14:paraId="2C02EF19"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At the corporate level, aggregated BSC results provide visibility on whether India is progressing in line with global strategic objectives and capital-allocation expectations.</w:t>
      </w:r>
    </w:p>
    <w:p w14:paraId="079B6867"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At the JV and country-management level, the BSC allows managers to identify trade-offs (for example, short-term margin vs. membership growth) and to prioritise corrective actions.</w:t>
      </w:r>
    </w:p>
    <w:p w14:paraId="7000F47B"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At the warehouse level, selected KPIs (such as sales per square metre, member satisfaction and shrinkage) can be cascaded into store targets and embedded in performance appraisals and incentives.</w:t>
      </w:r>
    </w:p>
    <w:p w14:paraId="6FB0144F"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 Over time, management can refine the scorecard by adding or retiring indicators based on learning, incorporating more explicit sustainability metrics or digital transformation goals as the business matures.</w:t>
      </w:r>
    </w:p>
    <w:p w14:paraId="5107FDD4" w14:textId="77777777" w:rsidR="00DD49E2" w:rsidRPr="001D4BC4" w:rsidRDefault="00DD49E2" w:rsidP="001D4BC4">
      <w:pPr>
        <w:spacing w:line="360" w:lineRule="auto"/>
        <w:rPr>
          <w:rFonts w:ascii="Arial" w:hAnsi="Arial" w:cs="Arial"/>
          <w:sz w:val="22"/>
          <w:szCs w:val="22"/>
        </w:rPr>
      </w:pPr>
      <w:r w:rsidRPr="001D4BC4">
        <w:rPr>
          <w:rFonts w:ascii="Arial" w:hAnsi="Arial" w:cs="Arial"/>
          <w:sz w:val="22"/>
          <w:szCs w:val="22"/>
        </w:rPr>
        <w:t>In this way, the BSC provides a comprehensive, strategy-aligned framework for monitoring the performance of Costco’s Indian expansion, supporting evidence-based decisions and continuous improvement.</w:t>
      </w:r>
    </w:p>
    <w:p w14:paraId="72AD9A19" w14:textId="77777777" w:rsidR="004F566C" w:rsidRPr="001D4BC4" w:rsidRDefault="004F566C" w:rsidP="001D4BC4">
      <w:pPr>
        <w:spacing w:line="360" w:lineRule="auto"/>
        <w:rPr>
          <w:rFonts w:ascii="Arial" w:hAnsi="Arial" w:cs="Arial"/>
          <w:sz w:val="22"/>
          <w:szCs w:val="22"/>
        </w:rPr>
      </w:pPr>
    </w:p>
    <w:p w14:paraId="4010DD00" w14:textId="77777777" w:rsidR="004F566C" w:rsidRPr="001D4BC4" w:rsidRDefault="004F566C" w:rsidP="001D4BC4">
      <w:pPr>
        <w:pStyle w:val="Heading1"/>
        <w:spacing w:line="360" w:lineRule="auto"/>
        <w:rPr>
          <w:rFonts w:ascii="Arial" w:hAnsi="Arial" w:cs="Arial"/>
        </w:rPr>
      </w:pPr>
      <w:bookmarkStart w:id="23" w:name="_Toc215316708"/>
      <w:r w:rsidRPr="001D4BC4">
        <w:rPr>
          <w:rFonts w:ascii="Arial" w:hAnsi="Arial" w:cs="Arial"/>
        </w:rPr>
        <w:lastRenderedPageBreak/>
        <w:t>6. Conclusion</w:t>
      </w:r>
      <w:bookmarkEnd w:id="23"/>
    </w:p>
    <w:p w14:paraId="61FB3006" w14:textId="77777777" w:rsidR="004F566C" w:rsidRPr="001D4BC4" w:rsidRDefault="004F566C" w:rsidP="001D4BC4">
      <w:pPr>
        <w:spacing w:line="360" w:lineRule="auto"/>
        <w:rPr>
          <w:rFonts w:ascii="Arial" w:hAnsi="Arial" w:cs="Arial"/>
          <w:sz w:val="22"/>
          <w:szCs w:val="22"/>
          <w:lang w:val="en-GB"/>
        </w:rPr>
      </w:pPr>
      <w:r w:rsidRPr="001D4BC4">
        <w:rPr>
          <w:rFonts w:ascii="Arial" w:hAnsi="Arial" w:cs="Arial"/>
          <w:sz w:val="22"/>
          <w:szCs w:val="22"/>
          <w:lang w:val="en-GB"/>
        </w:rPr>
        <w:t>India represents a high-potential but operationally complex market for Costco. The analysis demonstrates a strong strategic fit driven by rising consumer demand, digital adoption, and regulatory openness in wholesale. A Joint Venture entry mode offers the optimal balance between opportunity capture and risk mitigation. The Balanced Scorecard provides a robust performance management system to ensure successful execution and long-term sustainability. Costco can achieve sustainable competitive advantage in India through disciplined rollout, localisation, and leveraging its core capabilities.</w:t>
      </w:r>
    </w:p>
    <w:p w14:paraId="59AB78C4" w14:textId="77777777" w:rsidR="004F566C" w:rsidRPr="001D4BC4" w:rsidRDefault="004F566C" w:rsidP="001D4BC4">
      <w:pPr>
        <w:spacing w:line="360" w:lineRule="auto"/>
        <w:rPr>
          <w:rFonts w:ascii="Arial" w:hAnsi="Arial" w:cs="Arial"/>
          <w:sz w:val="22"/>
          <w:szCs w:val="22"/>
        </w:rPr>
      </w:pPr>
    </w:p>
    <w:p w14:paraId="088F76EC" w14:textId="77777777" w:rsidR="00C41ACA" w:rsidRPr="001D4BC4" w:rsidRDefault="00C41ACA" w:rsidP="001D4BC4">
      <w:pPr>
        <w:spacing w:line="360" w:lineRule="auto"/>
        <w:rPr>
          <w:rFonts w:ascii="Arial" w:hAnsi="Arial" w:cs="Arial"/>
          <w:b/>
          <w:bCs/>
          <w:sz w:val="22"/>
          <w:szCs w:val="22"/>
        </w:rPr>
      </w:pPr>
    </w:p>
    <w:p w14:paraId="4C2BACC5" w14:textId="77777777" w:rsidR="00C41ACA" w:rsidRPr="001D4BC4" w:rsidRDefault="00C41ACA" w:rsidP="001D4BC4">
      <w:pPr>
        <w:spacing w:line="360" w:lineRule="auto"/>
        <w:rPr>
          <w:rFonts w:ascii="Arial" w:hAnsi="Arial" w:cs="Arial"/>
          <w:b/>
          <w:bCs/>
          <w:sz w:val="22"/>
          <w:szCs w:val="22"/>
        </w:rPr>
      </w:pPr>
    </w:p>
    <w:p w14:paraId="2470C6FE" w14:textId="77777777" w:rsidR="00C41ACA" w:rsidRPr="001D4BC4" w:rsidRDefault="00C41ACA" w:rsidP="001D4BC4">
      <w:pPr>
        <w:spacing w:line="360" w:lineRule="auto"/>
        <w:rPr>
          <w:rFonts w:ascii="Arial" w:hAnsi="Arial" w:cs="Arial"/>
          <w:b/>
          <w:bCs/>
          <w:sz w:val="22"/>
          <w:szCs w:val="22"/>
        </w:rPr>
      </w:pPr>
    </w:p>
    <w:p w14:paraId="20766B35" w14:textId="77777777" w:rsidR="00C41ACA" w:rsidRPr="001D4BC4" w:rsidRDefault="00C41ACA" w:rsidP="001D4BC4">
      <w:pPr>
        <w:spacing w:line="360" w:lineRule="auto"/>
        <w:rPr>
          <w:rFonts w:ascii="Arial" w:hAnsi="Arial" w:cs="Arial"/>
          <w:b/>
          <w:bCs/>
          <w:sz w:val="22"/>
          <w:szCs w:val="22"/>
        </w:rPr>
      </w:pPr>
    </w:p>
    <w:p w14:paraId="4135CBE4" w14:textId="77777777" w:rsidR="00C41ACA" w:rsidRPr="001D4BC4" w:rsidRDefault="00C41ACA" w:rsidP="001D4BC4">
      <w:pPr>
        <w:spacing w:line="360" w:lineRule="auto"/>
        <w:rPr>
          <w:rFonts w:ascii="Arial" w:hAnsi="Arial" w:cs="Arial"/>
          <w:b/>
          <w:bCs/>
          <w:sz w:val="22"/>
          <w:szCs w:val="22"/>
        </w:rPr>
      </w:pPr>
    </w:p>
    <w:p w14:paraId="53675A61" w14:textId="77777777" w:rsidR="00C41ACA" w:rsidRPr="001D4BC4" w:rsidRDefault="00C41ACA" w:rsidP="001D4BC4">
      <w:pPr>
        <w:spacing w:line="360" w:lineRule="auto"/>
        <w:rPr>
          <w:rFonts w:ascii="Arial" w:hAnsi="Arial" w:cs="Arial"/>
          <w:b/>
          <w:bCs/>
          <w:sz w:val="22"/>
          <w:szCs w:val="22"/>
        </w:rPr>
      </w:pPr>
    </w:p>
    <w:p w14:paraId="6030147C" w14:textId="77777777" w:rsidR="00302EF3" w:rsidRPr="001D4BC4" w:rsidRDefault="00302EF3" w:rsidP="001D4BC4">
      <w:pPr>
        <w:pStyle w:val="Heading1"/>
        <w:spacing w:line="360" w:lineRule="auto"/>
        <w:rPr>
          <w:rFonts w:ascii="Arial" w:hAnsi="Arial" w:cs="Arial"/>
          <w:sz w:val="22"/>
          <w:szCs w:val="22"/>
        </w:rPr>
      </w:pPr>
    </w:p>
    <w:p w14:paraId="6324F272" w14:textId="77777777" w:rsidR="0039031B" w:rsidRPr="001D4BC4" w:rsidRDefault="0039031B" w:rsidP="001D4BC4">
      <w:pPr>
        <w:pStyle w:val="Heading1"/>
        <w:spacing w:line="360" w:lineRule="auto"/>
        <w:rPr>
          <w:rFonts w:ascii="Arial" w:hAnsi="Arial" w:cs="Arial"/>
          <w:sz w:val="22"/>
          <w:szCs w:val="22"/>
        </w:rPr>
      </w:pPr>
    </w:p>
    <w:p w14:paraId="3AA193D8" w14:textId="3E1267CD" w:rsidR="00DD49E2" w:rsidRPr="001D4BC4" w:rsidRDefault="004F566C" w:rsidP="001D4BC4">
      <w:pPr>
        <w:pStyle w:val="Heading1"/>
        <w:spacing w:line="360" w:lineRule="auto"/>
        <w:rPr>
          <w:rFonts w:ascii="Arial" w:hAnsi="Arial" w:cs="Arial"/>
          <w:sz w:val="22"/>
          <w:szCs w:val="22"/>
        </w:rPr>
      </w:pPr>
      <w:bookmarkStart w:id="24" w:name="_Toc215316709"/>
      <w:r w:rsidRPr="001D4BC4">
        <w:rPr>
          <w:rFonts w:ascii="Arial" w:hAnsi="Arial" w:cs="Arial"/>
        </w:rPr>
        <w:t>7</w:t>
      </w:r>
      <w:r w:rsidRPr="001D4BC4">
        <w:rPr>
          <w:rFonts w:ascii="Arial" w:hAnsi="Arial" w:cs="Arial"/>
          <w:sz w:val="22"/>
          <w:szCs w:val="22"/>
        </w:rPr>
        <w:t xml:space="preserve">. </w:t>
      </w:r>
      <w:r w:rsidR="00DD49E2" w:rsidRPr="001D4BC4">
        <w:rPr>
          <w:rFonts w:ascii="Arial" w:hAnsi="Arial" w:cs="Arial"/>
          <w:sz w:val="22"/>
          <w:szCs w:val="22"/>
        </w:rPr>
        <w:t>Reference List</w:t>
      </w:r>
      <w:bookmarkEnd w:id="24"/>
      <w:r w:rsidR="00DD49E2" w:rsidRPr="001D4BC4">
        <w:rPr>
          <w:rFonts w:ascii="Arial" w:hAnsi="Arial" w:cs="Arial"/>
          <w:sz w:val="22"/>
          <w:szCs w:val="22"/>
        </w:rPr>
        <w:t xml:space="preserve"> </w:t>
      </w:r>
    </w:p>
    <w:p w14:paraId="3D3DE531"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Ansoff, H.I. (1957) ‘Strategies for diversification’, </w:t>
      </w:r>
      <w:r w:rsidRPr="001D4BC4">
        <w:rPr>
          <w:rFonts w:ascii="Arial" w:hAnsi="Arial" w:cs="Arial"/>
          <w:i/>
          <w:iCs/>
          <w:sz w:val="22"/>
          <w:szCs w:val="22"/>
          <w:lang w:val="en-GB"/>
        </w:rPr>
        <w:t>Harvard Business Review</w:t>
      </w:r>
      <w:r w:rsidRPr="001D4BC4">
        <w:rPr>
          <w:rFonts w:ascii="Arial" w:hAnsi="Arial" w:cs="Arial"/>
          <w:sz w:val="22"/>
          <w:szCs w:val="22"/>
          <w:lang w:val="en-GB"/>
        </w:rPr>
        <w:t>, 35(5), pp. 113–124.</w:t>
      </w:r>
    </w:p>
    <w:p w14:paraId="0A8E5442"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Bain &amp; Company and Flipkart (2025) </w:t>
      </w:r>
      <w:r w:rsidRPr="001D4BC4">
        <w:rPr>
          <w:rFonts w:ascii="Arial" w:hAnsi="Arial" w:cs="Arial"/>
          <w:i/>
          <w:iCs/>
          <w:sz w:val="22"/>
          <w:szCs w:val="22"/>
          <w:lang w:val="en-GB"/>
        </w:rPr>
        <w:t>How India shops online 2025: Quick commerce and the next frontier of retail</w:t>
      </w:r>
      <w:r w:rsidRPr="001D4BC4">
        <w:rPr>
          <w:rFonts w:ascii="Arial" w:hAnsi="Arial" w:cs="Arial"/>
          <w:sz w:val="22"/>
          <w:szCs w:val="22"/>
          <w:lang w:val="en-GB"/>
        </w:rPr>
        <w:t>. Available at: https://www.bain.com (Accessed: 20 November 2025).</w:t>
      </w:r>
    </w:p>
    <w:p w14:paraId="11431815"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Barney, J.B. (1991) ‘Firm resources and sustained competitive advantage’, </w:t>
      </w:r>
      <w:r w:rsidRPr="001D4BC4">
        <w:rPr>
          <w:rFonts w:ascii="Arial" w:hAnsi="Arial" w:cs="Arial"/>
          <w:i/>
          <w:iCs/>
          <w:sz w:val="22"/>
          <w:szCs w:val="22"/>
          <w:lang w:val="en-GB"/>
        </w:rPr>
        <w:t>Journal of Management</w:t>
      </w:r>
      <w:r w:rsidRPr="001D4BC4">
        <w:rPr>
          <w:rFonts w:ascii="Arial" w:hAnsi="Arial" w:cs="Arial"/>
          <w:sz w:val="22"/>
          <w:szCs w:val="22"/>
          <w:lang w:val="en-GB"/>
        </w:rPr>
        <w:t>, 17(1), pp. 99–120.</w:t>
      </w:r>
    </w:p>
    <w:p w14:paraId="55FFA8A2"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Consultancy.asia (2019) </w:t>
      </w:r>
      <w:r w:rsidRPr="001D4BC4">
        <w:rPr>
          <w:rFonts w:ascii="Arial" w:hAnsi="Arial" w:cs="Arial"/>
          <w:i/>
          <w:iCs/>
          <w:sz w:val="22"/>
          <w:szCs w:val="22"/>
          <w:lang w:val="en-GB"/>
        </w:rPr>
        <w:t>India to become one of the world’s largest middle-class markets</w:t>
      </w:r>
      <w:r w:rsidRPr="001D4BC4">
        <w:rPr>
          <w:rFonts w:ascii="Arial" w:hAnsi="Arial" w:cs="Arial"/>
          <w:sz w:val="22"/>
          <w:szCs w:val="22"/>
          <w:lang w:val="en-GB"/>
        </w:rPr>
        <w:t>. Available at: https://www.consultancy.asia (Accessed: 20 November 2025).</w:t>
      </w:r>
    </w:p>
    <w:p w14:paraId="4BF521DF"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lastRenderedPageBreak/>
        <w:t xml:space="preserve">Costco Wholesale Corporation (2024) </w:t>
      </w:r>
      <w:r w:rsidRPr="001D4BC4">
        <w:rPr>
          <w:rFonts w:ascii="Arial" w:hAnsi="Arial" w:cs="Arial"/>
          <w:i/>
          <w:iCs/>
          <w:sz w:val="22"/>
          <w:szCs w:val="22"/>
          <w:lang w:val="en-GB"/>
        </w:rPr>
        <w:t>Annual Report 2024</w:t>
      </w:r>
      <w:r w:rsidRPr="001D4BC4">
        <w:rPr>
          <w:rFonts w:ascii="Arial" w:hAnsi="Arial" w:cs="Arial"/>
          <w:sz w:val="22"/>
          <w:szCs w:val="22"/>
          <w:lang w:val="en-GB"/>
        </w:rPr>
        <w:t>. Issaquah, WA: Costco Wholesale Corporation. Available at: https://www.costco.com/investor-relations (Accessed: 21 November 2025).</w:t>
      </w:r>
    </w:p>
    <w:p w14:paraId="16214BBF"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Costco Wholesale Corporation (2025) </w:t>
      </w:r>
      <w:r w:rsidRPr="001D4BC4">
        <w:rPr>
          <w:rFonts w:ascii="Arial" w:hAnsi="Arial" w:cs="Arial"/>
          <w:i/>
          <w:iCs/>
          <w:sz w:val="22"/>
          <w:szCs w:val="22"/>
          <w:lang w:val="en-GB"/>
        </w:rPr>
        <w:t>Investor Presentation 2025</w:t>
      </w:r>
      <w:r w:rsidRPr="001D4BC4">
        <w:rPr>
          <w:rFonts w:ascii="Arial" w:hAnsi="Arial" w:cs="Arial"/>
          <w:sz w:val="22"/>
          <w:szCs w:val="22"/>
          <w:lang w:val="en-GB"/>
        </w:rPr>
        <w:t>. Issaquah, WA: Costco Wholesale Corporation. Available at: https://www.costco.com/investor-relations (Accessed: 21 November 2025).</w:t>
      </w:r>
    </w:p>
    <w:p w14:paraId="166388CD"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Department for Promotion of Industry and Internal Trade (DPIIT) (2024) </w:t>
      </w:r>
      <w:r w:rsidRPr="001D4BC4">
        <w:rPr>
          <w:rFonts w:ascii="Arial" w:hAnsi="Arial" w:cs="Arial"/>
          <w:i/>
          <w:iCs/>
          <w:sz w:val="22"/>
          <w:szCs w:val="22"/>
          <w:lang w:val="en-GB"/>
        </w:rPr>
        <w:t>FDI Policy 2024</w:t>
      </w:r>
      <w:r w:rsidRPr="001D4BC4">
        <w:rPr>
          <w:rFonts w:ascii="Arial" w:hAnsi="Arial" w:cs="Arial"/>
          <w:sz w:val="22"/>
          <w:szCs w:val="22"/>
          <w:lang w:val="en-GB"/>
        </w:rPr>
        <w:t>. Government of India. Available at: https://dpiit.gov.in (Accessed: 21 November 2025).</w:t>
      </w:r>
    </w:p>
    <w:p w14:paraId="0383CC9C"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Deloitte–FICCI (2025) </w:t>
      </w:r>
      <w:r w:rsidRPr="001D4BC4">
        <w:rPr>
          <w:rFonts w:ascii="Arial" w:hAnsi="Arial" w:cs="Arial"/>
          <w:i/>
          <w:iCs/>
          <w:sz w:val="22"/>
          <w:szCs w:val="22"/>
          <w:lang w:val="en-GB"/>
        </w:rPr>
        <w:t>Indian Retail Industry: Fast-tracking formalisation and growth</w:t>
      </w:r>
      <w:r w:rsidRPr="001D4BC4">
        <w:rPr>
          <w:rFonts w:ascii="Arial" w:hAnsi="Arial" w:cs="Arial"/>
          <w:sz w:val="22"/>
          <w:szCs w:val="22"/>
          <w:lang w:val="en-GB"/>
        </w:rPr>
        <w:t>. Available at: https://www2.deloitte.com (Accessed: 21 November 2025).</w:t>
      </w:r>
    </w:p>
    <w:p w14:paraId="724D2F9F"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Dunning, J.H. (1993) </w:t>
      </w:r>
      <w:r w:rsidRPr="001D4BC4">
        <w:rPr>
          <w:rFonts w:ascii="Arial" w:hAnsi="Arial" w:cs="Arial"/>
          <w:i/>
          <w:iCs/>
          <w:sz w:val="22"/>
          <w:szCs w:val="22"/>
          <w:lang w:val="en-GB"/>
        </w:rPr>
        <w:t>Multinational enterprises and the global economy</w:t>
      </w:r>
      <w:r w:rsidRPr="001D4BC4">
        <w:rPr>
          <w:rFonts w:ascii="Arial" w:hAnsi="Arial" w:cs="Arial"/>
          <w:sz w:val="22"/>
          <w:szCs w:val="22"/>
          <w:lang w:val="en-GB"/>
        </w:rPr>
        <w:t>. Wokingham: Addison-Wesley.</w:t>
      </w:r>
    </w:p>
    <w:p w14:paraId="1628D462"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Ghemawat, P. (2001) ‘Distance still matters: The hard reality of global expansion’, </w:t>
      </w:r>
      <w:r w:rsidRPr="001D4BC4">
        <w:rPr>
          <w:rFonts w:ascii="Arial" w:hAnsi="Arial" w:cs="Arial"/>
          <w:i/>
          <w:iCs/>
          <w:sz w:val="22"/>
          <w:szCs w:val="22"/>
          <w:lang w:val="en-GB"/>
        </w:rPr>
        <w:t>Harvard Business Review</w:t>
      </w:r>
      <w:r w:rsidRPr="001D4BC4">
        <w:rPr>
          <w:rFonts w:ascii="Arial" w:hAnsi="Arial" w:cs="Arial"/>
          <w:sz w:val="22"/>
          <w:szCs w:val="22"/>
          <w:lang w:val="en-GB"/>
        </w:rPr>
        <w:t>, 79(8), pp. 137–147.</w:t>
      </w:r>
    </w:p>
    <w:p w14:paraId="3768838D"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Hill, C.W.L., Hult, G.T.M. and Kunz, G. (2021) </w:t>
      </w:r>
      <w:r w:rsidRPr="001D4BC4">
        <w:rPr>
          <w:rFonts w:ascii="Arial" w:hAnsi="Arial" w:cs="Arial"/>
          <w:i/>
          <w:iCs/>
          <w:sz w:val="22"/>
          <w:szCs w:val="22"/>
          <w:lang w:val="en-GB"/>
        </w:rPr>
        <w:t>International business: Competing in the global marketplace</w:t>
      </w:r>
      <w:r w:rsidRPr="001D4BC4">
        <w:rPr>
          <w:rFonts w:ascii="Arial" w:hAnsi="Arial" w:cs="Arial"/>
          <w:sz w:val="22"/>
          <w:szCs w:val="22"/>
          <w:lang w:val="en-GB"/>
        </w:rPr>
        <w:t>. 13th edn. New York: McGraw-Hill Education.</w:t>
      </w:r>
    </w:p>
    <w:p w14:paraId="3F8B8ACB"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IBEF (India Brand Equity Foundation) (2024) </w:t>
      </w:r>
      <w:r w:rsidRPr="001D4BC4">
        <w:rPr>
          <w:rFonts w:ascii="Arial" w:hAnsi="Arial" w:cs="Arial"/>
          <w:i/>
          <w:iCs/>
          <w:sz w:val="22"/>
          <w:szCs w:val="22"/>
          <w:lang w:val="en-GB"/>
        </w:rPr>
        <w:t>Indian Retail Industry Report 2024</w:t>
      </w:r>
      <w:r w:rsidRPr="001D4BC4">
        <w:rPr>
          <w:rFonts w:ascii="Arial" w:hAnsi="Arial" w:cs="Arial"/>
          <w:sz w:val="22"/>
          <w:szCs w:val="22"/>
          <w:lang w:val="en-GB"/>
        </w:rPr>
        <w:t>. Available at: https://www.ibef.org (Accessed: 19 November 2025).</w:t>
      </w:r>
    </w:p>
    <w:p w14:paraId="67586E07"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IBEF (India Brand Equity Foundation) (2025) </w:t>
      </w:r>
      <w:r w:rsidRPr="001D4BC4">
        <w:rPr>
          <w:rFonts w:ascii="Arial" w:hAnsi="Arial" w:cs="Arial"/>
          <w:i/>
          <w:iCs/>
          <w:sz w:val="22"/>
          <w:szCs w:val="22"/>
          <w:lang w:val="en-GB"/>
        </w:rPr>
        <w:t>Retail: Growth drivers and future outlook 2025</w:t>
      </w:r>
      <w:r w:rsidRPr="001D4BC4">
        <w:rPr>
          <w:rFonts w:ascii="Arial" w:hAnsi="Arial" w:cs="Arial"/>
          <w:sz w:val="22"/>
          <w:szCs w:val="22"/>
          <w:lang w:val="en-GB"/>
        </w:rPr>
        <w:t>. Available at: https://www.ibef.org (Accessed: 19 November 2025).</w:t>
      </w:r>
    </w:p>
    <w:p w14:paraId="4681EC0B"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India Briefing (2024) </w:t>
      </w:r>
      <w:r w:rsidRPr="001D4BC4">
        <w:rPr>
          <w:rFonts w:ascii="Arial" w:hAnsi="Arial" w:cs="Arial"/>
          <w:i/>
          <w:iCs/>
          <w:sz w:val="22"/>
          <w:szCs w:val="22"/>
          <w:lang w:val="en-GB"/>
        </w:rPr>
        <w:t>India’s e-commerce ecosystem: Market size, regulations and opportunities</w:t>
      </w:r>
      <w:r w:rsidRPr="001D4BC4">
        <w:rPr>
          <w:rFonts w:ascii="Arial" w:hAnsi="Arial" w:cs="Arial"/>
          <w:sz w:val="22"/>
          <w:szCs w:val="22"/>
          <w:lang w:val="en-GB"/>
        </w:rPr>
        <w:t>. Available at: https://www.india-briefing.com (Accessed: 19 November 2025).</w:t>
      </w:r>
    </w:p>
    <w:p w14:paraId="01493240"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Invest India (2024) </w:t>
      </w:r>
      <w:r w:rsidRPr="001D4BC4">
        <w:rPr>
          <w:rFonts w:ascii="Arial" w:hAnsi="Arial" w:cs="Arial"/>
          <w:i/>
          <w:iCs/>
          <w:sz w:val="22"/>
          <w:szCs w:val="22"/>
          <w:lang w:val="en-GB"/>
        </w:rPr>
        <w:t>E-commerce sector in India: Opportunities for global retailers</w:t>
      </w:r>
      <w:r w:rsidRPr="001D4BC4">
        <w:rPr>
          <w:rFonts w:ascii="Arial" w:hAnsi="Arial" w:cs="Arial"/>
          <w:sz w:val="22"/>
          <w:szCs w:val="22"/>
          <w:lang w:val="en-GB"/>
        </w:rPr>
        <w:t>. Available at: https://www.investindia.gov.in (Accessed: 18 November 2025).</w:t>
      </w:r>
    </w:p>
    <w:p w14:paraId="701962F7"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Kaplan, R.S. and Norton, D.P. (1992) ‘The Balanced Scorecard—Measures that drive performance’, </w:t>
      </w:r>
      <w:r w:rsidRPr="001D4BC4">
        <w:rPr>
          <w:rFonts w:ascii="Arial" w:hAnsi="Arial" w:cs="Arial"/>
          <w:i/>
          <w:iCs/>
          <w:sz w:val="22"/>
          <w:szCs w:val="22"/>
          <w:lang w:val="en-GB"/>
        </w:rPr>
        <w:t>Harvard Business Review</w:t>
      </w:r>
      <w:r w:rsidRPr="001D4BC4">
        <w:rPr>
          <w:rFonts w:ascii="Arial" w:hAnsi="Arial" w:cs="Arial"/>
          <w:sz w:val="22"/>
          <w:szCs w:val="22"/>
          <w:lang w:val="en-GB"/>
        </w:rPr>
        <w:t>, 70(1), pp. 71–79.</w:t>
      </w:r>
    </w:p>
    <w:p w14:paraId="18F693E5"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Luo, Y. (2002) </w:t>
      </w:r>
      <w:r w:rsidRPr="001D4BC4">
        <w:rPr>
          <w:rFonts w:ascii="Arial" w:hAnsi="Arial" w:cs="Arial"/>
          <w:i/>
          <w:iCs/>
          <w:sz w:val="22"/>
          <w:szCs w:val="22"/>
          <w:lang w:val="en-GB"/>
        </w:rPr>
        <w:t>Partnering with foreign firms in emerging markets</w:t>
      </w:r>
      <w:r w:rsidRPr="001D4BC4">
        <w:rPr>
          <w:rFonts w:ascii="Arial" w:hAnsi="Arial" w:cs="Arial"/>
          <w:sz w:val="22"/>
          <w:szCs w:val="22"/>
          <w:lang w:val="en-GB"/>
        </w:rPr>
        <w:t>. New York: Routledge.</w:t>
      </w:r>
    </w:p>
    <w:p w14:paraId="46948871"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McKinsey &amp; Company (2023) </w:t>
      </w:r>
      <w:r w:rsidRPr="001D4BC4">
        <w:rPr>
          <w:rFonts w:ascii="Arial" w:hAnsi="Arial" w:cs="Arial"/>
          <w:i/>
          <w:iCs/>
          <w:sz w:val="22"/>
          <w:szCs w:val="22"/>
          <w:lang w:val="en-GB"/>
        </w:rPr>
        <w:t>India's economic outlook: Growth drivers and structural trends</w:t>
      </w:r>
      <w:r w:rsidRPr="001D4BC4">
        <w:rPr>
          <w:rFonts w:ascii="Arial" w:hAnsi="Arial" w:cs="Arial"/>
          <w:sz w:val="22"/>
          <w:szCs w:val="22"/>
          <w:lang w:val="en-GB"/>
        </w:rPr>
        <w:t>. Available at: https://www.mckinsey.com (Accessed: 17 November 2025).</w:t>
      </w:r>
    </w:p>
    <w:p w14:paraId="4B431F22"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lastRenderedPageBreak/>
        <w:t xml:space="preserve">McKinsey Global Institute (2007) </w:t>
      </w:r>
      <w:r w:rsidRPr="001D4BC4">
        <w:rPr>
          <w:rFonts w:ascii="Arial" w:hAnsi="Arial" w:cs="Arial"/>
          <w:i/>
          <w:iCs/>
          <w:sz w:val="22"/>
          <w:szCs w:val="22"/>
          <w:lang w:val="en-GB"/>
        </w:rPr>
        <w:t>The ‘Bird of Gold’: The rise of India’s consumer market</w:t>
      </w:r>
      <w:r w:rsidRPr="001D4BC4">
        <w:rPr>
          <w:rFonts w:ascii="Arial" w:hAnsi="Arial" w:cs="Arial"/>
          <w:sz w:val="22"/>
          <w:szCs w:val="22"/>
          <w:lang w:val="en-GB"/>
        </w:rPr>
        <w:t>. Available at: https://www.mckinsey.com (Accessed: 17 November 2025).</w:t>
      </w:r>
    </w:p>
    <w:p w14:paraId="690E2B26"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Porter, M.E. (1980) </w:t>
      </w:r>
      <w:r w:rsidRPr="001D4BC4">
        <w:rPr>
          <w:rFonts w:ascii="Arial" w:hAnsi="Arial" w:cs="Arial"/>
          <w:i/>
          <w:iCs/>
          <w:sz w:val="22"/>
          <w:szCs w:val="22"/>
          <w:lang w:val="en-GB"/>
        </w:rPr>
        <w:t>Competitive strategy: Techniques for analysing industries and competitors</w:t>
      </w:r>
      <w:r w:rsidRPr="001D4BC4">
        <w:rPr>
          <w:rFonts w:ascii="Arial" w:hAnsi="Arial" w:cs="Arial"/>
          <w:sz w:val="22"/>
          <w:szCs w:val="22"/>
          <w:lang w:val="en-GB"/>
        </w:rPr>
        <w:t>. New York: Free Press.</w:t>
      </w:r>
    </w:p>
    <w:p w14:paraId="5F9A3BCD"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Porter, M.E. (1985) </w:t>
      </w:r>
      <w:r w:rsidRPr="001D4BC4">
        <w:rPr>
          <w:rFonts w:ascii="Arial" w:hAnsi="Arial" w:cs="Arial"/>
          <w:i/>
          <w:iCs/>
          <w:sz w:val="22"/>
          <w:szCs w:val="22"/>
          <w:lang w:val="en-GB"/>
        </w:rPr>
        <w:t>Competitive advantage: Creating and sustaining superior performance</w:t>
      </w:r>
      <w:r w:rsidRPr="001D4BC4">
        <w:rPr>
          <w:rFonts w:ascii="Arial" w:hAnsi="Arial" w:cs="Arial"/>
          <w:sz w:val="22"/>
          <w:szCs w:val="22"/>
          <w:lang w:val="en-GB"/>
        </w:rPr>
        <w:t>. New York: Free Press.</w:t>
      </w:r>
    </w:p>
    <w:p w14:paraId="3AF51000"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Reuters (2024) </w:t>
      </w:r>
      <w:r w:rsidRPr="001D4BC4">
        <w:rPr>
          <w:rFonts w:ascii="Arial" w:hAnsi="Arial" w:cs="Arial"/>
          <w:i/>
          <w:iCs/>
          <w:sz w:val="22"/>
          <w:szCs w:val="22"/>
          <w:lang w:val="en-GB"/>
        </w:rPr>
        <w:t>India’s growing demand for premium FMCG and imported goods</w:t>
      </w:r>
      <w:r w:rsidRPr="001D4BC4">
        <w:rPr>
          <w:rFonts w:ascii="Arial" w:hAnsi="Arial" w:cs="Arial"/>
          <w:sz w:val="22"/>
          <w:szCs w:val="22"/>
          <w:lang w:val="en-GB"/>
        </w:rPr>
        <w:t>. Available at: https://www.reuters.com (Accessed: 18 November 2025).</w:t>
      </w:r>
    </w:p>
    <w:p w14:paraId="66739262"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Reuters (2025) </w:t>
      </w:r>
      <w:r w:rsidRPr="001D4BC4">
        <w:rPr>
          <w:rFonts w:ascii="Arial" w:hAnsi="Arial" w:cs="Arial"/>
          <w:i/>
          <w:iCs/>
          <w:sz w:val="22"/>
          <w:szCs w:val="22"/>
          <w:lang w:val="en-GB"/>
        </w:rPr>
        <w:t>India’s wholesale market trends and implications for global retailers</w:t>
      </w:r>
      <w:r w:rsidRPr="001D4BC4">
        <w:rPr>
          <w:rFonts w:ascii="Arial" w:hAnsi="Arial" w:cs="Arial"/>
          <w:sz w:val="22"/>
          <w:szCs w:val="22"/>
          <w:lang w:val="en-GB"/>
        </w:rPr>
        <w:t>. Available at: https://www.reuters.com (Accessed: 18 November 2025).</w:t>
      </w:r>
    </w:p>
    <w:p w14:paraId="7AC3B741"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The Sun (2025) ‘Costco reveals plans for 25–30 new warehouse openings globally’. Available at: https://www.thesun.com (Accessed: 19 November 2025).</w:t>
      </w:r>
    </w:p>
    <w:p w14:paraId="415A29E8"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Thompson, A.A., Peteraf, M.A., Gamble, J.E. and Strickland, A.J. (2022) </w:t>
      </w:r>
      <w:r w:rsidRPr="001D4BC4">
        <w:rPr>
          <w:rFonts w:ascii="Arial" w:hAnsi="Arial" w:cs="Arial"/>
          <w:i/>
          <w:iCs/>
          <w:sz w:val="22"/>
          <w:szCs w:val="22"/>
          <w:lang w:val="en-GB"/>
        </w:rPr>
        <w:t>Crafting and executing strategy: The quest for competitive advantage</w:t>
      </w:r>
      <w:r w:rsidRPr="001D4BC4">
        <w:rPr>
          <w:rFonts w:ascii="Arial" w:hAnsi="Arial" w:cs="Arial"/>
          <w:sz w:val="22"/>
          <w:szCs w:val="22"/>
          <w:lang w:val="en-GB"/>
        </w:rPr>
        <w:t>. 23rd edn. New York: McGraw-Hill Education.</w:t>
      </w:r>
    </w:p>
    <w:p w14:paraId="3B067556"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Wikipedia (2025) </w:t>
      </w:r>
      <w:r w:rsidRPr="001D4BC4">
        <w:rPr>
          <w:rFonts w:ascii="Arial" w:hAnsi="Arial" w:cs="Arial"/>
          <w:i/>
          <w:iCs/>
          <w:sz w:val="22"/>
          <w:szCs w:val="22"/>
          <w:lang w:val="en-GB"/>
        </w:rPr>
        <w:t>Costco</w:t>
      </w:r>
      <w:r w:rsidRPr="001D4BC4">
        <w:rPr>
          <w:rFonts w:ascii="Arial" w:hAnsi="Arial" w:cs="Arial"/>
          <w:sz w:val="22"/>
          <w:szCs w:val="22"/>
          <w:lang w:val="en-GB"/>
        </w:rPr>
        <w:t>. Available at: https://en.wikipedia.org/wiki/Costco (Accessed: 20 November 2025).</w:t>
      </w:r>
    </w:p>
    <w:p w14:paraId="01D025BC"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World Economic Forum (2019) </w:t>
      </w:r>
      <w:r w:rsidRPr="001D4BC4">
        <w:rPr>
          <w:rFonts w:ascii="Arial" w:hAnsi="Arial" w:cs="Arial"/>
          <w:i/>
          <w:iCs/>
          <w:sz w:val="22"/>
          <w:szCs w:val="22"/>
          <w:lang w:val="en-GB"/>
        </w:rPr>
        <w:t>Future of consumption in fast-growth consumer markets: India</w:t>
      </w:r>
      <w:r w:rsidRPr="001D4BC4">
        <w:rPr>
          <w:rFonts w:ascii="Arial" w:hAnsi="Arial" w:cs="Arial"/>
          <w:sz w:val="22"/>
          <w:szCs w:val="22"/>
          <w:lang w:val="en-GB"/>
        </w:rPr>
        <w:t>. Available at: https://www.weforum.org (Accessed: 16 November 2025).</w:t>
      </w:r>
    </w:p>
    <w:p w14:paraId="29444755" w14:textId="77777777" w:rsidR="00302EF3" w:rsidRPr="001D4BC4" w:rsidRDefault="00302EF3" w:rsidP="001D4BC4">
      <w:pPr>
        <w:spacing w:line="360" w:lineRule="auto"/>
        <w:rPr>
          <w:rFonts w:ascii="Arial" w:hAnsi="Arial" w:cs="Arial"/>
          <w:sz w:val="22"/>
          <w:szCs w:val="22"/>
          <w:lang w:val="en-GB"/>
        </w:rPr>
      </w:pPr>
      <w:r w:rsidRPr="001D4BC4">
        <w:rPr>
          <w:rFonts w:ascii="Arial" w:hAnsi="Arial" w:cs="Arial"/>
          <w:sz w:val="22"/>
          <w:szCs w:val="22"/>
          <w:lang w:val="en-GB"/>
        </w:rPr>
        <w:t xml:space="preserve">Zaheer, S. (1995) ‘Overcoming the liability of foreignness’, </w:t>
      </w:r>
      <w:r w:rsidRPr="001D4BC4">
        <w:rPr>
          <w:rFonts w:ascii="Arial" w:hAnsi="Arial" w:cs="Arial"/>
          <w:i/>
          <w:iCs/>
          <w:sz w:val="22"/>
          <w:szCs w:val="22"/>
          <w:lang w:val="en-GB"/>
        </w:rPr>
        <w:t>Academy of Management Journal</w:t>
      </w:r>
      <w:r w:rsidRPr="001D4BC4">
        <w:rPr>
          <w:rFonts w:ascii="Arial" w:hAnsi="Arial" w:cs="Arial"/>
          <w:sz w:val="22"/>
          <w:szCs w:val="22"/>
          <w:lang w:val="en-GB"/>
        </w:rPr>
        <w:t>, 38(2), pp. 341–363.</w:t>
      </w:r>
    </w:p>
    <w:p w14:paraId="28D438F0" w14:textId="77777777" w:rsidR="00AD2BD3" w:rsidRPr="001D4BC4" w:rsidRDefault="00AD2BD3" w:rsidP="001D4BC4">
      <w:pPr>
        <w:spacing w:line="360" w:lineRule="auto"/>
        <w:rPr>
          <w:rFonts w:ascii="Arial" w:hAnsi="Arial" w:cs="Arial"/>
          <w:sz w:val="22"/>
          <w:szCs w:val="22"/>
        </w:rPr>
      </w:pPr>
    </w:p>
    <w:sectPr w:rsidR="00AD2BD3" w:rsidRPr="001D4BC4" w:rsidSect="00BA20A3">
      <w:footerReference w:type="default" r:id="rId1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440D3" w14:textId="77777777" w:rsidR="000B6BF8" w:rsidRDefault="000B6BF8" w:rsidP="00BA20A3">
      <w:pPr>
        <w:spacing w:after="0" w:line="240" w:lineRule="auto"/>
      </w:pPr>
      <w:r>
        <w:separator/>
      </w:r>
    </w:p>
  </w:endnote>
  <w:endnote w:type="continuationSeparator" w:id="0">
    <w:p w14:paraId="082A909F" w14:textId="77777777" w:rsidR="000B6BF8" w:rsidRDefault="000B6BF8" w:rsidP="00BA20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8899757"/>
      <w:docPartObj>
        <w:docPartGallery w:val="Page Numbers (Bottom of Page)"/>
        <w:docPartUnique/>
      </w:docPartObj>
    </w:sdtPr>
    <w:sdtContent>
      <w:p w14:paraId="08814D8F" w14:textId="1D321FFF" w:rsidR="00BA20A3" w:rsidRDefault="00BA20A3">
        <w:pPr>
          <w:pStyle w:val="Footer"/>
          <w:jc w:val="center"/>
        </w:pPr>
        <w:r>
          <w:fldChar w:fldCharType="begin"/>
        </w:r>
        <w:r>
          <w:instrText>PAGE   \* MERGEFORMAT</w:instrText>
        </w:r>
        <w:r>
          <w:fldChar w:fldCharType="separate"/>
        </w:r>
        <w:r>
          <w:rPr>
            <w:lang w:val="en-GB"/>
          </w:rPr>
          <w:t>2</w:t>
        </w:r>
        <w:r>
          <w:fldChar w:fldCharType="end"/>
        </w:r>
      </w:p>
    </w:sdtContent>
  </w:sdt>
  <w:p w14:paraId="65B865D5" w14:textId="77777777" w:rsidR="00BA20A3" w:rsidRDefault="00BA2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E2E89E" w14:textId="77777777" w:rsidR="000B6BF8" w:rsidRDefault="000B6BF8" w:rsidP="00BA20A3">
      <w:pPr>
        <w:spacing w:after="0" w:line="240" w:lineRule="auto"/>
      </w:pPr>
      <w:r>
        <w:separator/>
      </w:r>
    </w:p>
  </w:footnote>
  <w:footnote w:type="continuationSeparator" w:id="0">
    <w:p w14:paraId="25C69DF8" w14:textId="77777777" w:rsidR="000B6BF8" w:rsidRDefault="000B6BF8" w:rsidP="00BA20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800E04"/>
    <w:multiLevelType w:val="hybridMultilevel"/>
    <w:tmpl w:val="CB5C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2079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DF5"/>
    <w:rsid w:val="0004782C"/>
    <w:rsid w:val="000A5D42"/>
    <w:rsid w:val="000B3DD6"/>
    <w:rsid w:val="000B6BF8"/>
    <w:rsid w:val="001B4EF8"/>
    <w:rsid w:val="001C2623"/>
    <w:rsid w:val="001D416A"/>
    <w:rsid w:val="001D4BC4"/>
    <w:rsid w:val="001D70C7"/>
    <w:rsid w:val="001E35F3"/>
    <w:rsid w:val="00250EB2"/>
    <w:rsid w:val="00280417"/>
    <w:rsid w:val="00302EF3"/>
    <w:rsid w:val="00376E69"/>
    <w:rsid w:val="00387187"/>
    <w:rsid w:val="0039031B"/>
    <w:rsid w:val="004D7DF5"/>
    <w:rsid w:val="004F566C"/>
    <w:rsid w:val="00535FF6"/>
    <w:rsid w:val="006427A8"/>
    <w:rsid w:val="007103C4"/>
    <w:rsid w:val="00795616"/>
    <w:rsid w:val="007B2CF2"/>
    <w:rsid w:val="007C49B9"/>
    <w:rsid w:val="008638B0"/>
    <w:rsid w:val="0089256D"/>
    <w:rsid w:val="00902249"/>
    <w:rsid w:val="009026F3"/>
    <w:rsid w:val="009143CA"/>
    <w:rsid w:val="00980D6F"/>
    <w:rsid w:val="00A47544"/>
    <w:rsid w:val="00AD2BD3"/>
    <w:rsid w:val="00BA20A3"/>
    <w:rsid w:val="00C41ACA"/>
    <w:rsid w:val="00CA0A78"/>
    <w:rsid w:val="00D657EF"/>
    <w:rsid w:val="00DA7136"/>
    <w:rsid w:val="00DD49E2"/>
    <w:rsid w:val="00DE4E64"/>
    <w:rsid w:val="00EC3D31"/>
    <w:rsid w:val="00F60BE8"/>
    <w:rsid w:val="00FD4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F98EE9"/>
  <w15:chartTrackingRefBased/>
  <w15:docId w15:val="{D85CD3E7-2F6F-43E6-BC18-BF5748B73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BD3"/>
  </w:style>
  <w:style w:type="paragraph" w:styleId="Heading1">
    <w:name w:val="heading 1"/>
    <w:basedOn w:val="Normal"/>
    <w:next w:val="Normal"/>
    <w:link w:val="Heading1Char"/>
    <w:uiPriority w:val="9"/>
    <w:qFormat/>
    <w:rsid w:val="004D7D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7D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7D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7D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7D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7D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7D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7D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7D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7D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7D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7D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7D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7D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7D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7D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7D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7DF5"/>
    <w:rPr>
      <w:rFonts w:eastAsiaTheme="majorEastAsia" w:cstheme="majorBidi"/>
      <w:color w:val="272727" w:themeColor="text1" w:themeTint="D8"/>
    </w:rPr>
  </w:style>
  <w:style w:type="paragraph" w:styleId="Title">
    <w:name w:val="Title"/>
    <w:basedOn w:val="Normal"/>
    <w:next w:val="Normal"/>
    <w:link w:val="TitleChar"/>
    <w:uiPriority w:val="10"/>
    <w:qFormat/>
    <w:rsid w:val="004D7D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7D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7D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7D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7DF5"/>
    <w:pPr>
      <w:spacing w:before="160"/>
      <w:jc w:val="center"/>
    </w:pPr>
    <w:rPr>
      <w:i/>
      <w:iCs/>
      <w:color w:val="404040" w:themeColor="text1" w:themeTint="BF"/>
    </w:rPr>
  </w:style>
  <w:style w:type="character" w:customStyle="1" w:styleId="QuoteChar">
    <w:name w:val="Quote Char"/>
    <w:basedOn w:val="DefaultParagraphFont"/>
    <w:link w:val="Quote"/>
    <w:uiPriority w:val="29"/>
    <w:rsid w:val="004D7DF5"/>
    <w:rPr>
      <w:i/>
      <w:iCs/>
      <w:color w:val="404040" w:themeColor="text1" w:themeTint="BF"/>
    </w:rPr>
  </w:style>
  <w:style w:type="paragraph" w:styleId="ListParagraph">
    <w:name w:val="List Paragraph"/>
    <w:basedOn w:val="Normal"/>
    <w:uiPriority w:val="34"/>
    <w:qFormat/>
    <w:rsid w:val="004D7DF5"/>
    <w:pPr>
      <w:ind w:left="720"/>
      <w:contextualSpacing/>
    </w:pPr>
  </w:style>
  <w:style w:type="character" w:styleId="IntenseEmphasis">
    <w:name w:val="Intense Emphasis"/>
    <w:basedOn w:val="DefaultParagraphFont"/>
    <w:uiPriority w:val="21"/>
    <w:qFormat/>
    <w:rsid w:val="004D7DF5"/>
    <w:rPr>
      <w:i/>
      <w:iCs/>
      <w:color w:val="0F4761" w:themeColor="accent1" w:themeShade="BF"/>
    </w:rPr>
  </w:style>
  <w:style w:type="paragraph" w:styleId="IntenseQuote">
    <w:name w:val="Intense Quote"/>
    <w:basedOn w:val="Normal"/>
    <w:next w:val="Normal"/>
    <w:link w:val="IntenseQuoteChar"/>
    <w:uiPriority w:val="30"/>
    <w:qFormat/>
    <w:rsid w:val="004D7D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7DF5"/>
    <w:rPr>
      <w:i/>
      <w:iCs/>
      <w:color w:val="0F4761" w:themeColor="accent1" w:themeShade="BF"/>
    </w:rPr>
  </w:style>
  <w:style w:type="character" w:styleId="IntenseReference">
    <w:name w:val="Intense Reference"/>
    <w:basedOn w:val="DefaultParagraphFont"/>
    <w:uiPriority w:val="32"/>
    <w:qFormat/>
    <w:rsid w:val="004D7DF5"/>
    <w:rPr>
      <w:b/>
      <w:bCs/>
      <w:smallCaps/>
      <w:color w:val="0F4761" w:themeColor="accent1" w:themeShade="BF"/>
      <w:spacing w:val="5"/>
    </w:rPr>
  </w:style>
  <w:style w:type="character" w:styleId="Hyperlink">
    <w:name w:val="Hyperlink"/>
    <w:basedOn w:val="DefaultParagraphFont"/>
    <w:uiPriority w:val="99"/>
    <w:unhideWhenUsed/>
    <w:rsid w:val="00DD49E2"/>
    <w:rPr>
      <w:color w:val="467886" w:themeColor="hyperlink"/>
      <w:u w:val="single"/>
    </w:rPr>
  </w:style>
  <w:style w:type="character" w:styleId="UnresolvedMention">
    <w:name w:val="Unresolved Mention"/>
    <w:basedOn w:val="DefaultParagraphFont"/>
    <w:uiPriority w:val="99"/>
    <w:semiHidden/>
    <w:unhideWhenUsed/>
    <w:rsid w:val="00DD49E2"/>
    <w:rPr>
      <w:color w:val="605E5C"/>
      <w:shd w:val="clear" w:color="auto" w:fill="E1DFDD"/>
    </w:rPr>
  </w:style>
  <w:style w:type="paragraph" w:styleId="Header">
    <w:name w:val="header"/>
    <w:basedOn w:val="Normal"/>
    <w:link w:val="HeaderChar"/>
    <w:uiPriority w:val="99"/>
    <w:unhideWhenUsed/>
    <w:rsid w:val="00BA20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0A3"/>
  </w:style>
  <w:style w:type="paragraph" w:styleId="Footer">
    <w:name w:val="footer"/>
    <w:basedOn w:val="Normal"/>
    <w:link w:val="FooterChar"/>
    <w:uiPriority w:val="99"/>
    <w:unhideWhenUsed/>
    <w:rsid w:val="00BA2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0A3"/>
  </w:style>
  <w:style w:type="paragraph" w:styleId="TOCHeading">
    <w:name w:val="TOC Heading"/>
    <w:basedOn w:val="Heading1"/>
    <w:next w:val="Normal"/>
    <w:uiPriority w:val="39"/>
    <w:unhideWhenUsed/>
    <w:qFormat/>
    <w:rsid w:val="00BA20A3"/>
    <w:pPr>
      <w:spacing w:before="240" w:after="0" w:line="259" w:lineRule="auto"/>
      <w:outlineLvl w:val="9"/>
    </w:pPr>
    <w:rPr>
      <w:kern w:val="0"/>
      <w:sz w:val="32"/>
      <w:szCs w:val="32"/>
      <w:lang w:val="en-GB" w:eastAsia="en-GB"/>
      <w14:ligatures w14:val="none"/>
    </w:rPr>
  </w:style>
  <w:style w:type="paragraph" w:styleId="TOC2">
    <w:name w:val="toc 2"/>
    <w:basedOn w:val="Normal"/>
    <w:next w:val="Normal"/>
    <w:autoRedefine/>
    <w:uiPriority w:val="39"/>
    <w:unhideWhenUsed/>
    <w:rsid w:val="00902249"/>
    <w:pPr>
      <w:tabs>
        <w:tab w:val="right" w:leader="dot" w:pos="9350"/>
      </w:tabs>
      <w:spacing w:after="100" w:line="240" w:lineRule="auto"/>
      <w:ind w:left="220"/>
    </w:pPr>
    <w:rPr>
      <w:rFonts w:eastAsiaTheme="minorEastAsia" w:cs="Times New Roman"/>
      <w:kern w:val="0"/>
      <w:sz w:val="22"/>
      <w:szCs w:val="22"/>
      <w:lang w:val="en-GB" w:eastAsia="en-GB"/>
      <w14:ligatures w14:val="none"/>
    </w:rPr>
  </w:style>
  <w:style w:type="paragraph" w:styleId="TOC1">
    <w:name w:val="toc 1"/>
    <w:basedOn w:val="Normal"/>
    <w:next w:val="Normal"/>
    <w:autoRedefine/>
    <w:uiPriority w:val="39"/>
    <w:unhideWhenUsed/>
    <w:rsid w:val="00902249"/>
    <w:pPr>
      <w:tabs>
        <w:tab w:val="right" w:leader="dot" w:pos="9350"/>
      </w:tabs>
      <w:spacing w:after="100" w:line="240" w:lineRule="auto"/>
    </w:pPr>
    <w:rPr>
      <w:rFonts w:ascii="Arial" w:eastAsiaTheme="minorEastAsia" w:hAnsi="Arial" w:cs="Arial"/>
      <w:noProof/>
      <w:kern w:val="0"/>
      <w:sz w:val="22"/>
      <w:szCs w:val="22"/>
      <w:lang w:val="en-GB" w:eastAsia="en-GB"/>
      <w14:ligatures w14:val="none"/>
    </w:rPr>
  </w:style>
  <w:style w:type="paragraph" w:styleId="TOC3">
    <w:name w:val="toc 3"/>
    <w:basedOn w:val="Normal"/>
    <w:next w:val="Normal"/>
    <w:autoRedefine/>
    <w:uiPriority w:val="39"/>
    <w:unhideWhenUsed/>
    <w:rsid w:val="00BA20A3"/>
    <w:pPr>
      <w:spacing w:after="100" w:line="259" w:lineRule="auto"/>
      <w:ind w:left="440"/>
    </w:pPr>
    <w:rPr>
      <w:rFonts w:eastAsiaTheme="minorEastAsia" w:cs="Times New Roman"/>
      <w:kern w:val="0"/>
      <w:sz w:val="22"/>
      <w:szCs w:val="22"/>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9DE1C-25AA-4ADD-A5F4-FA2FE8B122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25</Pages>
  <Words>5800</Words>
  <Characters>37704</Characters>
  <Application>Microsoft Office Word</Application>
  <DocSecurity>0</DocSecurity>
  <Lines>856</Lines>
  <Paragraphs>505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Netoi</dc:creator>
  <cp:keywords/>
  <dc:description/>
  <cp:lastModifiedBy>Alex Netoi</cp:lastModifiedBy>
  <cp:revision>19</cp:revision>
  <dcterms:created xsi:type="dcterms:W3CDTF">2025-11-28T20:16:00Z</dcterms:created>
  <dcterms:modified xsi:type="dcterms:W3CDTF">2025-11-29T13:54:00Z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201c4304-f8ce-420e-99d3-aeca642f1108</vt:lpwstr>
  </property>
</Properties>
</file>